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EF662C" w14:textId="77777777" w:rsidR="009777AA" w:rsidRDefault="005A0983">
      <w:pPr>
        <w:pStyle w:val="1"/>
        <w:jc w:val="center"/>
      </w:pPr>
      <w:bookmarkStart w:id="0" w:name="_gjdgxs" w:colFirst="0" w:colLast="0"/>
      <w:bookmarkEnd w:id="0"/>
      <w:r>
        <w:rPr>
          <w:u w:val="single"/>
        </w:rPr>
        <w:t>Project: Analyzing a Market Test</w:t>
      </w:r>
    </w:p>
    <w:p w14:paraId="3D2F8153" w14:textId="77777777" w:rsidR="009777AA" w:rsidRDefault="005A0983">
      <w:pPr>
        <w:pStyle w:val="2"/>
        <w:keepNext w:val="0"/>
        <w:keepLines w:val="0"/>
        <w:spacing w:before="240" w:after="40"/>
      </w:pPr>
      <w:r>
        <w:t>Step 1: Plan Your Analysis</w:t>
      </w:r>
    </w:p>
    <w:p w14:paraId="628110BC" w14:textId="77777777" w:rsidR="009777AA" w:rsidRDefault="005A0983">
      <w:pPr>
        <w:spacing w:line="240" w:lineRule="auto"/>
      </w:pPr>
      <w:r>
        <w:rPr>
          <w:i/>
        </w:rPr>
        <w:t>To perform the correct analysis, you will need to prepare a data set. (</w:t>
      </w:r>
      <w:proofErr w:type="gramStart"/>
      <w:r>
        <w:rPr>
          <w:i/>
        </w:rPr>
        <w:t>500 word</w:t>
      </w:r>
      <w:proofErr w:type="gramEnd"/>
      <w:r>
        <w:rPr>
          <w:i/>
        </w:rPr>
        <w:t xml:space="preserve"> limit)</w:t>
      </w:r>
    </w:p>
    <w:p w14:paraId="0C6BF65C" w14:textId="77777777" w:rsidR="009777AA" w:rsidRDefault="005A0983">
      <w:pPr>
        <w:spacing w:line="240" w:lineRule="auto"/>
      </w:pPr>
      <w:r>
        <w:rPr>
          <w:i/>
        </w:rPr>
        <w:t>Answer the following questions to help you plan out your analysis:</w:t>
      </w:r>
    </w:p>
    <w:p w14:paraId="24D6D6C7" w14:textId="77777777" w:rsidR="009777AA" w:rsidRDefault="005A0983">
      <w:pPr>
        <w:numPr>
          <w:ilvl w:val="0"/>
          <w:numId w:val="3"/>
        </w:numPr>
        <w:spacing w:line="240" w:lineRule="auto"/>
        <w:ind w:hanging="360"/>
      </w:pPr>
      <w:r>
        <w:t>What is the performance metric you’ll use to evaluate the results of your test?</w:t>
      </w:r>
    </w:p>
    <w:p w14:paraId="60FA6256" w14:textId="77777777" w:rsidR="007D4627" w:rsidRPr="0036338C" w:rsidRDefault="00463A62" w:rsidP="007D4627">
      <w:pPr>
        <w:spacing w:line="240" w:lineRule="auto"/>
        <w:ind w:left="720"/>
        <w:rPr>
          <w:i/>
          <w:iCs/>
          <w:color w:val="365F91" w:themeColor="accent1" w:themeShade="BF"/>
        </w:rPr>
      </w:pPr>
      <w:r w:rsidRPr="0036338C">
        <w:rPr>
          <w:rFonts w:hint="eastAsia"/>
          <w:i/>
          <w:iCs/>
          <w:color w:val="365F91" w:themeColor="accent1" w:themeShade="BF"/>
        </w:rPr>
        <w:t>T</w:t>
      </w:r>
      <w:r w:rsidRPr="0036338C">
        <w:rPr>
          <w:i/>
          <w:iCs/>
          <w:color w:val="365F91" w:themeColor="accent1" w:themeShade="BF"/>
        </w:rPr>
        <w:t xml:space="preserve">his A/B test project is </w:t>
      </w:r>
      <w:r w:rsidR="0036338C">
        <w:rPr>
          <w:i/>
          <w:iCs/>
          <w:color w:val="365F91" w:themeColor="accent1" w:themeShade="BF"/>
        </w:rPr>
        <w:t>aimed to</w:t>
      </w:r>
      <w:r w:rsidRPr="0036338C">
        <w:rPr>
          <w:i/>
          <w:iCs/>
          <w:color w:val="365F91" w:themeColor="accent1" w:themeShade="BF"/>
        </w:rPr>
        <w:t xml:space="preserve"> evaluate whether the new menu can increase enough sales.</w:t>
      </w:r>
      <w:r w:rsidR="0036338C">
        <w:rPr>
          <w:i/>
          <w:iCs/>
          <w:color w:val="365F91" w:themeColor="accent1" w:themeShade="BF"/>
        </w:rPr>
        <w:t xml:space="preserve"> We need to decide whether launch a new menu or not.</w:t>
      </w:r>
    </w:p>
    <w:p w14:paraId="009B797A" w14:textId="77777777" w:rsidR="009777AA" w:rsidRDefault="005A0983">
      <w:pPr>
        <w:numPr>
          <w:ilvl w:val="0"/>
          <w:numId w:val="3"/>
        </w:numPr>
        <w:spacing w:line="240" w:lineRule="auto"/>
        <w:ind w:hanging="360"/>
      </w:pPr>
      <w:r>
        <w:t>What is the test period?</w:t>
      </w:r>
    </w:p>
    <w:p w14:paraId="678FF6F0" w14:textId="77777777" w:rsidR="00772B2C" w:rsidRPr="00981122" w:rsidRDefault="00772B2C" w:rsidP="00772B2C">
      <w:pPr>
        <w:spacing w:line="240" w:lineRule="auto"/>
        <w:ind w:left="720"/>
        <w:rPr>
          <w:i/>
          <w:iCs/>
          <w:color w:val="365F91" w:themeColor="accent1" w:themeShade="BF"/>
        </w:rPr>
      </w:pPr>
      <w:r w:rsidRPr="00981122">
        <w:rPr>
          <w:i/>
          <w:iCs/>
          <w:color w:val="365F91" w:themeColor="accent1" w:themeShade="BF"/>
        </w:rPr>
        <w:t>The test period will be 2016-April-29 to 2016-July-21 (12 weeks.)</w:t>
      </w:r>
    </w:p>
    <w:p w14:paraId="1901492E" w14:textId="77777777" w:rsidR="009777AA" w:rsidRDefault="005A0983">
      <w:pPr>
        <w:numPr>
          <w:ilvl w:val="0"/>
          <w:numId w:val="3"/>
        </w:numPr>
        <w:spacing w:after="40" w:line="240" w:lineRule="auto"/>
        <w:ind w:hanging="360"/>
      </w:pPr>
      <w:r>
        <w:t>At what level (day, week, month, etc.) should the data be aggregated?</w:t>
      </w:r>
    </w:p>
    <w:p w14:paraId="61612F8B" w14:textId="77777777" w:rsidR="00346739" w:rsidRPr="0050640C" w:rsidRDefault="00346739" w:rsidP="00346739">
      <w:pPr>
        <w:spacing w:after="40" w:line="240" w:lineRule="auto"/>
        <w:ind w:left="720"/>
        <w:rPr>
          <w:i/>
          <w:iCs/>
          <w:color w:val="1F497D" w:themeColor="text2"/>
        </w:rPr>
      </w:pPr>
      <w:r w:rsidRPr="0050640C">
        <w:rPr>
          <w:i/>
          <w:iCs/>
          <w:color w:val="1F497D" w:themeColor="text2"/>
        </w:rPr>
        <w:t>Our data needs to be aggregated (grouped) by Store ID, Number of Weeks, Store Traffic, Gross Margin and Sales.</w:t>
      </w:r>
    </w:p>
    <w:p w14:paraId="6869CC6C" w14:textId="77777777" w:rsidR="009777AA" w:rsidRDefault="005A0983">
      <w:pPr>
        <w:pStyle w:val="2"/>
        <w:keepNext w:val="0"/>
        <w:keepLines w:val="0"/>
        <w:spacing w:before="240" w:after="40"/>
      </w:pPr>
      <w:r>
        <w:t>Step 2: Clean Up Your Data</w:t>
      </w:r>
    </w:p>
    <w:p w14:paraId="3DD43EC6" w14:textId="25A672FB" w:rsidR="009777AA" w:rsidRDefault="005A0983" w:rsidP="00B04D53">
      <w:pPr>
        <w:spacing w:afterLines="100" w:after="240" w:line="240" w:lineRule="auto"/>
        <w:rPr>
          <w:i/>
        </w:rPr>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7D95DDA6" w14:textId="4919AC26" w:rsidR="00B04D53" w:rsidRDefault="001100EF">
      <w:pPr>
        <w:spacing w:line="240" w:lineRule="auto"/>
        <w:rPr>
          <w:i/>
          <w:color w:val="0070C0"/>
        </w:rPr>
      </w:pPr>
      <w:r>
        <w:rPr>
          <w:i/>
          <w:color w:val="0070C0"/>
        </w:rPr>
        <w:t>The steps I followed:</w:t>
      </w:r>
    </w:p>
    <w:p w14:paraId="066A3BE7" w14:textId="33DD0B9C" w:rsidR="001100EF" w:rsidRPr="001100EF" w:rsidRDefault="001100EF" w:rsidP="001100EF">
      <w:pPr>
        <w:pStyle w:val="a9"/>
        <w:numPr>
          <w:ilvl w:val="0"/>
          <w:numId w:val="4"/>
        </w:numPr>
        <w:spacing w:line="240" w:lineRule="auto"/>
        <w:rPr>
          <w:i/>
          <w:color w:val="0070C0"/>
        </w:rPr>
      </w:pPr>
      <w:r w:rsidRPr="001100EF">
        <w:rPr>
          <w:i/>
          <w:color w:val="0070C0"/>
        </w:rPr>
        <w:t>Filter the data to the proper date range</w:t>
      </w:r>
      <w:r>
        <w:rPr>
          <w:i/>
          <w:color w:val="0070C0"/>
        </w:rPr>
        <w:t xml:space="preserve"> (</w:t>
      </w:r>
      <w:r w:rsidRPr="001100EF">
        <w:rPr>
          <w:i/>
          <w:color w:val="0070C0"/>
        </w:rPr>
        <w:t xml:space="preserve">[Invoice Date]&gt;="2015-02-06" AND [Invoice </w:t>
      </w:r>
      <w:proofErr w:type="gramStart"/>
      <w:r w:rsidRPr="001100EF">
        <w:rPr>
          <w:i/>
          <w:color w:val="0070C0"/>
        </w:rPr>
        <w:t>Date]&lt;</w:t>
      </w:r>
      <w:proofErr w:type="gramEnd"/>
      <w:r w:rsidRPr="001100EF">
        <w:rPr>
          <w:i/>
          <w:color w:val="0070C0"/>
        </w:rPr>
        <w:t>"2016-07-22"</w:t>
      </w:r>
      <w:r>
        <w:rPr>
          <w:i/>
          <w:color w:val="0070C0"/>
        </w:rPr>
        <w:t>)</w:t>
      </w:r>
    </w:p>
    <w:p w14:paraId="3488D394" w14:textId="77777777" w:rsidR="001100EF" w:rsidRPr="001100EF" w:rsidRDefault="001100EF" w:rsidP="001100EF">
      <w:pPr>
        <w:pStyle w:val="a9"/>
        <w:numPr>
          <w:ilvl w:val="0"/>
          <w:numId w:val="4"/>
        </w:numPr>
        <w:spacing w:line="240" w:lineRule="auto"/>
        <w:rPr>
          <w:i/>
          <w:color w:val="0070C0"/>
        </w:rPr>
      </w:pPr>
      <w:r w:rsidRPr="001100EF">
        <w:rPr>
          <w:i/>
          <w:color w:val="0070C0"/>
        </w:rPr>
        <w:t>Aggregate the data to get the weekly gross margin and weekly traffic count (count of unique invoices)</w:t>
      </w:r>
    </w:p>
    <w:p w14:paraId="00299343" w14:textId="77777777" w:rsidR="001100EF" w:rsidRPr="001100EF" w:rsidRDefault="001100EF" w:rsidP="001100EF">
      <w:pPr>
        <w:pStyle w:val="a9"/>
        <w:numPr>
          <w:ilvl w:val="0"/>
          <w:numId w:val="4"/>
        </w:numPr>
        <w:spacing w:line="240" w:lineRule="auto"/>
        <w:rPr>
          <w:i/>
          <w:color w:val="0070C0"/>
        </w:rPr>
      </w:pPr>
      <w:r w:rsidRPr="001100EF">
        <w:rPr>
          <w:i/>
          <w:color w:val="0070C0"/>
        </w:rPr>
        <w:t>Calculate Trend and Seasonality with the AB Trend Tool</w:t>
      </w:r>
    </w:p>
    <w:p w14:paraId="5603112F" w14:textId="77777777" w:rsidR="001100EF" w:rsidRPr="001100EF" w:rsidRDefault="001100EF" w:rsidP="001100EF">
      <w:pPr>
        <w:pStyle w:val="a9"/>
        <w:numPr>
          <w:ilvl w:val="0"/>
          <w:numId w:val="4"/>
        </w:numPr>
        <w:spacing w:line="240" w:lineRule="auto"/>
        <w:rPr>
          <w:i/>
          <w:color w:val="0070C0"/>
        </w:rPr>
      </w:pPr>
      <w:r w:rsidRPr="001100EF">
        <w:rPr>
          <w:i/>
          <w:color w:val="0070C0"/>
        </w:rPr>
        <w:t>Label the data as treatment and control stores</w:t>
      </w:r>
    </w:p>
    <w:p w14:paraId="4EB7197B" w14:textId="77777777" w:rsidR="001100EF" w:rsidRPr="001100EF" w:rsidRDefault="001100EF" w:rsidP="001100EF">
      <w:pPr>
        <w:pStyle w:val="a9"/>
        <w:numPr>
          <w:ilvl w:val="0"/>
          <w:numId w:val="4"/>
        </w:numPr>
        <w:spacing w:line="240" w:lineRule="auto"/>
        <w:rPr>
          <w:i/>
          <w:color w:val="0070C0"/>
        </w:rPr>
      </w:pPr>
      <w:r w:rsidRPr="001100EF">
        <w:rPr>
          <w:i/>
          <w:color w:val="0070C0"/>
        </w:rPr>
        <w:t>Calculate correlation between other numeric measures and the performance metric (gross margin)</w:t>
      </w:r>
    </w:p>
    <w:p w14:paraId="61597101" w14:textId="77777777" w:rsidR="001100EF" w:rsidRPr="001100EF" w:rsidRDefault="001100EF" w:rsidP="001100EF">
      <w:pPr>
        <w:pStyle w:val="a9"/>
        <w:numPr>
          <w:ilvl w:val="0"/>
          <w:numId w:val="4"/>
        </w:numPr>
        <w:spacing w:line="240" w:lineRule="auto"/>
        <w:rPr>
          <w:i/>
          <w:color w:val="0070C0"/>
        </w:rPr>
      </w:pPr>
      <w:r w:rsidRPr="001100EF">
        <w:rPr>
          <w:i/>
          <w:color w:val="0070C0"/>
        </w:rPr>
        <w:t>Match Treatment to control stores per region using the AB Controls Tool</w:t>
      </w:r>
    </w:p>
    <w:p w14:paraId="78EDF7C1" w14:textId="3F510DBA" w:rsidR="001100EF" w:rsidRPr="001100EF" w:rsidRDefault="001100EF" w:rsidP="001100EF">
      <w:pPr>
        <w:pStyle w:val="a9"/>
        <w:numPr>
          <w:ilvl w:val="0"/>
          <w:numId w:val="4"/>
        </w:numPr>
        <w:spacing w:line="240" w:lineRule="auto"/>
        <w:rPr>
          <w:i/>
          <w:color w:val="0070C0"/>
        </w:rPr>
      </w:pPr>
      <w:r w:rsidRPr="001100EF">
        <w:rPr>
          <w:i/>
          <w:color w:val="0070C0"/>
        </w:rPr>
        <w:t>Calculate lift from control to treatment store with AB Analysis tool</w:t>
      </w:r>
    </w:p>
    <w:p w14:paraId="26314286" w14:textId="77777777" w:rsidR="009777AA" w:rsidRDefault="005A0983">
      <w:pPr>
        <w:pStyle w:val="2"/>
        <w:keepNext w:val="0"/>
        <w:keepLines w:val="0"/>
        <w:spacing w:before="240" w:after="40"/>
      </w:pPr>
      <w:r>
        <w:t>Step 3: Match Treatment and Control Units</w:t>
      </w:r>
    </w:p>
    <w:p w14:paraId="4AD1C7C6" w14:textId="77777777" w:rsidR="009777AA" w:rsidRPr="00AF3A76" w:rsidRDefault="005A0983">
      <w:pPr>
        <w:spacing w:line="240" w:lineRule="auto"/>
        <w:rPr>
          <w:iCs/>
        </w:rPr>
      </w:pPr>
      <w:r w:rsidRPr="00AF3A76">
        <w:rPr>
          <w:iCs/>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6CE9E080" w14:textId="77777777" w:rsidR="009777AA" w:rsidRDefault="009777AA">
      <w:pPr>
        <w:spacing w:line="240" w:lineRule="auto"/>
      </w:pPr>
    </w:p>
    <w:tbl>
      <w:tblPr>
        <w:tblStyle w:val="a6"/>
        <w:tblW w:w="0" w:type="auto"/>
        <w:tblLook w:val="04A0" w:firstRow="1" w:lastRow="0" w:firstColumn="1" w:lastColumn="0" w:noHBand="0" w:noVBand="1"/>
      </w:tblPr>
      <w:tblGrid>
        <w:gridCol w:w="1069"/>
        <w:gridCol w:w="895"/>
        <w:gridCol w:w="1446"/>
        <w:gridCol w:w="1383"/>
        <w:gridCol w:w="895"/>
        <w:gridCol w:w="2216"/>
        <w:gridCol w:w="1446"/>
      </w:tblGrid>
      <w:tr w:rsidR="00AF3A76" w:rsidRPr="00AF3A76" w14:paraId="22A69614" w14:textId="77777777" w:rsidTr="00AF3A76">
        <w:trPr>
          <w:trHeight w:val="330"/>
        </w:trPr>
        <w:tc>
          <w:tcPr>
            <w:tcW w:w="1300" w:type="dxa"/>
            <w:shd w:val="clear" w:color="auto" w:fill="FBD4B4" w:themeFill="accent6" w:themeFillTint="66"/>
            <w:noWrap/>
            <w:hideMark/>
          </w:tcPr>
          <w:p w14:paraId="63568C14" w14:textId="77777777" w:rsidR="00AF3A76" w:rsidRPr="00AF3A76" w:rsidRDefault="00AF3A76" w:rsidP="00AF3A76">
            <w:pPr>
              <w:jc w:val="center"/>
              <w:rPr>
                <w:b/>
                <w:bCs/>
              </w:rPr>
            </w:pPr>
            <w:proofErr w:type="spellStart"/>
            <w:r w:rsidRPr="00AF3A76">
              <w:rPr>
                <w:b/>
                <w:bCs/>
              </w:rPr>
              <w:t>StoreID</w:t>
            </w:r>
            <w:proofErr w:type="spellEnd"/>
          </w:p>
        </w:tc>
        <w:tc>
          <w:tcPr>
            <w:tcW w:w="1080" w:type="dxa"/>
            <w:shd w:val="clear" w:color="auto" w:fill="FBD4B4" w:themeFill="accent6" w:themeFillTint="66"/>
            <w:noWrap/>
            <w:hideMark/>
          </w:tcPr>
          <w:p w14:paraId="0A48C598" w14:textId="77777777" w:rsidR="00AF3A76" w:rsidRPr="00AF3A76" w:rsidRDefault="00AF3A76" w:rsidP="00AF3A76">
            <w:pPr>
              <w:jc w:val="center"/>
              <w:rPr>
                <w:b/>
                <w:bCs/>
              </w:rPr>
            </w:pPr>
            <w:r w:rsidRPr="00AF3A76">
              <w:rPr>
                <w:b/>
                <w:bCs/>
              </w:rPr>
              <w:t>Week</w:t>
            </w:r>
          </w:p>
        </w:tc>
        <w:tc>
          <w:tcPr>
            <w:tcW w:w="1780" w:type="dxa"/>
            <w:shd w:val="clear" w:color="auto" w:fill="FBD4B4" w:themeFill="accent6" w:themeFillTint="66"/>
            <w:noWrap/>
            <w:hideMark/>
          </w:tcPr>
          <w:p w14:paraId="24D10208" w14:textId="77777777" w:rsidR="00AF3A76" w:rsidRPr="00AF3A76" w:rsidRDefault="00AF3A76" w:rsidP="00AF3A76">
            <w:pPr>
              <w:jc w:val="center"/>
              <w:rPr>
                <w:b/>
                <w:bCs/>
              </w:rPr>
            </w:pPr>
            <w:proofErr w:type="spellStart"/>
            <w:r w:rsidRPr="00AF3A76">
              <w:rPr>
                <w:b/>
                <w:bCs/>
              </w:rPr>
              <w:t>Week_Start</w:t>
            </w:r>
            <w:proofErr w:type="spellEnd"/>
          </w:p>
        </w:tc>
        <w:tc>
          <w:tcPr>
            <w:tcW w:w="1700" w:type="dxa"/>
            <w:shd w:val="clear" w:color="auto" w:fill="FBD4B4" w:themeFill="accent6" w:themeFillTint="66"/>
            <w:noWrap/>
            <w:hideMark/>
          </w:tcPr>
          <w:p w14:paraId="0147AE06" w14:textId="77777777" w:rsidR="00AF3A76" w:rsidRPr="00AF3A76" w:rsidRDefault="00AF3A76" w:rsidP="00AF3A76">
            <w:pPr>
              <w:jc w:val="center"/>
              <w:rPr>
                <w:b/>
                <w:bCs/>
              </w:rPr>
            </w:pPr>
            <w:proofErr w:type="spellStart"/>
            <w:r w:rsidRPr="00AF3A76">
              <w:rPr>
                <w:b/>
                <w:bCs/>
              </w:rPr>
              <w:t>Week_End</w:t>
            </w:r>
            <w:proofErr w:type="spellEnd"/>
          </w:p>
        </w:tc>
        <w:tc>
          <w:tcPr>
            <w:tcW w:w="1080" w:type="dxa"/>
            <w:shd w:val="clear" w:color="auto" w:fill="FBD4B4" w:themeFill="accent6" w:themeFillTint="66"/>
            <w:noWrap/>
            <w:hideMark/>
          </w:tcPr>
          <w:p w14:paraId="35EBC9BD" w14:textId="77777777" w:rsidR="00AF3A76" w:rsidRPr="00AF3A76" w:rsidRDefault="00AF3A76" w:rsidP="00AF3A76">
            <w:pPr>
              <w:jc w:val="center"/>
              <w:rPr>
                <w:b/>
                <w:bCs/>
              </w:rPr>
            </w:pPr>
            <w:r w:rsidRPr="00AF3A76">
              <w:rPr>
                <w:b/>
                <w:bCs/>
              </w:rPr>
              <w:t>Count</w:t>
            </w:r>
          </w:p>
        </w:tc>
        <w:tc>
          <w:tcPr>
            <w:tcW w:w="2760" w:type="dxa"/>
            <w:shd w:val="clear" w:color="auto" w:fill="FBD4B4" w:themeFill="accent6" w:themeFillTint="66"/>
            <w:noWrap/>
            <w:hideMark/>
          </w:tcPr>
          <w:p w14:paraId="31A71BEC" w14:textId="77777777" w:rsidR="00AF3A76" w:rsidRPr="00AF3A76" w:rsidRDefault="00AF3A76" w:rsidP="00AF3A76">
            <w:pPr>
              <w:jc w:val="center"/>
              <w:rPr>
                <w:b/>
                <w:bCs/>
              </w:rPr>
            </w:pPr>
            <w:proofErr w:type="spellStart"/>
            <w:r w:rsidRPr="00AF3A76">
              <w:rPr>
                <w:b/>
                <w:bCs/>
              </w:rPr>
              <w:t>Sum_Gross</w:t>
            </w:r>
            <w:proofErr w:type="spellEnd"/>
            <w:r w:rsidRPr="00AF3A76">
              <w:rPr>
                <w:b/>
                <w:bCs/>
              </w:rPr>
              <w:t xml:space="preserve"> Margin</w:t>
            </w:r>
          </w:p>
        </w:tc>
        <w:tc>
          <w:tcPr>
            <w:tcW w:w="1780" w:type="dxa"/>
            <w:shd w:val="clear" w:color="auto" w:fill="FBD4B4" w:themeFill="accent6" w:themeFillTint="66"/>
            <w:noWrap/>
            <w:hideMark/>
          </w:tcPr>
          <w:p w14:paraId="72E6FDE1" w14:textId="77777777" w:rsidR="00AF3A76" w:rsidRPr="00AF3A76" w:rsidRDefault="00AF3A76" w:rsidP="00AF3A76">
            <w:pPr>
              <w:jc w:val="center"/>
              <w:rPr>
                <w:b/>
                <w:bCs/>
              </w:rPr>
            </w:pPr>
            <w:proofErr w:type="spellStart"/>
            <w:r w:rsidRPr="00AF3A76">
              <w:rPr>
                <w:b/>
                <w:bCs/>
              </w:rPr>
              <w:t>Sum_Sales</w:t>
            </w:r>
            <w:proofErr w:type="spellEnd"/>
          </w:p>
        </w:tc>
      </w:tr>
      <w:tr w:rsidR="00AF3A76" w:rsidRPr="00AF3A76" w14:paraId="4DB80B0A" w14:textId="77777777" w:rsidTr="00AF3A76">
        <w:trPr>
          <w:trHeight w:val="330"/>
        </w:trPr>
        <w:tc>
          <w:tcPr>
            <w:tcW w:w="1300" w:type="dxa"/>
            <w:noWrap/>
            <w:hideMark/>
          </w:tcPr>
          <w:p w14:paraId="6BD8421F" w14:textId="77777777" w:rsidR="00AF3A76" w:rsidRPr="00AF3A76" w:rsidRDefault="00AF3A76" w:rsidP="00AF3A76">
            <w:pPr>
              <w:jc w:val="right"/>
            </w:pPr>
            <w:r w:rsidRPr="00AF3A76">
              <w:t>10018</w:t>
            </w:r>
          </w:p>
        </w:tc>
        <w:tc>
          <w:tcPr>
            <w:tcW w:w="1080" w:type="dxa"/>
            <w:noWrap/>
            <w:hideMark/>
          </w:tcPr>
          <w:p w14:paraId="626D9CB1" w14:textId="77777777" w:rsidR="00AF3A76" w:rsidRPr="00AF3A76" w:rsidRDefault="00AF3A76" w:rsidP="00AF3A76">
            <w:pPr>
              <w:jc w:val="right"/>
            </w:pPr>
            <w:r w:rsidRPr="00AF3A76">
              <w:t>1</w:t>
            </w:r>
          </w:p>
        </w:tc>
        <w:tc>
          <w:tcPr>
            <w:tcW w:w="1780" w:type="dxa"/>
            <w:noWrap/>
            <w:hideMark/>
          </w:tcPr>
          <w:p w14:paraId="22210ED7" w14:textId="77777777" w:rsidR="00AF3A76" w:rsidRPr="00AF3A76" w:rsidRDefault="00AF3A76" w:rsidP="00AF3A76">
            <w:pPr>
              <w:jc w:val="right"/>
            </w:pPr>
            <w:r w:rsidRPr="00AF3A76">
              <w:t>2015-02-06</w:t>
            </w:r>
          </w:p>
        </w:tc>
        <w:tc>
          <w:tcPr>
            <w:tcW w:w="1700" w:type="dxa"/>
            <w:noWrap/>
            <w:hideMark/>
          </w:tcPr>
          <w:p w14:paraId="69430E18" w14:textId="77777777" w:rsidR="00AF3A76" w:rsidRPr="00AF3A76" w:rsidRDefault="00AF3A76" w:rsidP="00AF3A76">
            <w:pPr>
              <w:jc w:val="right"/>
            </w:pPr>
            <w:r w:rsidRPr="00AF3A76">
              <w:t>2015-02-12</w:t>
            </w:r>
          </w:p>
        </w:tc>
        <w:tc>
          <w:tcPr>
            <w:tcW w:w="1080" w:type="dxa"/>
            <w:noWrap/>
            <w:hideMark/>
          </w:tcPr>
          <w:p w14:paraId="4C808D34" w14:textId="77777777" w:rsidR="00AF3A76" w:rsidRPr="00AF3A76" w:rsidRDefault="00AF3A76" w:rsidP="00AF3A76">
            <w:pPr>
              <w:jc w:val="right"/>
            </w:pPr>
            <w:r w:rsidRPr="00AF3A76">
              <w:t>308</w:t>
            </w:r>
          </w:p>
        </w:tc>
        <w:tc>
          <w:tcPr>
            <w:tcW w:w="2760" w:type="dxa"/>
            <w:noWrap/>
            <w:hideMark/>
          </w:tcPr>
          <w:p w14:paraId="7AB5DF99" w14:textId="77777777" w:rsidR="00AF3A76" w:rsidRPr="00AF3A76" w:rsidRDefault="00AF3A76" w:rsidP="00AF3A76">
            <w:pPr>
              <w:jc w:val="right"/>
            </w:pPr>
            <w:r w:rsidRPr="00AF3A76">
              <w:t>2212.71</w:t>
            </w:r>
          </w:p>
        </w:tc>
        <w:tc>
          <w:tcPr>
            <w:tcW w:w="1780" w:type="dxa"/>
            <w:noWrap/>
            <w:hideMark/>
          </w:tcPr>
          <w:p w14:paraId="2E4FFD60" w14:textId="77777777" w:rsidR="00AF3A76" w:rsidRPr="00AF3A76" w:rsidRDefault="00AF3A76" w:rsidP="00AF3A76">
            <w:pPr>
              <w:jc w:val="right"/>
            </w:pPr>
            <w:r w:rsidRPr="00AF3A76">
              <w:t>4741.48</w:t>
            </w:r>
          </w:p>
        </w:tc>
      </w:tr>
      <w:tr w:rsidR="00AF3A76" w:rsidRPr="00AF3A76" w14:paraId="131F345C" w14:textId="77777777" w:rsidTr="00AF3A76">
        <w:trPr>
          <w:trHeight w:val="330"/>
        </w:trPr>
        <w:tc>
          <w:tcPr>
            <w:tcW w:w="1300" w:type="dxa"/>
            <w:noWrap/>
            <w:hideMark/>
          </w:tcPr>
          <w:p w14:paraId="288C5D32" w14:textId="77777777" w:rsidR="00AF3A76" w:rsidRPr="00AF3A76" w:rsidRDefault="00AF3A76" w:rsidP="00AF3A76">
            <w:pPr>
              <w:jc w:val="right"/>
            </w:pPr>
            <w:r w:rsidRPr="00AF3A76">
              <w:t>10018</w:t>
            </w:r>
          </w:p>
        </w:tc>
        <w:tc>
          <w:tcPr>
            <w:tcW w:w="1080" w:type="dxa"/>
            <w:noWrap/>
            <w:hideMark/>
          </w:tcPr>
          <w:p w14:paraId="2BE0037C" w14:textId="77777777" w:rsidR="00AF3A76" w:rsidRPr="00AF3A76" w:rsidRDefault="00AF3A76" w:rsidP="00AF3A76">
            <w:pPr>
              <w:jc w:val="right"/>
            </w:pPr>
            <w:r w:rsidRPr="00AF3A76">
              <w:t>2</w:t>
            </w:r>
          </w:p>
        </w:tc>
        <w:tc>
          <w:tcPr>
            <w:tcW w:w="1780" w:type="dxa"/>
            <w:noWrap/>
            <w:hideMark/>
          </w:tcPr>
          <w:p w14:paraId="4BF267FD" w14:textId="77777777" w:rsidR="00AF3A76" w:rsidRPr="00AF3A76" w:rsidRDefault="00AF3A76" w:rsidP="00AF3A76">
            <w:pPr>
              <w:jc w:val="right"/>
            </w:pPr>
            <w:r w:rsidRPr="00AF3A76">
              <w:t>2015-02-13</w:t>
            </w:r>
          </w:p>
        </w:tc>
        <w:tc>
          <w:tcPr>
            <w:tcW w:w="1700" w:type="dxa"/>
            <w:noWrap/>
            <w:hideMark/>
          </w:tcPr>
          <w:p w14:paraId="2D8C3ABD" w14:textId="77777777" w:rsidR="00AF3A76" w:rsidRPr="00AF3A76" w:rsidRDefault="00AF3A76" w:rsidP="00AF3A76">
            <w:pPr>
              <w:jc w:val="right"/>
            </w:pPr>
            <w:r w:rsidRPr="00AF3A76">
              <w:t>2015-02-19</w:t>
            </w:r>
          </w:p>
        </w:tc>
        <w:tc>
          <w:tcPr>
            <w:tcW w:w="1080" w:type="dxa"/>
            <w:noWrap/>
            <w:hideMark/>
          </w:tcPr>
          <w:p w14:paraId="77B638BA" w14:textId="77777777" w:rsidR="00AF3A76" w:rsidRPr="00AF3A76" w:rsidRDefault="00AF3A76" w:rsidP="00AF3A76">
            <w:pPr>
              <w:jc w:val="right"/>
            </w:pPr>
            <w:r w:rsidRPr="00AF3A76">
              <w:t>288</w:t>
            </w:r>
          </w:p>
        </w:tc>
        <w:tc>
          <w:tcPr>
            <w:tcW w:w="2760" w:type="dxa"/>
            <w:noWrap/>
            <w:hideMark/>
          </w:tcPr>
          <w:p w14:paraId="24AB3022" w14:textId="77777777" w:rsidR="00AF3A76" w:rsidRPr="00AF3A76" w:rsidRDefault="00AF3A76" w:rsidP="00AF3A76">
            <w:pPr>
              <w:jc w:val="right"/>
            </w:pPr>
            <w:r w:rsidRPr="00AF3A76">
              <w:t>2164.01</w:t>
            </w:r>
          </w:p>
        </w:tc>
        <w:tc>
          <w:tcPr>
            <w:tcW w:w="1780" w:type="dxa"/>
            <w:noWrap/>
            <w:hideMark/>
          </w:tcPr>
          <w:p w14:paraId="566245DE" w14:textId="77777777" w:rsidR="00AF3A76" w:rsidRPr="00AF3A76" w:rsidRDefault="00AF3A76" w:rsidP="00AF3A76">
            <w:pPr>
              <w:jc w:val="right"/>
            </w:pPr>
            <w:r w:rsidRPr="00AF3A76">
              <w:t>4571.25</w:t>
            </w:r>
          </w:p>
        </w:tc>
      </w:tr>
      <w:tr w:rsidR="00AF3A76" w:rsidRPr="00AF3A76" w14:paraId="19C472E6" w14:textId="77777777" w:rsidTr="00AF3A76">
        <w:trPr>
          <w:trHeight w:val="330"/>
        </w:trPr>
        <w:tc>
          <w:tcPr>
            <w:tcW w:w="1300" w:type="dxa"/>
            <w:noWrap/>
            <w:hideMark/>
          </w:tcPr>
          <w:p w14:paraId="2F2877AD" w14:textId="77777777" w:rsidR="00AF3A76" w:rsidRPr="00AF3A76" w:rsidRDefault="00AF3A76" w:rsidP="00AF3A76">
            <w:pPr>
              <w:jc w:val="right"/>
            </w:pPr>
            <w:r w:rsidRPr="00AF3A76">
              <w:t>10018</w:t>
            </w:r>
          </w:p>
        </w:tc>
        <w:tc>
          <w:tcPr>
            <w:tcW w:w="1080" w:type="dxa"/>
            <w:noWrap/>
            <w:hideMark/>
          </w:tcPr>
          <w:p w14:paraId="3E8401E9" w14:textId="77777777" w:rsidR="00AF3A76" w:rsidRPr="00AF3A76" w:rsidRDefault="00AF3A76" w:rsidP="00AF3A76">
            <w:pPr>
              <w:jc w:val="right"/>
            </w:pPr>
            <w:r w:rsidRPr="00AF3A76">
              <w:t>3</w:t>
            </w:r>
          </w:p>
        </w:tc>
        <w:tc>
          <w:tcPr>
            <w:tcW w:w="1780" w:type="dxa"/>
            <w:noWrap/>
            <w:hideMark/>
          </w:tcPr>
          <w:p w14:paraId="694A2E38" w14:textId="77777777" w:rsidR="00AF3A76" w:rsidRPr="00AF3A76" w:rsidRDefault="00AF3A76" w:rsidP="00AF3A76">
            <w:pPr>
              <w:jc w:val="right"/>
            </w:pPr>
            <w:r w:rsidRPr="00AF3A76">
              <w:t>2015-02-20</w:t>
            </w:r>
          </w:p>
        </w:tc>
        <w:tc>
          <w:tcPr>
            <w:tcW w:w="1700" w:type="dxa"/>
            <w:noWrap/>
            <w:hideMark/>
          </w:tcPr>
          <w:p w14:paraId="5DDC0DBB" w14:textId="77777777" w:rsidR="00AF3A76" w:rsidRPr="00AF3A76" w:rsidRDefault="00AF3A76" w:rsidP="00AF3A76">
            <w:pPr>
              <w:jc w:val="right"/>
            </w:pPr>
            <w:r w:rsidRPr="00AF3A76">
              <w:t>2015-02-26</w:t>
            </w:r>
          </w:p>
        </w:tc>
        <w:tc>
          <w:tcPr>
            <w:tcW w:w="1080" w:type="dxa"/>
            <w:noWrap/>
            <w:hideMark/>
          </w:tcPr>
          <w:p w14:paraId="5E07B4A5" w14:textId="77777777" w:rsidR="00AF3A76" w:rsidRPr="00AF3A76" w:rsidRDefault="00AF3A76" w:rsidP="00AF3A76">
            <w:pPr>
              <w:jc w:val="right"/>
            </w:pPr>
            <w:r w:rsidRPr="00AF3A76">
              <w:t>204</w:t>
            </w:r>
          </w:p>
        </w:tc>
        <w:tc>
          <w:tcPr>
            <w:tcW w:w="2760" w:type="dxa"/>
            <w:noWrap/>
            <w:hideMark/>
          </w:tcPr>
          <w:p w14:paraId="68AA057D" w14:textId="77777777" w:rsidR="00AF3A76" w:rsidRPr="00AF3A76" w:rsidRDefault="00AF3A76" w:rsidP="00AF3A76">
            <w:pPr>
              <w:jc w:val="right"/>
            </w:pPr>
            <w:r w:rsidRPr="00AF3A76">
              <w:t>1560.93</w:t>
            </w:r>
          </w:p>
        </w:tc>
        <w:tc>
          <w:tcPr>
            <w:tcW w:w="1780" w:type="dxa"/>
            <w:noWrap/>
            <w:hideMark/>
          </w:tcPr>
          <w:p w14:paraId="5DA18DA9" w14:textId="77777777" w:rsidR="00AF3A76" w:rsidRPr="00AF3A76" w:rsidRDefault="00AF3A76" w:rsidP="00AF3A76">
            <w:pPr>
              <w:jc w:val="right"/>
            </w:pPr>
            <w:r w:rsidRPr="00AF3A76">
              <w:t>3348.25</w:t>
            </w:r>
          </w:p>
        </w:tc>
      </w:tr>
      <w:tr w:rsidR="00AF3A76" w:rsidRPr="00AF3A76" w14:paraId="3D0723CF" w14:textId="77777777" w:rsidTr="00AF3A76">
        <w:trPr>
          <w:trHeight w:val="330"/>
        </w:trPr>
        <w:tc>
          <w:tcPr>
            <w:tcW w:w="1300" w:type="dxa"/>
            <w:noWrap/>
            <w:hideMark/>
          </w:tcPr>
          <w:p w14:paraId="2078A79D" w14:textId="77777777" w:rsidR="00AF3A76" w:rsidRPr="00AF3A76" w:rsidRDefault="00AF3A76" w:rsidP="00AF3A76">
            <w:pPr>
              <w:jc w:val="right"/>
            </w:pPr>
            <w:r w:rsidRPr="00AF3A76">
              <w:t>10018</w:t>
            </w:r>
          </w:p>
        </w:tc>
        <w:tc>
          <w:tcPr>
            <w:tcW w:w="1080" w:type="dxa"/>
            <w:noWrap/>
            <w:hideMark/>
          </w:tcPr>
          <w:p w14:paraId="4FC30581" w14:textId="77777777" w:rsidR="00AF3A76" w:rsidRPr="00AF3A76" w:rsidRDefault="00AF3A76" w:rsidP="00AF3A76">
            <w:pPr>
              <w:jc w:val="right"/>
            </w:pPr>
            <w:r w:rsidRPr="00AF3A76">
              <w:t>4</w:t>
            </w:r>
          </w:p>
        </w:tc>
        <w:tc>
          <w:tcPr>
            <w:tcW w:w="1780" w:type="dxa"/>
            <w:noWrap/>
            <w:hideMark/>
          </w:tcPr>
          <w:p w14:paraId="07B70D0B" w14:textId="77777777" w:rsidR="00AF3A76" w:rsidRPr="00AF3A76" w:rsidRDefault="00AF3A76" w:rsidP="00AF3A76">
            <w:pPr>
              <w:jc w:val="right"/>
            </w:pPr>
            <w:r w:rsidRPr="00AF3A76">
              <w:t>2015-02-27</w:t>
            </w:r>
          </w:p>
        </w:tc>
        <w:tc>
          <w:tcPr>
            <w:tcW w:w="1700" w:type="dxa"/>
            <w:noWrap/>
            <w:hideMark/>
          </w:tcPr>
          <w:p w14:paraId="147C170C" w14:textId="77777777" w:rsidR="00AF3A76" w:rsidRPr="00AF3A76" w:rsidRDefault="00AF3A76" w:rsidP="00AF3A76">
            <w:pPr>
              <w:jc w:val="right"/>
            </w:pPr>
            <w:r w:rsidRPr="00AF3A76">
              <w:t>2015-03-05</w:t>
            </w:r>
          </w:p>
        </w:tc>
        <w:tc>
          <w:tcPr>
            <w:tcW w:w="1080" w:type="dxa"/>
            <w:noWrap/>
            <w:hideMark/>
          </w:tcPr>
          <w:p w14:paraId="778CD5BD" w14:textId="77777777" w:rsidR="00AF3A76" w:rsidRPr="00AF3A76" w:rsidRDefault="00AF3A76" w:rsidP="00AF3A76">
            <w:pPr>
              <w:jc w:val="right"/>
            </w:pPr>
            <w:r w:rsidRPr="00AF3A76">
              <w:t>320</w:t>
            </w:r>
          </w:p>
        </w:tc>
        <w:tc>
          <w:tcPr>
            <w:tcW w:w="2760" w:type="dxa"/>
            <w:noWrap/>
            <w:hideMark/>
          </w:tcPr>
          <w:p w14:paraId="70F09E35" w14:textId="77777777" w:rsidR="00AF3A76" w:rsidRPr="00AF3A76" w:rsidRDefault="00AF3A76" w:rsidP="00AF3A76">
            <w:pPr>
              <w:jc w:val="right"/>
            </w:pPr>
            <w:r w:rsidRPr="00AF3A76">
              <w:t>2342.98</w:t>
            </w:r>
          </w:p>
        </w:tc>
        <w:tc>
          <w:tcPr>
            <w:tcW w:w="1780" w:type="dxa"/>
            <w:noWrap/>
            <w:hideMark/>
          </w:tcPr>
          <w:p w14:paraId="59F23C7B" w14:textId="77777777" w:rsidR="00AF3A76" w:rsidRPr="00AF3A76" w:rsidRDefault="00AF3A76" w:rsidP="00AF3A76">
            <w:pPr>
              <w:jc w:val="right"/>
            </w:pPr>
            <w:r w:rsidRPr="00AF3A76">
              <w:t>5114.96</w:t>
            </w:r>
          </w:p>
        </w:tc>
      </w:tr>
      <w:tr w:rsidR="00AF3A76" w:rsidRPr="00AF3A76" w14:paraId="6BF9AF3C" w14:textId="77777777" w:rsidTr="00AF3A76">
        <w:trPr>
          <w:trHeight w:val="330"/>
        </w:trPr>
        <w:tc>
          <w:tcPr>
            <w:tcW w:w="1300" w:type="dxa"/>
            <w:noWrap/>
            <w:hideMark/>
          </w:tcPr>
          <w:p w14:paraId="55F58FF8" w14:textId="77777777" w:rsidR="00AF3A76" w:rsidRPr="00AF3A76" w:rsidRDefault="00AF3A76" w:rsidP="00AF3A76">
            <w:pPr>
              <w:jc w:val="right"/>
            </w:pPr>
            <w:r w:rsidRPr="00AF3A76">
              <w:lastRenderedPageBreak/>
              <w:t>10018</w:t>
            </w:r>
          </w:p>
        </w:tc>
        <w:tc>
          <w:tcPr>
            <w:tcW w:w="1080" w:type="dxa"/>
            <w:noWrap/>
            <w:hideMark/>
          </w:tcPr>
          <w:p w14:paraId="48A0F9C8" w14:textId="77777777" w:rsidR="00AF3A76" w:rsidRPr="00AF3A76" w:rsidRDefault="00AF3A76" w:rsidP="00AF3A76">
            <w:pPr>
              <w:jc w:val="right"/>
            </w:pPr>
            <w:r w:rsidRPr="00AF3A76">
              <w:t>5</w:t>
            </w:r>
          </w:p>
        </w:tc>
        <w:tc>
          <w:tcPr>
            <w:tcW w:w="1780" w:type="dxa"/>
            <w:noWrap/>
            <w:hideMark/>
          </w:tcPr>
          <w:p w14:paraId="629B3B94" w14:textId="77777777" w:rsidR="00AF3A76" w:rsidRPr="00AF3A76" w:rsidRDefault="00AF3A76" w:rsidP="00AF3A76">
            <w:pPr>
              <w:jc w:val="right"/>
            </w:pPr>
            <w:r w:rsidRPr="00AF3A76">
              <w:t>2015-03-06</w:t>
            </w:r>
          </w:p>
        </w:tc>
        <w:tc>
          <w:tcPr>
            <w:tcW w:w="1700" w:type="dxa"/>
            <w:noWrap/>
            <w:hideMark/>
          </w:tcPr>
          <w:p w14:paraId="7849995E" w14:textId="77777777" w:rsidR="00AF3A76" w:rsidRPr="00AF3A76" w:rsidRDefault="00AF3A76" w:rsidP="00AF3A76">
            <w:pPr>
              <w:jc w:val="right"/>
            </w:pPr>
            <w:r w:rsidRPr="00AF3A76">
              <w:t>2015-03-12</w:t>
            </w:r>
          </w:p>
        </w:tc>
        <w:tc>
          <w:tcPr>
            <w:tcW w:w="1080" w:type="dxa"/>
            <w:noWrap/>
            <w:hideMark/>
          </w:tcPr>
          <w:p w14:paraId="3A8DADF9" w14:textId="77777777" w:rsidR="00AF3A76" w:rsidRPr="00AF3A76" w:rsidRDefault="00AF3A76" w:rsidP="00AF3A76">
            <w:pPr>
              <w:jc w:val="right"/>
            </w:pPr>
            <w:r w:rsidRPr="00AF3A76">
              <w:t>284</w:t>
            </w:r>
          </w:p>
        </w:tc>
        <w:tc>
          <w:tcPr>
            <w:tcW w:w="2760" w:type="dxa"/>
            <w:noWrap/>
            <w:hideMark/>
          </w:tcPr>
          <w:p w14:paraId="685808FD" w14:textId="77777777" w:rsidR="00AF3A76" w:rsidRPr="00AF3A76" w:rsidRDefault="00AF3A76" w:rsidP="00AF3A76">
            <w:pPr>
              <w:jc w:val="right"/>
            </w:pPr>
            <w:r w:rsidRPr="00AF3A76">
              <w:t>2199.41</w:t>
            </w:r>
          </w:p>
        </w:tc>
        <w:tc>
          <w:tcPr>
            <w:tcW w:w="1780" w:type="dxa"/>
            <w:noWrap/>
            <w:hideMark/>
          </w:tcPr>
          <w:p w14:paraId="145DC275" w14:textId="77777777" w:rsidR="00AF3A76" w:rsidRPr="00AF3A76" w:rsidRDefault="00AF3A76" w:rsidP="00AF3A76">
            <w:pPr>
              <w:jc w:val="right"/>
            </w:pPr>
            <w:r w:rsidRPr="00AF3A76">
              <w:t>4799.48</w:t>
            </w:r>
          </w:p>
        </w:tc>
      </w:tr>
      <w:tr w:rsidR="00AF3A76" w:rsidRPr="00AF3A76" w14:paraId="203C357A" w14:textId="77777777" w:rsidTr="00AF3A76">
        <w:trPr>
          <w:trHeight w:val="330"/>
        </w:trPr>
        <w:tc>
          <w:tcPr>
            <w:tcW w:w="1300" w:type="dxa"/>
            <w:noWrap/>
            <w:hideMark/>
          </w:tcPr>
          <w:p w14:paraId="64C47B7E" w14:textId="77777777" w:rsidR="00AF3A76" w:rsidRPr="00AF3A76" w:rsidRDefault="00AF3A76" w:rsidP="00AF3A76">
            <w:pPr>
              <w:jc w:val="right"/>
            </w:pPr>
            <w:r w:rsidRPr="00AF3A76">
              <w:t>10018</w:t>
            </w:r>
          </w:p>
        </w:tc>
        <w:tc>
          <w:tcPr>
            <w:tcW w:w="1080" w:type="dxa"/>
            <w:noWrap/>
            <w:hideMark/>
          </w:tcPr>
          <w:p w14:paraId="60C283C9" w14:textId="77777777" w:rsidR="00AF3A76" w:rsidRPr="00AF3A76" w:rsidRDefault="00AF3A76" w:rsidP="00AF3A76">
            <w:pPr>
              <w:jc w:val="right"/>
            </w:pPr>
            <w:r w:rsidRPr="00AF3A76">
              <w:t>6</w:t>
            </w:r>
          </w:p>
        </w:tc>
        <w:tc>
          <w:tcPr>
            <w:tcW w:w="1780" w:type="dxa"/>
            <w:noWrap/>
            <w:hideMark/>
          </w:tcPr>
          <w:p w14:paraId="2146AF41" w14:textId="77777777" w:rsidR="00AF3A76" w:rsidRPr="00AF3A76" w:rsidRDefault="00AF3A76" w:rsidP="00AF3A76">
            <w:pPr>
              <w:jc w:val="right"/>
            </w:pPr>
            <w:r w:rsidRPr="00AF3A76">
              <w:t>2015-03-13</w:t>
            </w:r>
          </w:p>
        </w:tc>
        <w:tc>
          <w:tcPr>
            <w:tcW w:w="1700" w:type="dxa"/>
            <w:noWrap/>
            <w:hideMark/>
          </w:tcPr>
          <w:p w14:paraId="2FBE2668" w14:textId="77777777" w:rsidR="00AF3A76" w:rsidRPr="00AF3A76" w:rsidRDefault="00AF3A76" w:rsidP="00AF3A76">
            <w:pPr>
              <w:jc w:val="right"/>
            </w:pPr>
            <w:r w:rsidRPr="00AF3A76">
              <w:t>2015-03-19</w:t>
            </w:r>
          </w:p>
        </w:tc>
        <w:tc>
          <w:tcPr>
            <w:tcW w:w="1080" w:type="dxa"/>
            <w:noWrap/>
            <w:hideMark/>
          </w:tcPr>
          <w:p w14:paraId="2CD43CCC" w14:textId="77777777" w:rsidR="00AF3A76" w:rsidRPr="00AF3A76" w:rsidRDefault="00AF3A76" w:rsidP="00AF3A76">
            <w:pPr>
              <w:jc w:val="right"/>
            </w:pPr>
            <w:r w:rsidRPr="00AF3A76">
              <w:t>288</w:t>
            </w:r>
          </w:p>
        </w:tc>
        <w:tc>
          <w:tcPr>
            <w:tcW w:w="2760" w:type="dxa"/>
            <w:noWrap/>
            <w:hideMark/>
          </w:tcPr>
          <w:p w14:paraId="652D2FDB" w14:textId="77777777" w:rsidR="00AF3A76" w:rsidRPr="00AF3A76" w:rsidRDefault="00AF3A76" w:rsidP="00AF3A76">
            <w:pPr>
              <w:jc w:val="right"/>
            </w:pPr>
            <w:r w:rsidRPr="00AF3A76">
              <w:t>2103.14</w:t>
            </w:r>
          </w:p>
        </w:tc>
        <w:tc>
          <w:tcPr>
            <w:tcW w:w="1780" w:type="dxa"/>
            <w:noWrap/>
            <w:hideMark/>
          </w:tcPr>
          <w:p w14:paraId="1191C4EB" w14:textId="77777777" w:rsidR="00AF3A76" w:rsidRPr="00AF3A76" w:rsidRDefault="00AF3A76" w:rsidP="00AF3A76">
            <w:pPr>
              <w:jc w:val="right"/>
            </w:pPr>
            <w:r w:rsidRPr="00AF3A76">
              <w:t>4554.97</w:t>
            </w:r>
          </w:p>
        </w:tc>
      </w:tr>
      <w:tr w:rsidR="00AF3A76" w:rsidRPr="00AF3A76" w14:paraId="2F35AA0C" w14:textId="77777777" w:rsidTr="00AF3A76">
        <w:trPr>
          <w:trHeight w:val="330"/>
        </w:trPr>
        <w:tc>
          <w:tcPr>
            <w:tcW w:w="1300" w:type="dxa"/>
            <w:noWrap/>
            <w:hideMark/>
          </w:tcPr>
          <w:p w14:paraId="40DC5573" w14:textId="77777777" w:rsidR="00AF3A76" w:rsidRPr="00AF3A76" w:rsidRDefault="00AF3A76" w:rsidP="00AF3A76">
            <w:pPr>
              <w:jc w:val="right"/>
            </w:pPr>
            <w:r w:rsidRPr="00AF3A76">
              <w:t>10018</w:t>
            </w:r>
          </w:p>
        </w:tc>
        <w:tc>
          <w:tcPr>
            <w:tcW w:w="1080" w:type="dxa"/>
            <w:noWrap/>
            <w:hideMark/>
          </w:tcPr>
          <w:p w14:paraId="5FC6E53B" w14:textId="77777777" w:rsidR="00AF3A76" w:rsidRPr="00AF3A76" w:rsidRDefault="00AF3A76" w:rsidP="00AF3A76">
            <w:pPr>
              <w:jc w:val="right"/>
            </w:pPr>
            <w:r w:rsidRPr="00AF3A76">
              <w:t>7</w:t>
            </w:r>
          </w:p>
        </w:tc>
        <w:tc>
          <w:tcPr>
            <w:tcW w:w="1780" w:type="dxa"/>
            <w:noWrap/>
            <w:hideMark/>
          </w:tcPr>
          <w:p w14:paraId="6C54FB12" w14:textId="77777777" w:rsidR="00AF3A76" w:rsidRPr="00AF3A76" w:rsidRDefault="00AF3A76" w:rsidP="00AF3A76">
            <w:pPr>
              <w:jc w:val="right"/>
            </w:pPr>
            <w:r w:rsidRPr="00AF3A76">
              <w:t>2015-03-20</w:t>
            </w:r>
          </w:p>
        </w:tc>
        <w:tc>
          <w:tcPr>
            <w:tcW w:w="1700" w:type="dxa"/>
            <w:noWrap/>
            <w:hideMark/>
          </w:tcPr>
          <w:p w14:paraId="1330DE4C" w14:textId="77777777" w:rsidR="00AF3A76" w:rsidRPr="00AF3A76" w:rsidRDefault="00AF3A76" w:rsidP="00AF3A76">
            <w:pPr>
              <w:jc w:val="right"/>
            </w:pPr>
            <w:r w:rsidRPr="00AF3A76">
              <w:t>2015-03-26</w:t>
            </w:r>
          </w:p>
        </w:tc>
        <w:tc>
          <w:tcPr>
            <w:tcW w:w="1080" w:type="dxa"/>
            <w:noWrap/>
            <w:hideMark/>
          </w:tcPr>
          <w:p w14:paraId="54CCCDB8" w14:textId="77777777" w:rsidR="00AF3A76" w:rsidRPr="00AF3A76" w:rsidRDefault="00AF3A76" w:rsidP="00AF3A76">
            <w:pPr>
              <w:jc w:val="right"/>
            </w:pPr>
            <w:r w:rsidRPr="00AF3A76">
              <w:t>194</w:t>
            </w:r>
          </w:p>
        </w:tc>
        <w:tc>
          <w:tcPr>
            <w:tcW w:w="2760" w:type="dxa"/>
            <w:noWrap/>
            <w:hideMark/>
          </w:tcPr>
          <w:p w14:paraId="4FFCE9F4" w14:textId="77777777" w:rsidR="00AF3A76" w:rsidRPr="00AF3A76" w:rsidRDefault="00AF3A76" w:rsidP="00AF3A76">
            <w:pPr>
              <w:jc w:val="right"/>
            </w:pPr>
            <w:r w:rsidRPr="00AF3A76">
              <w:t>1412.93</w:t>
            </w:r>
          </w:p>
        </w:tc>
        <w:tc>
          <w:tcPr>
            <w:tcW w:w="1780" w:type="dxa"/>
            <w:noWrap/>
            <w:hideMark/>
          </w:tcPr>
          <w:p w14:paraId="34A814E0" w14:textId="77777777" w:rsidR="00AF3A76" w:rsidRPr="00AF3A76" w:rsidRDefault="00AF3A76" w:rsidP="00AF3A76">
            <w:pPr>
              <w:jc w:val="right"/>
            </w:pPr>
            <w:r w:rsidRPr="00AF3A76">
              <w:t>2999.55</w:t>
            </w:r>
          </w:p>
        </w:tc>
      </w:tr>
      <w:tr w:rsidR="00AF3A76" w:rsidRPr="00AF3A76" w14:paraId="6CB96DF6" w14:textId="77777777" w:rsidTr="00AF3A76">
        <w:trPr>
          <w:trHeight w:val="330"/>
        </w:trPr>
        <w:tc>
          <w:tcPr>
            <w:tcW w:w="1300" w:type="dxa"/>
            <w:noWrap/>
            <w:hideMark/>
          </w:tcPr>
          <w:p w14:paraId="38C94B94" w14:textId="77777777" w:rsidR="00AF3A76" w:rsidRPr="00AF3A76" w:rsidRDefault="00AF3A76" w:rsidP="00AF3A76">
            <w:pPr>
              <w:jc w:val="right"/>
            </w:pPr>
            <w:r w:rsidRPr="00AF3A76">
              <w:t>10018</w:t>
            </w:r>
          </w:p>
        </w:tc>
        <w:tc>
          <w:tcPr>
            <w:tcW w:w="1080" w:type="dxa"/>
            <w:noWrap/>
            <w:hideMark/>
          </w:tcPr>
          <w:p w14:paraId="1D652F9B" w14:textId="77777777" w:rsidR="00AF3A76" w:rsidRPr="00AF3A76" w:rsidRDefault="00AF3A76" w:rsidP="00AF3A76">
            <w:pPr>
              <w:jc w:val="right"/>
            </w:pPr>
            <w:r w:rsidRPr="00AF3A76">
              <w:t>8</w:t>
            </w:r>
          </w:p>
        </w:tc>
        <w:tc>
          <w:tcPr>
            <w:tcW w:w="1780" w:type="dxa"/>
            <w:noWrap/>
            <w:hideMark/>
          </w:tcPr>
          <w:p w14:paraId="4DE001AF" w14:textId="77777777" w:rsidR="00AF3A76" w:rsidRPr="00AF3A76" w:rsidRDefault="00AF3A76" w:rsidP="00AF3A76">
            <w:pPr>
              <w:jc w:val="right"/>
            </w:pPr>
            <w:r w:rsidRPr="00AF3A76">
              <w:t>2015-03-27</w:t>
            </w:r>
          </w:p>
        </w:tc>
        <w:tc>
          <w:tcPr>
            <w:tcW w:w="1700" w:type="dxa"/>
            <w:noWrap/>
            <w:hideMark/>
          </w:tcPr>
          <w:p w14:paraId="25AD6F24" w14:textId="77777777" w:rsidR="00AF3A76" w:rsidRPr="00AF3A76" w:rsidRDefault="00AF3A76" w:rsidP="00AF3A76">
            <w:pPr>
              <w:jc w:val="right"/>
            </w:pPr>
            <w:r w:rsidRPr="00AF3A76">
              <w:t>2015-04-02</w:t>
            </w:r>
          </w:p>
        </w:tc>
        <w:tc>
          <w:tcPr>
            <w:tcW w:w="1080" w:type="dxa"/>
            <w:noWrap/>
            <w:hideMark/>
          </w:tcPr>
          <w:p w14:paraId="098D8662" w14:textId="77777777" w:rsidR="00AF3A76" w:rsidRPr="00AF3A76" w:rsidRDefault="00AF3A76" w:rsidP="00AF3A76">
            <w:pPr>
              <w:jc w:val="right"/>
            </w:pPr>
            <w:r w:rsidRPr="00AF3A76">
              <w:t>286</w:t>
            </w:r>
          </w:p>
        </w:tc>
        <w:tc>
          <w:tcPr>
            <w:tcW w:w="2760" w:type="dxa"/>
            <w:noWrap/>
            <w:hideMark/>
          </w:tcPr>
          <w:p w14:paraId="156909F6" w14:textId="77777777" w:rsidR="00AF3A76" w:rsidRPr="00AF3A76" w:rsidRDefault="00AF3A76" w:rsidP="00AF3A76">
            <w:pPr>
              <w:jc w:val="right"/>
            </w:pPr>
            <w:r w:rsidRPr="00AF3A76">
              <w:t>2124.37</w:t>
            </w:r>
          </w:p>
        </w:tc>
        <w:tc>
          <w:tcPr>
            <w:tcW w:w="1780" w:type="dxa"/>
            <w:noWrap/>
            <w:hideMark/>
          </w:tcPr>
          <w:p w14:paraId="79AFEA38" w14:textId="77777777" w:rsidR="00AF3A76" w:rsidRPr="00AF3A76" w:rsidRDefault="00AF3A76" w:rsidP="00AF3A76">
            <w:pPr>
              <w:jc w:val="right"/>
            </w:pPr>
            <w:r w:rsidRPr="00AF3A76">
              <w:t>4519.61</w:t>
            </w:r>
          </w:p>
        </w:tc>
      </w:tr>
      <w:tr w:rsidR="00AF3A76" w:rsidRPr="00AF3A76" w14:paraId="623BE910" w14:textId="77777777" w:rsidTr="00AF3A76">
        <w:trPr>
          <w:trHeight w:val="330"/>
        </w:trPr>
        <w:tc>
          <w:tcPr>
            <w:tcW w:w="1300" w:type="dxa"/>
            <w:noWrap/>
            <w:hideMark/>
          </w:tcPr>
          <w:p w14:paraId="20BC6DE1" w14:textId="77777777" w:rsidR="00AF3A76" w:rsidRPr="00AF3A76" w:rsidRDefault="00AF3A76" w:rsidP="00AF3A76">
            <w:pPr>
              <w:jc w:val="right"/>
            </w:pPr>
            <w:r w:rsidRPr="00AF3A76">
              <w:t>10018</w:t>
            </w:r>
          </w:p>
        </w:tc>
        <w:tc>
          <w:tcPr>
            <w:tcW w:w="1080" w:type="dxa"/>
            <w:noWrap/>
            <w:hideMark/>
          </w:tcPr>
          <w:p w14:paraId="77D01FC9" w14:textId="77777777" w:rsidR="00AF3A76" w:rsidRPr="00AF3A76" w:rsidRDefault="00AF3A76" w:rsidP="00AF3A76">
            <w:pPr>
              <w:jc w:val="right"/>
            </w:pPr>
            <w:r w:rsidRPr="00AF3A76">
              <w:t>9</w:t>
            </w:r>
          </w:p>
        </w:tc>
        <w:tc>
          <w:tcPr>
            <w:tcW w:w="1780" w:type="dxa"/>
            <w:noWrap/>
            <w:hideMark/>
          </w:tcPr>
          <w:p w14:paraId="06605410" w14:textId="77777777" w:rsidR="00AF3A76" w:rsidRPr="00AF3A76" w:rsidRDefault="00AF3A76" w:rsidP="00AF3A76">
            <w:pPr>
              <w:jc w:val="right"/>
            </w:pPr>
            <w:r w:rsidRPr="00AF3A76">
              <w:t>2015-04-03</w:t>
            </w:r>
          </w:p>
        </w:tc>
        <w:tc>
          <w:tcPr>
            <w:tcW w:w="1700" w:type="dxa"/>
            <w:noWrap/>
            <w:hideMark/>
          </w:tcPr>
          <w:p w14:paraId="3885AEF9" w14:textId="77777777" w:rsidR="00AF3A76" w:rsidRPr="00AF3A76" w:rsidRDefault="00AF3A76" w:rsidP="00AF3A76">
            <w:pPr>
              <w:jc w:val="right"/>
            </w:pPr>
            <w:r w:rsidRPr="00AF3A76">
              <w:t>2015-04-09</w:t>
            </w:r>
          </w:p>
        </w:tc>
        <w:tc>
          <w:tcPr>
            <w:tcW w:w="1080" w:type="dxa"/>
            <w:noWrap/>
            <w:hideMark/>
          </w:tcPr>
          <w:p w14:paraId="7B965308" w14:textId="77777777" w:rsidR="00AF3A76" w:rsidRPr="00AF3A76" w:rsidRDefault="00AF3A76" w:rsidP="00AF3A76">
            <w:pPr>
              <w:jc w:val="right"/>
            </w:pPr>
            <w:r w:rsidRPr="00AF3A76">
              <w:t>274</w:t>
            </w:r>
          </w:p>
        </w:tc>
        <w:tc>
          <w:tcPr>
            <w:tcW w:w="2760" w:type="dxa"/>
            <w:noWrap/>
            <w:hideMark/>
          </w:tcPr>
          <w:p w14:paraId="50FC4C2C" w14:textId="77777777" w:rsidR="00AF3A76" w:rsidRPr="00AF3A76" w:rsidRDefault="00AF3A76" w:rsidP="00AF3A76">
            <w:pPr>
              <w:jc w:val="right"/>
            </w:pPr>
            <w:r w:rsidRPr="00AF3A76">
              <w:t>2216.15</w:t>
            </w:r>
          </w:p>
        </w:tc>
        <w:tc>
          <w:tcPr>
            <w:tcW w:w="1780" w:type="dxa"/>
            <w:noWrap/>
            <w:hideMark/>
          </w:tcPr>
          <w:p w14:paraId="7A030DF8" w14:textId="77777777" w:rsidR="00AF3A76" w:rsidRPr="00AF3A76" w:rsidRDefault="00AF3A76" w:rsidP="00AF3A76">
            <w:pPr>
              <w:jc w:val="right"/>
            </w:pPr>
            <w:r w:rsidRPr="00AF3A76">
              <w:t>4727.05</w:t>
            </w:r>
          </w:p>
        </w:tc>
      </w:tr>
      <w:tr w:rsidR="00AF3A76" w:rsidRPr="00AF3A76" w14:paraId="4AD9F5A7" w14:textId="77777777" w:rsidTr="00AF3A76">
        <w:trPr>
          <w:trHeight w:val="330"/>
        </w:trPr>
        <w:tc>
          <w:tcPr>
            <w:tcW w:w="1300" w:type="dxa"/>
            <w:noWrap/>
            <w:hideMark/>
          </w:tcPr>
          <w:p w14:paraId="2F690253" w14:textId="77777777" w:rsidR="00AF3A76" w:rsidRPr="00AF3A76" w:rsidRDefault="00AF3A76" w:rsidP="00AF3A76">
            <w:pPr>
              <w:jc w:val="right"/>
            </w:pPr>
            <w:r w:rsidRPr="00AF3A76">
              <w:t>10018</w:t>
            </w:r>
          </w:p>
        </w:tc>
        <w:tc>
          <w:tcPr>
            <w:tcW w:w="1080" w:type="dxa"/>
            <w:noWrap/>
            <w:hideMark/>
          </w:tcPr>
          <w:p w14:paraId="6A8AF920" w14:textId="77777777" w:rsidR="00AF3A76" w:rsidRPr="00AF3A76" w:rsidRDefault="00AF3A76" w:rsidP="00AF3A76">
            <w:pPr>
              <w:jc w:val="right"/>
            </w:pPr>
            <w:r w:rsidRPr="00AF3A76">
              <w:t>10</w:t>
            </w:r>
          </w:p>
        </w:tc>
        <w:tc>
          <w:tcPr>
            <w:tcW w:w="1780" w:type="dxa"/>
            <w:noWrap/>
            <w:hideMark/>
          </w:tcPr>
          <w:p w14:paraId="70842BB2" w14:textId="77777777" w:rsidR="00AF3A76" w:rsidRPr="00AF3A76" w:rsidRDefault="00AF3A76" w:rsidP="00AF3A76">
            <w:pPr>
              <w:jc w:val="right"/>
            </w:pPr>
            <w:r w:rsidRPr="00AF3A76">
              <w:t>2015-04-10</w:t>
            </w:r>
          </w:p>
        </w:tc>
        <w:tc>
          <w:tcPr>
            <w:tcW w:w="1700" w:type="dxa"/>
            <w:noWrap/>
            <w:hideMark/>
          </w:tcPr>
          <w:p w14:paraId="198D3B29" w14:textId="77777777" w:rsidR="00AF3A76" w:rsidRPr="00AF3A76" w:rsidRDefault="00AF3A76" w:rsidP="00AF3A76">
            <w:pPr>
              <w:jc w:val="right"/>
            </w:pPr>
            <w:r w:rsidRPr="00AF3A76">
              <w:t>2015-04-16</w:t>
            </w:r>
          </w:p>
        </w:tc>
        <w:tc>
          <w:tcPr>
            <w:tcW w:w="1080" w:type="dxa"/>
            <w:noWrap/>
            <w:hideMark/>
          </w:tcPr>
          <w:p w14:paraId="5A235229" w14:textId="77777777" w:rsidR="00AF3A76" w:rsidRPr="00AF3A76" w:rsidRDefault="00AF3A76" w:rsidP="00AF3A76">
            <w:pPr>
              <w:jc w:val="right"/>
            </w:pPr>
            <w:r w:rsidRPr="00AF3A76">
              <w:t>215</w:t>
            </w:r>
          </w:p>
        </w:tc>
        <w:tc>
          <w:tcPr>
            <w:tcW w:w="2760" w:type="dxa"/>
            <w:noWrap/>
            <w:hideMark/>
          </w:tcPr>
          <w:p w14:paraId="1813C690" w14:textId="77777777" w:rsidR="00AF3A76" w:rsidRPr="00AF3A76" w:rsidRDefault="00AF3A76" w:rsidP="00AF3A76">
            <w:pPr>
              <w:jc w:val="right"/>
            </w:pPr>
            <w:r w:rsidRPr="00AF3A76">
              <w:t>1686.25</w:t>
            </w:r>
          </w:p>
        </w:tc>
        <w:tc>
          <w:tcPr>
            <w:tcW w:w="1780" w:type="dxa"/>
            <w:noWrap/>
            <w:hideMark/>
          </w:tcPr>
          <w:p w14:paraId="49B549B8" w14:textId="77777777" w:rsidR="00AF3A76" w:rsidRPr="00AF3A76" w:rsidRDefault="00AF3A76" w:rsidP="00AF3A76">
            <w:pPr>
              <w:jc w:val="right"/>
            </w:pPr>
            <w:r w:rsidRPr="00AF3A76">
              <w:t>3689.33</w:t>
            </w:r>
          </w:p>
        </w:tc>
      </w:tr>
    </w:tbl>
    <w:p w14:paraId="13866E7C" w14:textId="77777777" w:rsidR="00AF3A76" w:rsidRDefault="00AF3A76">
      <w:pPr>
        <w:spacing w:line="240" w:lineRule="auto"/>
        <w:rPr>
          <w:rFonts w:hint="eastAsia"/>
        </w:rPr>
      </w:pPr>
    </w:p>
    <w:p w14:paraId="274946C4" w14:textId="77777777" w:rsidR="009777AA" w:rsidRDefault="005A0983">
      <w:pPr>
        <w:spacing w:line="240" w:lineRule="auto"/>
      </w:pPr>
      <w:r>
        <w:rPr>
          <w:i/>
        </w:rPr>
        <w:t xml:space="preserve">Apart from </w:t>
      </w:r>
      <w:r w:rsidRPr="00824A60">
        <w:rPr>
          <w:i/>
          <w:highlight w:val="green"/>
        </w:rPr>
        <w:t>trend</w:t>
      </w:r>
      <w:r>
        <w:rPr>
          <w:i/>
        </w:rPr>
        <w:t xml:space="preserve"> and </w:t>
      </w:r>
      <w:r w:rsidRPr="00824A60">
        <w:rPr>
          <w:i/>
          <w:highlight w:val="green"/>
        </w:rPr>
        <w:t>seasonality</w:t>
      </w:r>
      <w:r>
        <w:rPr>
          <w:i/>
        </w:rPr>
        <w:t xml:space="preserve">... </w:t>
      </w:r>
    </w:p>
    <w:p w14:paraId="412C9E20" w14:textId="77777777" w:rsidR="009777AA" w:rsidRDefault="005A0983">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14:paraId="67BB120E" w14:textId="77777777" w:rsidR="002105AE" w:rsidRDefault="001216EE" w:rsidP="002105AE">
      <w:pPr>
        <w:spacing w:line="240" w:lineRule="auto"/>
        <w:ind w:left="720"/>
        <w:rPr>
          <w:i/>
          <w:iCs/>
          <w:color w:val="365F91" w:themeColor="accent1" w:themeShade="BF"/>
        </w:rPr>
      </w:pPr>
      <w:r w:rsidRPr="001216EE">
        <w:rPr>
          <w:i/>
          <w:iCs/>
          <w:color w:val="365F91" w:themeColor="accent1" w:themeShade="BF"/>
        </w:rPr>
        <w:t xml:space="preserve">Besides </w:t>
      </w:r>
      <w:r w:rsidRPr="001216EE">
        <w:rPr>
          <w:b/>
          <w:bCs/>
          <w:i/>
          <w:iCs/>
          <w:color w:val="365F91" w:themeColor="accent1" w:themeShade="BF"/>
          <w:u w:val="single"/>
        </w:rPr>
        <w:t>trend</w:t>
      </w:r>
      <w:r w:rsidRPr="001216EE">
        <w:rPr>
          <w:i/>
          <w:iCs/>
          <w:color w:val="365F91" w:themeColor="accent1" w:themeShade="BF"/>
        </w:rPr>
        <w:t xml:space="preserve"> and </w:t>
      </w:r>
      <w:r w:rsidRPr="001216EE">
        <w:rPr>
          <w:b/>
          <w:bCs/>
          <w:i/>
          <w:iCs/>
          <w:color w:val="365F91" w:themeColor="accent1" w:themeShade="BF"/>
          <w:u w:val="single"/>
        </w:rPr>
        <w:t>seasonality</w:t>
      </w:r>
      <w:r w:rsidRPr="001216EE">
        <w:rPr>
          <w:i/>
          <w:iCs/>
          <w:color w:val="365F91" w:themeColor="accent1" w:themeShade="BF"/>
        </w:rPr>
        <w:t>,</w:t>
      </w:r>
      <w:r>
        <w:rPr>
          <w:i/>
          <w:iCs/>
          <w:color w:val="365F91" w:themeColor="accent1" w:themeShade="BF"/>
        </w:rPr>
        <w:t xml:space="preserve"> </w:t>
      </w:r>
      <w:r w:rsidR="0084110A">
        <w:rPr>
          <w:i/>
          <w:iCs/>
          <w:color w:val="365F91" w:themeColor="accent1" w:themeShade="BF"/>
        </w:rPr>
        <w:t xml:space="preserve">we should consider </w:t>
      </w:r>
      <w:proofErr w:type="spellStart"/>
      <w:r w:rsidR="0084110A" w:rsidRPr="00A410B3">
        <w:rPr>
          <w:b/>
          <w:bCs/>
          <w:i/>
          <w:iCs/>
          <w:color w:val="365F91" w:themeColor="accent1" w:themeShade="BF"/>
          <w:u w:val="single"/>
        </w:rPr>
        <w:t>Sq_</w:t>
      </w:r>
      <w:r w:rsidR="00931FC3">
        <w:rPr>
          <w:b/>
          <w:bCs/>
          <w:i/>
          <w:iCs/>
          <w:color w:val="365F91" w:themeColor="accent1" w:themeShade="BF"/>
          <w:u w:val="single"/>
        </w:rPr>
        <w:t>F</w:t>
      </w:r>
      <w:r w:rsidR="0084110A" w:rsidRPr="00A410B3">
        <w:rPr>
          <w:b/>
          <w:bCs/>
          <w:i/>
          <w:iCs/>
          <w:color w:val="365F91" w:themeColor="accent1" w:themeShade="BF"/>
          <w:u w:val="single"/>
        </w:rPr>
        <w:t>t</w:t>
      </w:r>
      <w:proofErr w:type="spellEnd"/>
      <w:r w:rsidR="0084110A">
        <w:rPr>
          <w:i/>
          <w:iCs/>
          <w:color w:val="365F91" w:themeColor="accent1" w:themeShade="BF"/>
        </w:rPr>
        <w:t xml:space="preserve"> and </w:t>
      </w:r>
      <w:r w:rsidR="0084110A" w:rsidRPr="00A410B3">
        <w:rPr>
          <w:b/>
          <w:bCs/>
          <w:i/>
          <w:iCs/>
          <w:color w:val="365F91" w:themeColor="accent1" w:themeShade="BF"/>
          <w:u w:val="single"/>
        </w:rPr>
        <w:t>Average Monthly Sales</w:t>
      </w:r>
      <w:r w:rsidR="0084110A">
        <w:rPr>
          <w:i/>
          <w:iCs/>
          <w:color w:val="365F91" w:themeColor="accent1" w:themeShade="BF"/>
        </w:rPr>
        <w:t xml:space="preserve"> for each store.</w:t>
      </w:r>
      <w:r w:rsidR="00192FC2">
        <w:rPr>
          <w:i/>
          <w:iCs/>
          <w:color w:val="365F91" w:themeColor="accent1" w:themeShade="BF"/>
        </w:rPr>
        <w:t xml:space="preserve"> Because they are numeric and seems more reasonable.</w:t>
      </w:r>
    </w:p>
    <w:p w14:paraId="0EB09A86" w14:textId="77777777" w:rsidR="002105AE" w:rsidRPr="002105AE" w:rsidRDefault="002105AE" w:rsidP="002105AE">
      <w:pPr>
        <w:spacing w:line="240" w:lineRule="auto"/>
        <w:rPr>
          <w:color w:val="365F91" w:themeColor="accent1" w:themeShade="BF"/>
        </w:rPr>
      </w:pPr>
    </w:p>
    <w:p w14:paraId="2824CEB0" w14:textId="77777777" w:rsidR="009777AA" w:rsidRDefault="005A0983">
      <w:pPr>
        <w:numPr>
          <w:ilvl w:val="0"/>
          <w:numId w:val="2"/>
        </w:numPr>
        <w:spacing w:line="240" w:lineRule="auto"/>
        <w:ind w:hanging="360"/>
      </w:pPr>
      <w:r>
        <w:t>What is the correlation between</w:t>
      </w:r>
      <w:bookmarkStart w:id="1" w:name="_GoBack"/>
      <w:bookmarkEnd w:id="1"/>
      <w:r>
        <w:t xml:space="preserve"> </w:t>
      </w:r>
      <w:proofErr w:type="gramStart"/>
      <w:r>
        <w:t>your each</w:t>
      </w:r>
      <w:proofErr w:type="gramEnd"/>
      <w:r>
        <w:t xml:space="preserve"> potential control variable and your performance metric?</w:t>
      </w:r>
    </w:p>
    <w:p w14:paraId="2719FEC5" w14:textId="77777777" w:rsidR="0073135E" w:rsidRPr="0073135E" w:rsidRDefault="0073135E" w:rsidP="0073135E">
      <w:pPr>
        <w:spacing w:line="240" w:lineRule="auto"/>
        <w:ind w:left="720"/>
        <w:rPr>
          <w:i/>
          <w:iCs/>
          <w:color w:val="365F91" w:themeColor="accent1" w:themeShade="BF"/>
        </w:rPr>
      </w:pPr>
      <w:r w:rsidRPr="0073135E">
        <w:rPr>
          <w:rFonts w:hint="eastAsia"/>
          <w:i/>
          <w:iCs/>
          <w:color w:val="365F91" w:themeColor="accent1" w:themeShade="BF"/>
        </w:rPr>
        <w:t>A</w:t>
      </w:r>
      <w:r w:rsidRPr="0073135E">
        <w:rPr>
          <w:i/>
          <w:iCs/>
          <w:color w:val="365F91" w:themeColor="accent1" w:themeShade="BF"/>
        </w:rPr>
        <w:t>n association analysis is performed</w:t>
      </w:r>
      <w:r w:rsidR="00BE6263">
        <w:rPr>
          <w:i/>
          <w:iCs/>
          <w:color w:val="365F91" w:themeColor="accent1" w:themeShade="BF"/>
        </w:rPr>
        <w:t xml:space="preserve"> to find the correlation between the potential control variables and the performance metric (Gross Margin.)</w:t>
      </w:r>
      <w:r w:rsidR="00896734">
        <w:rPr>
          <w:i/>
          <w:iCs/>
          <w:color w:val="365F91" w:themeColor="accent1" w:themeShade="BF"/>
        </w:rPr>
        <w:t xml:space="preserve"> From the analysis, it is observed that </w:t>
      </w:r>
      <w:proofErr w:type="spellStart"/>
      <w:r w:rsidR="00896734">
        <w:rPr>
          <w:i/>
          <w:iCs/>
          <w:color w:val="365F91" w:themeColor="accent1" w:themeShade="BF"/>
        </w:rPr>
        <w:t>AvgMonthSales</w:t>
      </w:r>
      <w:proofErr w:type="spellEnd"/>
      <w:r w:rsidR="00896734">
        <w:rPr>
          <w:i/>
          <w:iCs/>
          <w:color w:val="365F91" w:themeColor="accent1" w:themeShade="BF"/>
        </w:rPr>
        <w:t xml:space="preserve"> is highly correlated to the performance metric</w:t>
      </w:r>
      <w:r w:rsidR="00CE213E">
        <w:rPr>
          <w:i/>
          <w:iCs/>
          <w:color w:val="365F91" w:themeColor="accent1" w:themeShade="BF"/>
        </w:rPr>
        <w:t xml:space="preserve"> where </w:t>
      </w:r>
      <w:proofErr w:type="spellStart"/>
      <w:r w:rsidR="00CE213E">
        <w:rPr>
          <w:i/>
          <w:iCs/>
          <w:color w:val="365F91" w:themeColor="accent1" w:themeShade="BF"/>
        </w:rPr>
        <w:t>Sq_Ft</w:t>
      </w:r>
      <w:proofErr w:type="spellEnd"/>
      <w:r w:rsidR="00CE213E">
        <w:rPr>
          <w:i/>
          <w:iCs/>
          <w:color w:val="365F91" w:themeColor="accent1" w:themeShade="BF"/>
        </w:rPr>
        <w:t xml:space="preserve"> is not.</w:t>
      </w:r>
    </w:p>
    <w:p w14:paraId="2B4F9453" w14:textId="77777777" w:rsidR="002105AE" w:rsidRDefault="001B60DB" w:rsidP="002105AE">
      <w:pPr>
        <w:spacing w:line="240" w:lineRule="auto"/>
        <w:ind w:left="720"/>
      </w:pPr>
      <w:r>
        <w:rPr>
          <w:noProof/>
        </w:rPr>
        <w:drawing>
          <wp:inline distT="0" distB="0" distL="0" distR="0" wp14:anchorId="5899F2C5" wp14:editId="2503455C">
            <wp:extent cx="5686425" cy="1219200"/>
            <wp:effectExtent l="19050" t="19050" r="28575"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1219200"/>
                    </a:xfrm>
                    <a:prstGeom prst="rect">
                      <a:avLst/>
                    </a:prstGeom>
                    <a:ln>
                      <a:solidFill>
                        <a:schemeClr val="tx1"/>
                      </a:solidFill>
                    </a:ln>
                  </pic:spPr>
                </pic:pic>
              </a:graphicData>
            </a:graphic>
          </wp:inline>
        </w:drawing>
      </w:r>
    </w:p>
    <w:p w14:paraId="26F9F5F1" w14:textId="77777777" w:rsidR="002105AE" w:rsidRDefault="002105AE" w:rsidP="002105AE">
      <w:pPr>
        <w:spacing w:line="240" w:lineRule="auto"/>
      </w:pPr>
    </w:p>
    <w:p w14:paraId="5E5CE475" w14:textId="77777777" w:rsidR="009777AA" w:rsidRDefault="005A0983">
      <w:pPr>
        <w:numPr>
          <w:ilvl w:val="0"/>
          <w:numId w:val="2"/>
        </w:numPr>
        <w:spacing w:line="240" w:lineRule="auto"/>
        <w:ind w:hanging="360"/>
      </w:pPr>
      <w:bookmarkStart w:id="2" w:name="_30j0zll" w:colFirst="0" w:colLast="0"/>
      <w:bookmarkEnd w:id="2"/>
      <w:r>
        <w:t>What control variables will you use to match treatment and control stores?</w:t>
      </w:r>
    </w:p>
    <w:p w14:paraId="2CB54867" w14:textId="77777777" w:rsidR="008F08C2" w:rsidRPr="008F08C2" w:rsidRDefault="008F08C2" w:rsidP="008F08C2">
      <w:pPr>
        <w:spacing w:line="240" w:lineRule="auto"/>
        <w:ind w:left="720"/>
        <w:rPr>
          <w:i/>
          <w:iCs/>
          <w:color w:val="365F91" w:themeColor="accent1" w:themeShade="BF"/>
        </w:rPr>
      </w:pPr>
      <w:r w:rsidRPr="008F08C2">
        <w:rPr>
          <w:i/>
          <w:iCs/>
          <w:color w:val="365F91" w:themeColor="accent1" w:themeShade="BF"/>
        </w:rPr>
        <w:t>Eventually,</w:t>
      </w:r>
      <w:r>
        <w:rPr>
          <w:i/>
          <w:iCs/>
          <w:color w:val="365F91" w:themeColor="accent1" w:themeShade="BF"/>
        </w:rPr>
        <w:t xml:space="preserve"> we should choose</w:t>
      </w:r>
      <w:r w:rsidRPr="00164927">
        <w:rPr>
          <w:b/>
          <w:bCs/>
          <w:i/>
          <w:iCs/>
          <w:color w:val="365F91" w:themeColor="accent1" w:themeShade="BF"/>
          <w:u w:val="single"/>
        </w:rPr>
        <w:t xml:space="preserve"> trend</w:t>
      </w:r>
      <w:r>
        <w:rPr>
          <w:i/>
          <w:iCs/>
          <w:color w:val="365F91" w:themeColor="accent1" w:themeShade="BF"/>
        </w:rPr>
        <w:t xml:space="preserve">, </w:t>
      </w:r>
      <w:r w:rsidRPr="00164927">
        <w:rPr>
          <w:b/>
          <w:bCs/>
          <w:i/>
          <w:iCs/>
          <w:color w:val="365F91" w:themeColor="accent1" w:themeShade="BF"/>
          <w:u w:val="single"/>
        </w:rPr>
        <w:t>seasonality</w:t>
      </w:r>
      <w:r>
        <w:rPr>
          <w:i/>
          <w:iCs/>
          <w:color w:val="365F91" w:themeColor="accent1" w:themeShade="BF"/>
        </w:rPr>
        <w:t xml:space="preserve"> and </w:t>
      </w:r>
      <w:r w:rsidRPr="00164927">
        <w:rPr>
          <w:b/>
          <w:bCs/>
          <w:i/>
          <w:iCs/>
          <w:color w:val="365F91" w:themeColor="accent1" w:themeShade="BF"/>
          <w:u w:val="single"/>
        </w:rPr>
        <w:t>Average Monthly Sales</w:t>
      </w:r>
      <w:r>
        <w:rPr>
          <w:i/>
          <w:iCs/>
          <w:color w:val="365F91" w:themeColor="accent1" w:themeShade="BF"/>
        </w:rPr>
        <w:t xml:space="preserve"> </w:t>
      </w:r>
      <w:r w:rsidRPr="008F08C2">
        <w:rPr>
          <w:i/>
          <w:iCs/>
          <w:color w:val="365F91" w:themeColor="accent1" w:themeShade="BF"/>
        </w:rPr>
        <w:t>to match treatment and control stores.</w:t>
      </w:r>
      <w:r w:rsidR="003E2939">
        <w:rPr>
          <w:i/>
          <w:iCs/>
          <w:color w:val="365F91" w:themeColor="accent1" w:themeShade="BF"/>
        </w:rPr>
        <w:t xml:space="preserve"> Because </w:t>
      </w:r>
      <w:proofErr w:type="spellStart"/>
      <w:r w:rsidR="003E2939">
        <w:rPr>
          <w:i/>
          <w:iCs/>
          <w:color w:val="365F91" w:themeColor="accent1" w:themeShade="BF"/>
        </w:rPr>
        <w:t>Sq_Ft</w:t>
      </w:r>
      <w:proofErr w:type="spellEnd"/>
      <w:r w:rsidR="003E2939">
        <w:rPr>
          <w:i/>
          <w:iCs/>
          <w:color w:val="365F91" w:themeColor="accent1" w:themeShade="BF"/>
        </w:rPr>
        <w:t xml:space="preserve"> doesn’t have enough correlation with the target variable.</w:t>
      </w:r>
    </w:p>
    <w:p w14:paraId="41A76079" w14:textId="77777777" w:rsidR="008F08C2" w:rsidRDefault="008F08C2" w:rsidP="008F08C2">
      <w:pPr>
        <w:spacing w:line="240" w:lineRule="auto"/>
      </w:pPr>
    </w:p>
    <w:p w14:paraId="4D2CDF9E" w14:textId="77777777" w:rsidR="00E53E8A" w:rsidRDefault="005A0983" w:rsidP="00325D09">
      <w:pPr>
        <w:numPr>
          <w:ilvl w:val="0"/>
          <w:numId w:val="2"/>
        </w:numPr>
        <w:spacing w:line="240" w:lineRule="auto"/>
        <w:ind w:hanging="360"/>
      </w:pPr>
      <w:r>
        <w:t>Please fill out the table below with your treatment and control stores pairs:</w:t>
      </w:r>
    </w:p>
    <w:p w14:paraId="4D8B8C2F" w14:textId="77777777" w:rsidR="00E2319B" w:rsidRDefault="00E2319B" w:rsidP="00E2319B">
      <w:pPr>
        <w:spacing w:line="240" w:lineRule="auto"/>
      </w:pPr>
    </w:p>
    <w:tbl>
      <w:tblPr>
        <w:tblW w:w="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40"/>
        <w:gridCol w:w="1680"/>
        <w:gridCol w:w="1560"/>
      </w:tblGrid>
      <w:tr w:rsidR="00D60974" w:rsidRPr="00D60974" w14:paraId="5E5774F6" w14:textId="77777777" w:rsidTr="00D60974">
        <w:trPr>
          <w:trHeight w:val="315"/>
          <w:jc w:val="center"/>
        </w:trPr>
        <w:tc>
          <w:tcPr>
            <w:tcW w:w="1340" w:type="dxa"/>
            <w:shd w:val="clear" w:color="F79646" w:fill="F79646"/>
            <w:noWrap/>
            <w:vAlign w:val="bottom"/>
            <w:hideMark/>
          </w:tcPr>
          <w:p w14:paraId="7D8DD477" w14:textId="77777777" w:rsidR="00D60974" w:rsidRPr="00D60974" w:rsidRDefault="00D60974" w:rsidP="00426E3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color w:val="FFFFFF"/>
              </w:rPr>
            </w:pPr>
            <w:r w:rsidRPr="00D60974">
              <w:rPr>
                <w:rFonts w:eastAsia="新細明體"/>
                <w:b/>
                <w:bCs/>
                <w:color w:val="FFFFFF"/>
              </w:rPr>
              <w:t>Controls</w:t>
            </w:r>
          </w:p>
        </w:tc>
        <w:tc>
          <w:tcPr>
            <w:tcW w:w="1680" w:type="dxa"/>
            <w:shd w:val="clear" w:color="F79646" w:fill="F79646"/>
            <w:noWrap/>
            <w:vAlign w:val="bottom"/>
            <w:hideMark/>
          </w:tcPr>
          <w:p w14:paraId="451CE0ED" w14:textId="77777777" w:rsidR="00D60974" w:rsidRPr="00D60974" w:rsidRDefault="00D60974" w:rsidP="00426E3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color w:val="FFFFFF"/>
              </w:rPr>
            </w:pPr>
            <w:r w:rsidRPr="00D60974">
              <w:rPr>
                <w:rFonts w:eastAsia="新細明體"/>
                <w:b/>
                <w:bCs/>
                <w:color w:val="FFFFFF"/>
              </w:rPr>
              <w:t>Treatments</w:t>
            </w:r>
          </w:p>
        </w:tc>
        <w:tc>
          <w:tcPr>
            <w:tcW w:w="1560" w:type="dxa"/>
            <w:shd w:val="clear" w:color="F79646" w:fill="F79646"/>
            <w:noWrap/>
            <w:vAlign w:val="bottom"/>
            <w:hideMark/>
          </w:tcPr>
          <w:p w14:paraId="7FEDBC23" w14:textId="77777777" w:rsidR="00D60974" w:rsidRPr="00D60974" w:rsidRDefault="00D60974" w:rsidP="00426E3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color w:val="FFFFFF"/>
              </w:rPr>
            </w:pPr>
            <w:r w:rsidRPr="00D60974">
              <w:rPr>
                <w:rFonts w:eastAsia="新細明體"/>
                <w:b/>
                <w:bCs/>
                <w:color w:val="FFFFFF"/>
              </w:rPr>
              <w:t>Distance</w:t>
            </w:r>
          </w:p>
        </w:tc>
      </w:tr>
      <w:tr w:rsidR="00D60974" w:rsidRPr="00D60974" w14:paraId="2A1366D8" w14:textId="77777777" w:rsidTr="00D60974">
        <w:trPr>
          <w:trHeight w:val="315"/>
          <w:jc w:val="center"/>
        </w:trPr>
        <w:tc>
          <w:tcPr>
            <w:tcW w:w="1340" w:type="dxa"/>
            <w:shd w:val="clear" w:color="auto" w:fill="auto"/>
            <w:noWrap/>
            <w:vAlign w:val="bottom"/>
            <w:hideMark/>
          </w:tcPr>
          <w:p w14:paraId="5C2EF115"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12536</w:t>
            </w:r>
          </w:p>
        </w:tc>
        <w:tc>
          <w:tcPr>
            <w:tcW w:w="1680" w:type="dxa"/>
            <w:shd w:val="clear" w:color="auto" w:fill="auto"/>
            <w:noWrap/>
            <w:vAlign w:val="bottom"/>
            <w:hideMark/>
          </w:tcPr>
          <w:p w14:paraId="0FE3AC2A"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2301</w:t>
            </w:r>
          </w:p>
        </w:tc>
        <w:tc>
          <w:tcPr>
            <w:tcW w:w="1560" w:type="dxa"/>
            <w:shd w:val="clear" w:color="auto" w:fill="auto"/>
            <w:noWrap/>
            <w:vAlign w:val="bottom"/>
            <w:hideMark/>
          </w:tcPr>
          <w:p w14:paraId="2C509290"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0.3769839 </w:t>
            </w:r>
          </w:p>
        </w:tc>
      </w:tr>
      <w:tr w:rsidR="00D60974" w:rsidRPr="00D60974" w14:paraId="14CEC14D" w14:textId="77777777" w:rsidTr="00D60974">
        <w:trPr>
          <w:trHeight w:val="315"/>
          <w:jc w:val="center"/>
        </w:trPr>
        <w:tc>
          <w:tcPr>
            <w:tcW w:w="1340" w:type="dxa"/>
            <w:shd w:val="clear" w:color="auto" w:fill="auto"/>
            <w:noWrap/>
            <w:vAlign w:val="bottom"/>
            <w:hideMark/>
          </w:tcPr>
          <w:p w14:paraId="455D3FB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12586</w:t>
            </w:r>
          </w:p>
        </w:tc>
        <w:tc>
          <w:tcPr>
            <w:tcW w:w="1680" w:type="dxa"/>
            <w:shd w:val="clear" w:color="auto" w:fill="auto"/>
            <w:noWrap/>
            <w:vAlign w:val="bottom"/>
            <w:hideMark/>
          </w:tcPr>
          <w:p w14:paraId="256221C1"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2341</w:t>
            </w:r>
          </w:p>
        </w:tc>
        <w:tc>
          <w:tcPr>
            <w:tcW w:w="1560" w:type="dxa"/>
            <w:shd w:val="clear" w:color="auto" w:fill="auto"/>
            <w:noWrap/>
            <w:vAlign w:val="bottom"/>
            <w:hideMark/>
          </w:tcPr>
          <w:p w14:paraId="40B5AD8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0.4598068 </w:t>
            </w:r>
          </w:p>
        </w:tc>
      </w:tr>
      <w:tr w:rsidR="00D60974" w:rsidRPr="00D60974" w14:paraId="5465E1A7" w14:textId="77777777" w:rsidTr="00D60974">
        <w:trPr>
          <w:trHeight w:val="315"/>
          <w:jc w:val="center"/>
        </w:trPr>
        <w:tc>
          <w:tcPr>
            <w:tcW w:w="1340" w:type="dxa"/>
            <w:shd w:val="clear" w:color="auto" w:fill="auto"/>
            <w:noWrap/>
            <w:vAlign w:val="bottom"/>
            <w:hideMark/>
          </w:tcPr>
          <w:p w14:paraId="5ADA75B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12686</w:t>
            </w:r>
          </w:p>
        </w:tc>
        <w:tc>
          <w:tcPr>
            <w:tcW w:w="1680" w:type="dxa"/>
            <w:shd w:val="clear" w:color="auto" w:fill="auto"/>
            <w:noWrap/>
            <w:vAlign w:val="bottom"/>
            <w:hideMark/>
          </w:tcPr>
          <w:p w14:paraId="09E31061"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2293</w:t>
            </w:r>
          </w:p>
        </w:tc>
        <w:tc>
          <w:tcPr>
            <w:tcW w:w="1560" w:type="dxa"/>
            <w:shd w:val="clear" w:color="auto" w:fill="auto"/>
            <w:noWrap/>
            <w:vAlign w:val="bottom"/>
            <w:hideMark/>
          </w:tcPr>
          <w:p w14:paraId="66F8085E"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0.6895000 </w:t>
            </w:r>
          </w:p>
        </w:tc>
      </w:tr>
      <w:tr w:rsidR="00D60974" w:rsidRPr="00D60974" w14:paraId="0E8CF5ED" w14:textId="77777777" w:rsidTr="00D60974">
        <w:trPr>
          <w:trHeight w:val="315"/>
          <w:jc w:val="center"/>
        </w:trPr>
        <w:tc>
          <w:tcPr>
            <w:tcW w:w="1340" w:type="dxa"/>
            <w:shd w:val="clear" w:color="auto" w:fill="auto"/>
            <w:noWrap/>
            <w:vAlign w:val="bottom"/>
            <w:hideMark/>
          </w:tcPr>
          <w:p w14:paraId="638EA5E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1863</w:t>
            </w:r>
          </w:p>
        </w:tc>
        <w:tc>
          <w:tcPr>
            <w:tcW w:w="1680" w:type="dxa"/>
            <w:shd w:val="clear" w:color="auto" w:fill="auto"/>
            <w:noWrap/>
            <w:vAlign w:val="bottom"/>
            <w:hideMark/>
          </w:tcPr>
          <w:p w14:paraId="727F476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1696</w:t>
            </w:r>
          </w:p>
        </w:tc>
        <w:tc>
          <w:tcPr>
            <w:tcW w:w="1560" w:type="dxa"/>
            <w:shd w:val="clear" w:color="auto" w:fill="auto"/>
            <w:noWrap/>
            <w:vAlign w:val="bottom"/>
            <w:hideMark/>
          </w:tcPr>
          <w:p w14:paraId="17E385B4"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0.4131876 </w:t>
            </w:r>
          </w:p>
        </w:tc>
      </w:tr>
      <w:tr w:rsidR="00D60974" w:rsidRPr="00D60974" w14:paraId="77BAB5F9" w14:textId="77777777" w:rsidTr="00D60974">
        <w:trPr>
          <w:trHeight w:val="315"/>
          <w:jc w:val="center"/>
        </w:trPr>
        <w:tc>
          <w:tcPr>
            <w:tcW w:w="1340" w:type="dxa"/>
            <w:shd w:val="clear" w:color="auto" w:fill="auto"/>
            <w:noWrap/>
            <w:vAlign w:val="bottom"/>
            <w:hideMark/>
          </w:tcPr>
          <w:p w14:paraId="50C34D0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1964</w:t>
            </w:r>
          </w:p>
        </w:tc>
        <w:tc>
          <w:tcPr>
            <w:tcW w:w="1680" w:type="dxa"/>
            <w:shd w:val="clear" w:color="auto" w:fill="auto"/>
            <w:noWrap/>
            <w:vAlign w:val="bottom"/>
            <w:hideMark/>
          </w:tcPr>
          <w:p w14:paraId="6F6EEDC4"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1664</w:t>
            </w:r>
          </w:p>
        </w:tc>
        <w:tc>
          <w:tcPr>
            <w:tcW w:w="1560" w:type="dxa"/>
            <w:shd w:val="clear" w:color="auto" w:fill="auto"/>
            <w:noWrap/>
            <w:vAlign w:val="bottom"/>
            <w:hideMark/>
          </w:tcPr>
          <w:p w14:paraId="0DA46B72"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0.2946072 </w:t>
            </w:r>
          </w:p>
        </w:tc>
      </w:tr>
      <w:tr w:rsidR="00D60974" w:rsidRPr="00D60974" w14:paraId="026F18FF" w14:textId="77777777" w:rsidTr="00D60974">
        <w:trPr>
          <w:trHeight w:val="315"/>
          <w:jc w:val="center"/>
        </w:trPr>
        <w:tc>
          <w:tcPr>
            <w:tcW w:w="1340" w:type="dxa"/>
            <w:shd w:val="clear" w:color="auto" w:fill="auto"/>
            <w:noWrap/>
            <w:vAlign w:val="bottom"/>
            <w:hideMark/>
          </w:tcPr>
          <w:p w14:paraId="50E40F30"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2014</w:t>
            </w:r>
          </w:p>
        </w:tc>
        <w:tc>
          <w:tcPr>
            <w:tcW w:w="1680" w:type="dxa"/>
            <w:shd w:val="clear" w:color="auto" w:fill="auto"/>
            <w:noWrap/>
            <w:vAlign w:val="bottom"/>
            <w:hideMark/>
          </w:tcPr>
          <w:p w14:paraId="5827767C"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1700</w:t>
            </w:r>
          </w:p>
        </w:tc>
        <w:tc>
          <w:tcPr>
            <w:tcW w:w="1560" w:type="dxa"/>
            <w:shd w:val="clear" w:color="auto" w:fill="auto"/>
            <w:noWrap/>
            <w:vAlign w:val="bottom"/>
            <w:hideMark/>
          </w:tcPr>
          <w:p w14:paraId="7CF948E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1.0075255 </w:t>
            </w:r>
          </w:p>
        </w:tc>
      </w:tr>
      <w:tr w:rsidR="00D60974" w:rsidRPr="00D60974" w14:paraId="137EA57D" w14:textId="77777777" w:rsidTr="00D60974">
        <w:trPr>
          <w:trHeight w:val="315"/>
          <w:jc w:val="center"/>
        </w:trPr>
        <w:tc>
          <w:tcPr>
            <w:tcW w:w="1340" w:type="dxa"/>
            <w:shd w:val="clear" w:color="auto" w:fill="auto"/>
            <w:noWrap/>
            <w:vAlign w:val="bottom"/>
            <w:hideMark/>
          </w:tcPr>
          <w:p w14:paraId="7B1E95F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2214</w:t>
            </w:r>
          </w:p>
        </w:tc>
        <w:tc>
          <w:tcPr>
            <w:tcW w:w="1680" w:type="dxa"/>
            <w:shd w:val="clear" w:color="auto" w:fill="auto"/>
            <w:noWrap/>
            <w:vAlign w:val="bottom"/>
            <w:hideMark/>
          </w:tcPr>
          <w:p w14:paraId="5F6C592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1675</w:t>
            </w:r>
          </w:p>
        </w:tc>
        <w:tc>
          <w:tcPr>
            <w:tcW w:w="1560" w:type="dxa"/>
            <w:shd w:val="clear" w:color="auto" w:fill="auto"/>
            <w:noWrap/>
            <w:vAlign w:val="bottom"/>
            <w:hideMark/>
          </w:tcPr>
          <w:p w14:paraId="5AA5536F"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0.7034827 </w:t>
            </w:r>
          </w:p>
        </w:tc>
      </w:tr>
      <w:tr w:rsidR="00D60974" w:rsidRPr="00D60974" w14:paraId="36177E6D" w14:textId="77777777" w:rsidTr="00D60974">
        <w:trPr>
          <w:trHeight w:val="315"/>
          <w:jc w:val="center"/>
        </w:trPr>
        <w:tc>
          <w:tcPr>
            <w:tcW w:w="1340" w:type="dxa"/>
            <w:shd w:val="clear" w:color="auto" w:fill="auto"/>
            <w:noWrap/>
            <w:vAlign w:val="bottom"/>
            <w:hideMark/>
          </w:tcPr>
          <w:p w14:paraId="7C9F6FEB"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2568</w:t>
            </w:r>
          </w:p>
        </w:tc>
        <w:tc>
          <w:tcPr>
            <w:tcW w:w="1680" w:type="dxa"/>
            <w:shd w:val="clear" w:color="auto" w:fill="auto"/>
            <w:noWrap/>
            <w:vAlign w:val="bottom"/>
            <w:hideMark/>
          </w:tcPr>
          <w:p w14:paraId="0B957D7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2288</w:t>
            </w:r>
          </w:p>
        </w:tc>
        <w:tc>
          <w:tcPr>
            <w:tcW w:w="1560" w:type="dxa"/>
            <w:shd w:val="clear" w:color="auto" w:fill="auto"/>
            <w:noWrap/>
            <w:vAlign w:val="bottom"/>
            <w:hideMark/>
          </w:tcPr>
          <w:p w14:paraId="00FAF1B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0.4072874 </w:t>
            </w:r>
          </w:p>
        </w:tc>
      </w:tr>
      <w:tr w:rsidR="00D60974" w:rsidRPr="00D60974" w14:paraId="3549EED8" w14:textId="77777777" w:rsidTr="00D60974">
        <w:trPr>
          <w:trHeight w:val="315"/>
          <w:jc w:val="center"/>
        </w:trPr>
        <w:tc>
          <w:tcPr>
            <w:tcW w:w="1340" w:type="dxa"/>
            <w:shd w:val="clear" w:color="auto" w:fill="auto"/>
            <w:noWrap/>
            <w:vAlign w:val="bottom"/>
            <w:hideMark/>
          </w:tcPr>
          <w:p w14:paraId="3E59F4FD"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2572</w:t>
            </w:r>
          </w:p>
        </w:tc>
        <w:tc>
          <w:tcPr>
            <w:tcW w:w="1680" w:type="dxa"/>
            <w:shd w:val="clear" w:color="auto" w:fill="auto"/>
            <w:noWrap/>
            <w:vAlign w:val="bottom"/>
            <w:hideMark/>
          </w:tcPr>
          <w:p w14:paraId="1C18679A"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2341</w:t>
            </w:r>
          </w:p>
        </w:tc>
        <w:tc>
          <w:tcPr>
            <w:tcW w:w="1560" w:type="dxa"/>
            <w:shd w:val="clear" w:color="auto" w:fill="auto"/>
            <w:noWrap/>
            <w:vAlign w:val="bottom"/>
            <w:hideMark/>
          </w:tcPr>
          <w:p w14:paraId="6F4B42AE"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0.2622104 </w:t>
            </w:r>
          </w:p>
        </w:tc>
      </w:tr>
      <w:tr w:rsidR="00D60974" w:rsidRPr="00D60974" w14:paraId="3269B9A2" w14:textId="77777777" w:rsidTr="00D60974">
        <w:trPr>
          <w:trHeight w:val="315"/>
          <w:jc w:val="center"/>
        </w:trPr>
        <w:tc>
          <w:tcPr>
            <w:tcW w:w="1340" w:type="dxa"/>
            <w:shd w:val="clear" w:color="auto" w:fill="auto"/>
            <w:noWrap/>
            <w:vAlign w:val="bottom"/>
            <w:hideMark/>
          </w:tcPr>
          <w:p w14:paraId="705CA204"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3185</w:t>
            </w:r>
          </w:p>
        </w:tc>
        <w:tc>
          <w:tcPr>
            <w:tcW w:w="1680" w:type="dxa"/>
            <w:shd w:val="clear" w:color="auto" w:fill="auto"/>
            <w:noWrap/>
            <w:vAlign w:val="bottom"/>
            <w:hideMark/>
          </w:tcPr>
          <w:p w14:paraId="2CC07395"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2322</w:t>
            </w:r>
          </w:p>
        </w:tc>
        <w:tc>
          <w:tcPr>
            <w:tcW w:w="1560" w:type="dxa"/>
            <w:shd w:val="clear" w:color="auto" w:fill="auto"/>
            <w:noWrap/>
            <w:vAlign w:val="bottom"/>
            <w:hideMark/>
          </w:tcPr>
          <w:p w14:paraId="6E1EE5FB"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0.2791392 </w:t>
            </w:r>
          </w:p>
        </w:tc>
      </w:tr>
      <w:tr w:rsidR="00D60974" w:rsidRPr="00D60974" w14:paraId="7B2F39B6" w14:textId="77777777" w:rsidTr="00D60974">
        <w:trPr>
          <w:trHeight w:val="315"/>
          <w:jc w:val="center"/>
        </w:trPr>
        <w:tc>
          <w:tcPr>
            <w:tcW w:w="1340" w:type="dxa"/>
            <w:shd w:val="clear" w:color="auto" w:fill="auto"/>
            <w:noWrap/>
            <w:vAlign w:val="bottom"/>
            <w:hideMark/>
          </w:tcPr>
          <w:p w14:paraId="1D03419D"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lastRenderedPageBreak/>
              <w:t>7037</w:t>
            </w:r>
          </w:p>
        </w:tc>
        <w:tc>
          <w:tcPr>
            <w:tcW w:w="1680" w:type="dxa"/>
            <w:shd w:val="clear" w:color="auto" w:fill="auto"/>
            <w:noWrap/>
            <w:vAlign w:val="bottom"/>
            <w:hideMark/>
          </w:tcPr>
          <w:p w14:paraId="20F8DBA2"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1700</w:t>
            </w:r>
          </w:p>
        </w:tc>
        <w:tc>
          <w:tcPr>
            <w:tcW w:w="1560" w:type="dxa"/>
            <w:shd w:val="clear" w:color="auto" w:fill="auto"/>
            <w:noWrap/>
            <w:vAlign w:val="bottom"/>
            <w:hideMark/>
          </w:tcPr>
          <w:p w14:paraId="060EA72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0.9185037 </w:t>
            </w:r>
          </w:p>
        </w:tc>
      </w:tr>
      <w:tr w:rsidR="00D60974" w:rsidRPr="00D60974" w14:paraId="4E05366C" w14:textId="77777777" w:rsidTr="00D60974">
        <w:trPr>
          <w:trHeight w:val="315"/>
          <w:jc w:val="center"/>
        </w:trPr>
        <w:tc>
          <w:tcPr>
            <w:tcW w:w="1340" w:type="dxa"/>
            <w:shd w:val="clear" w:color="auto" w:fill="auto"/>
            <w:noWrap/>
            <w:vAlign w:val="bottom"/>
            <w:hideMark/>
          </w:tcPr>
          <w:p w14:paraId="5DC6044F"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7162</w:t>
            </w:r>
          </w:p>
        </w:tc>
        <w:tc>
          <w:tcPr>
            <w:tcW w:w="1680" w:type="dxa"/>
            <w:shd w:val="clear" w:color="auto" w:fill="auto"/>
            <w:noWrap/>
            <w:vAlign w:val="bottom"/>
            <w:hideMark/>
          </w:tcPr>
          <w:p w14:paraId="10A03B05"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1664</w:t>
            </w:r>
          </w:p>
        </w:tc>
        <w:tc>
          <w:tcPr>
            <w:tcW w:w="1560" w:type="dxa"/>
            <w:shd w:val="clear" w:color="auto" w:fill="auto"/>
            <w:noWrap/>
            <w:vAlign w:val="bottom"/>
            <w:hideMark/>
          </w:tcPr>
          <w:p w14:paraId="6E04ED01"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0.3461303 </w:t>
            </w:r>
          </w:p>
        </w:tc>
      </w:tr>
      <w:tr w:rsidR="00D60974" w:rsidRPr="00D60974" w14:paraId="1C763844" w14:textId="77777777" w:rsidTr="00D60974">
        <w:trPr>
          <w:trHeight w:val="315"/>
          <w:jc w:val="center"/>
        </w:trPr>
        <w:tc>
          <w:tcPr>
            <w:tcW w:w="1340" w:type="dxa"/>
            <w:shd w:val="clear" w:color="auto" w:fill="auto"/>
            <w:noWrap/>
            <w:vAlign w:val="bottom"/>
            <w:hideMark/>
          </w:tcPr>
          <w:p w14:paraId="3905BF33"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7284</w:t>
            </w:r>
          </w:p>
        </w:tc>
        <w:tc>
          <w:tcPr>
            <w:tcW w:w="1680" w:type="dxa"/>
            <w:shd w:val="clear" w:color="auto" w:fill="auto"/>
            <w:noWrap/>
            <w:vAlign w:val="bottom"/>
            <w:hideMark/>
          </w:tcPr>
          <w:p w14:paraId="2C84EBEF"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1675</w:t>
            </w:r>
          </w:p>
        </w:tc>
        <w:tc>
          <w:tcPr>
            <w:tcW w:w="1560" w:type="dxa"/>
            <w:shd w:val="clear" w:color="auto" w:fill="auto"/>
            <w:noWrap/>
            <w:vAlign w:val="bottom"/>
            <w:hideMark/>
          </w:tcPr>
          <w:p w14:paraId="025BF29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0.6638134 </w:t>
            </w:r>
          </w:p>
        </w:tc>
      </w:tr>
      <w:tr w:rsidR="00D60974" w:rsidRPr="00D60974" w14:paraId="02A11C83" w14:textId="77777777" w:rsidTr="00D60974">
        <w:trPr>
          <w:trHeight w:val="315"/>
          <w:jc w:val="center"/>
        </w:trPr>
        <w:tc>
          <w:tcPr>
            <w:tcW w:w="1340" w:type="dxa"/>
            <w:shd w:val="clear" w:color="auto" w:fill="auto"/>
            <w:noWrap/>
            <w:vAlign w:val="bottom"/>
            <w:hideMark/>
          </w:tcPr>
          <w:p w14:paraId="7E593F0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7334</w:t>
            </w:r>
          </w:p>
        </w:tc>
        <w:tc>
          <w:tcPr>
            <w:tcW w:w="1680" w:type="dxa"/>
            <w:shd w:val="clear" w:color="auto" w:fill="auto"/>
            <w:noWrap/>
            <w:vAlign w:val="bottom"/>
            <w:hideMark/>
          </w:tcPr>
          <w:p w14:paraId="40D3D47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1696</w:t>
            </w:r>
          </w:p>
        </w:tc>
        <w:tc>
          <w:tcPr>
            <w:tcW w:w="1560" w:type="dxa"/>
            <w:shd w:val="clear" w:color="auto" w:fill="auto"/>
            <w:noWrap/>
            <w:vAlign w:val="bottom"/>
            <w:hideMark/>
          </w:tcPr>
          <w:p w14:paraId="198AF33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0.6614922 </w:t>
            </w:r>
          </w:p>
        </w:tc>
      </w:tr>
      <w:tr w:rsidR="00D60974" w:rsidRPr="00D60974" w14:paraId="3FE604C0" w14:textId="77777777" w:rsidTr="00D60974">
        <w:trPr>
          <w:trHeight w:val="315"/>
          <w:jc w:val="center"/>
        </w:trPr>
        <w:tc>
          <w:tcPr>
            <w:tcW w:w="1340" w:type="dxa"/>
            <w:shd w:val="clear" w:color="auto" w:fill="auto"/>
            <w:noWrap/>
            <w:vAlign w:val="bottom"/>
            <w:hideMark/>
          </w:tcPr>
          <w:p w14:paraId="79CF826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7434</w:t>
            </w:r>
          </w:p>
        </w:tc>
        <w:tc>
          <w:tcPr>
            <w:tcW w:w="1680" w:type="dxa"/>
            <w:shd w:val="clear" w:color="auto" w:fill="auto"/>
            <w:noWrap/>
            <w:vAlign w:val="bottom"/>
            <w:hideMark/>
          </w:tcPr>
          <w:p w14:paraId="28CAF88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1712</w:t>
            </w:r>
          </w:p>
        </w:tc>
        <w:tc>
          <w:tcPr>
            <w:tcW w:w="1560" w:type="dxa"/>
            <w:shd w:val="clear" w:color="auto" w:fill="auto"/>
            <w:noWrap/>
            <w:vAlign w:val="bottom"/>
            <w:hideMark/>
          </w:tcPr>
          <w:p w14:paraId="0DACF95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0.6120869 </w:t>
            </w:r>
          </w:p>
        </w:tc>
      </w:tr>
      <w:tr w:rsidR="00D60974" w:rsidRPr="00D60974" w14:paraId="046CAA9B" w14:textId="77777777" w:rsidTr="00D60974">
        <w:trPr>
          <w:trHeight w:val="315"/>
          <w:jc w:val="center"/>
        </w:trPr>
        <w:tc>
          <w:tcPr>
            <w:tcW w:w="1340" w:type="dxa"/>
            <w:shd w:val="clear" w:color="auto" w:fill="auto"/>
            <w:noWrap/>
            <w:vAlign w:val="bottom"/>
            <w:hideMark/>
          </w:tcPr>
          <w:p w14:paraId="76510F8A"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8162</w:t>
            </w:r>
          </w:p>
        </w:tc>
        <w:tc>
          <w:tcPr>
            <w:tcW w:w="1680" w:type="dxa"/>
            <w:shd w:val="clear" w:color="auto" w:fill="auto"/>
            <w:noWrap/>
            <w:vAlign w:val="bottom"/>
            <w:hideMark/>
          </w:tcPr>
          <w:p w14:paraId="1ECE2083"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1712</w:t>
            </w:r>
          </w:p>
        </w:tc>
        <w:tc>
          <w:tcPr>
            <w:tcW w:w="1560" w:type="dxa"/>
            <w:shd w:val="clear" w:color="auto" w:fill="auto"/>
            <w:noWrap/>
            <w:vAlign w:val="bottom"/>
            <w:hideMark/>
          </w:tcPr>
          <w:p w14:paraId="64C21356"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0.4878611 </w:t>
            </w:r>
          </w:p>
        </w:tc>
      </w:tr>
      <w:tr w:rsidR="00D60974" w:rsidRPr="00D60974" w14:paraId="38D3E7F2" w14:textId="77777777" w:rsidTr="00D60974">
        <w:trPr>
          <w:trHeight w:val="315"/>
          <w:jc w:val="center"/>
        </w:trPr>
        <w:tc>
          <w:tcPr>
            <w:tcW w:w="1340" w:type="dxa"/>
            <w:shd w:val="clear" w:color="auto" w:fill="auto"/>
            <w:noWrap/>
            <w:vAlign w:val="bottom"/>
            <w:hideMark/>
          </w:tcPr>
          <w:p w14:paraId="57D9A00C"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9081</w:t>
            </w:r>
          </w:p>
        </w:tc>
        <w:tc>
          <w:tcPr>
            <w:tcW w:w="1680" w:type="dxa"/>
            <w:shd w:val="clear" w:color="auto" w:fill="auto"/>
            <w:noWrap/>
            <w:vAlign w:val="bottom"/>
            <w:hideMark/>
          </w:tcPr>
          <w:p w14:paraId="52DDDED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2288</w:t>
            </w:r>
          </w:p>
        </w:tc>
        <w:tc>
          <w:tcPr>
            <w:tcW w:w="1560" w:type="dxa"/>
            <w:shd w:val="clear" w:color="auto" w:fill="auto"/>
            <w:noWrap/>
            <w:vAlign w:val="bottom"/>
            <w:hideMark/>
          </w:tcPr>
          <w:p w14:paraId="24BB19A7"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0.4469973 </w:t>
            </w:r>
          </w:p>
        </w:tc>
      </w:tr>
      <w:tr w:rsidR="00D60974" w:rsidRPr="00D60974" w14:paraId="3EAEC60B" w14:textId="77777777" w:rsidTr="00D60974">
        <w:trPr>
          <w:trHeight w:val="315"/>
          <w:jc w:val="center"/>
        </w:trPr>
        <w:tc>
          <w:tcPr>
            <w:tcW w:w="1340" w:type="dxa"/>
            <w:shd w:val="clear" w:color="auto" w:fill="auto"/>
            <w:noWrap/>
            <w:vAlign w:val="bottom"/>
            <w:hideMark/>
          </w:tcPr>
          <w:p w14:paraId="3476054F"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9238</w:t>
            </w:r>
          </w:p>
        </w:tc>
        <w:tc>
          <w:tcPr>
            <w:tcW w:w="1680" w:type="dxa"/>
            <w:shd w:val="clear" w:color="auto" w:fill="auto"/>
            <w:noWrap/>
            <w:vAlign w:val="bottom"/>
            <w:hideMark/>
          </w:tcPr>
          <w:p w14:paraId="2EB66BBC"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2301</w:t>
            </w:r>
          </w:p>
        </w:tc>
        <w:tc>
          <w:tcPr>
            <w:tcW w:w="1560" w:type="dxa"/>
            <w:shd w:val="clear" w:color="auto" w:fill="auto"/>
            <w:noWrap/>
            <w:vAlign w:val="bottom"/>
            <w:hideMark/>
          </w:tcPr>
          <w:p w14:paraId="274FE271"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0.3832117 </w:t>
            </w:r>
          </w:p>
        </w:tc>
      </w:tr>
      <w:tr w:rsidR="00D60974" w:rsidRPr="00D60974" w14:paraId="610161C6" w14:textId="77777777" w:rsidTr="00D60974">
        <w:trPr>
          <w:trHeight w:val="315"/>
          <w:jc w:val="center"/>
        </w:trPr>
        <w:tc>
          <w:tcPr>
            <w:tcW w:w="1340" w:type="dxa"/>
            <w:shd w:val="clear" w:color="auto" w:fill="auto"/>
            <w:noWrap/>
            <w:vAlign w:val="bottom"/>
            <w:hideMark/>
          </w:tcPr>
          <w:p w14:paraId="51F0684A"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9388</w:t>
            </w:r>
          </w:p>
        </w:tc>
        <w:tc>
          <w:tcPr>
            <w:tcW w:w="1680" w:type="dxa"/>
            <w:shd w:val="clear" w:color="auto" w:fill="auto"/>
            <w:noWrap/>
            <w:vAlign w:val="bottom"/>
            <w:hideMark/>
          </w:tcPr>
          <w:p w14:paraId="0EDDC5FD"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2322</w:t>
            </w:r>
          </w:p>
        </w:tc>
        <w:tc>
          <w:tcPr>
            <w:tcW w:w="1560" w:type="dxa"/>
            <w:shd w:val="clear" w:color="auto" w:fill="auto"/>
            <w:noWrap/>
            <w:vAlign w:val="bottom"/>
            <w:hideMark/>
          </w:tcPr>
          <w:p w14:paraId="6D012BFC"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0.2313615 </w:t>
            </w:r>
          </w:p>
        </w:tc>
      </w:tr>
      <w:tr w:rsidR="00D60974" w:rsidRPr="00D60974" w14:paraId="499EDE0E" w14:textId="77777777" w:rsidTr="00D60974">
        <w:trPr>
          <w:trHeight w:val="315"/>
          <w:jc w:val="center"/>
        </w:trPr>
        <w:tc>
          <w:tcPr>
            <w:tcW w:w="1340" w:type="dxa"/>
            <w:shd w:val="clear" w:color="auto" w:fill="auto"/>
            <w:noWrap/>
            <w:vAlign w:val="bottom"/>
            <w:hideMark/>
          </w:tcPr>
          <w:p w14:paraId="0D10D342"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9639</w:t>
            </w:r>
          </w:p>
        </w:tc>
        <w:tc>
          <w:tcPr>
            <w:tcW w:w="1680" w:type="dxa"/>
            <w:shd w:val="clear" w:color="auto" w:fill="auto"/>
            <w:noWrap/>
            <w:vAlign w:val="bottom"/>
            <w:hideMark/>
          </w:tcPr>
          <w:p w14:paraId="598534C9"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D60974">
              <w:rPr>
                <w:rFonts w:eastAsia="新細明體"/>
              </w:rPr>
              <w:t>2293</w:t>
            </w:r>
          </w:p>
        </w:tc>
        <w:tc>
          <w:tcPr>
            <w:tcW w:w="1560" w:type="dxa"/>
            <w:shd w:val="clear" w:color="auto" w:fill="auto"/>
            <w:noWrap/>
            <w:vAlign w:val="bottom"/>
            <w:hideMark/>
          </w:tcPr>
          <w:p w14:paraId="6646EA7E" w14:textId="77777777" w:rsidR="00D60974" w:rsidRPr="00D60974" w:rsidRDefault="00D60974" w:rsidP="00D60974">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D60974">
              <w:rPr>
                <w:rFonts w:eastAsia="新細明體"/>
              </w:rPr>
              <w:t xml:space="preserve">0.7303510 </w:t>
            </w:r>
          </w:p>
        </w:tc>
      </w:tr>
    </w:tbl>
    <w:p w14:paraId="6EB9A9B5" w14:textId="77777777" w:rsidR="009777AA" w:rsidRDefault="005A0983">
      <w:pPr>
        <w:pStyle w:val="2"/>
      </w:pPr>
      <w:r>
        <w:t>Step 4: Analysis and Writeup</w:t>
      </w:r>
    </w:p>
    <w:p w14:paraId="63B070CC" w14:textId="77777777" w:rsidR="009777AA" w:rsidRDefault="005A0983">
      <w:pPr>
        <w:spacing w:line="240" w:lineRule="auto"/>
      </w:pPr>
      <w:r>
        <w:rPr>
          <w:i/>
        </w:rPr>
        <w:t>Conduct your A/B analysis and create a short report outlining your results and recommendations. (250 words limit)</w:t>
      </w:r>
    </w:p>
    <w:p w14:paraId="02E43F9E" w14:textId="77777777" w:rsidR="009777AA" w:rsidRDefault="009777AA">
      <w:pPr>
        <w:spacing w:line="240" w:lineRule="auto"/>
      </w:pPr>
    </w:p>
    <w:p w14:paraId="09694D65" w14:textId="77777777" w:rsidR="009777AA" w:rsidRDefault="005A0983">
      <w:pPr>
        <w:spacing w:line="240" w:lineRule="auto"/>
      </w:pPr>
      <w:r>
        <w:rPr>
          <w:i/>
        </w:rPr>
        <w:t>Answer these questions. Be sure to include visualizations from your analysis:</w:t>
      </w:r>
    </w:p>
    <w:p w14:paraId="27CAC9A0" w14:textId="77777777" w:rsidR="009777AA" w:rsidRDefault="009777AA">
      <w:pPr>
        <w:spacing w:line="240" w:lineRule="auto"/>
      </w:pPr>
    </w:p>
    <w:p w14:paraId="29A5D6DC" w14:textId="4ED14381" w:rsidR="009777AA" w:rsidRDefault="005A0983" w:rsidP="00A733FB">
      <w:pPr>
        <w:numPr>
          <w:ilvl w:val="0"/>
          <w:numId w:val="1"/>
        </w:numPr>
        <w:spacing w:afterLines="100" w:after="240" w:line="240" w:lineRule="auto"/>
        <w:ind w:left="714" w:hanging="357"/>
      </w:pPr>
      <w:r>
        <w:t>What is your recommendation - Should the company roll out the updated menu to all stores?</w:t>
      </w:r>
    </w:p>
    <w:p w14:paraId="4D178999" w14:textId="4930FA59" w:rsidR="00A733FB" w:rsidRPr="00A733FB" w:rsidRDefault="00A733FB" w:rsidP="00A733FB">
      <w:pPr>
        <w:spacing w:line="240" w:lineRule="auto"/>
        <w:ind w:left="720"/>
        <w:rPr>
          <w:i/>
          <w:iCs/>
          <w:color w:val="0070C0"/>
        </w:rPr>
      </w:pPr>
      <w:r w:rsidRPr="00A733FB">
        <w:rPr>
          <w:i/>
          <w:iCs/>
          <w:color w:val="0070C0"/>
        </w:rPr>
        <w:t>Yes</w:t>
      </w:r>
      <w:r>
        <w:rPr>
          <w:i/>
          <w:iCs/>
          <w:color w:val="0070C0"/>
        </w:rPr>
        <w:t>. From the analysis, we should launch a new menu to all stores.</w:t>
      </w:r>
      <w:r w:rsidR="00CE036E">
        <w:rPr>
          <w:i/>
          <w:iCs/>
          <w:color w:val="0070C0"/>
        </w:rPr>
        <w:t xml:space="preserve"> The below figures </w:t>
      </w:r>
      <w:proofErr w:type="gramStart"/>
      <w:r w:rsidR="00CE036E">
        <w:rPr>
          <w:i/>
          <w:iCs/>
          <w:color w:val="0070C0"/>
        </w:rPr>
        <w:t>indicates</w:t>
      </w:r>
      <w:proofErr w:type="gramEnd"/>
      <w:r w:rsidR="00CE036E">
        <w:rPr>
          <w:i/>
          <w:iCs/>
          <w:color w:val="0070C0"/>
        </w:rPr>
        <w:t xml:space="preserve"> an significant increasement of</w:t>
      </w:r>
      <w:r w:rsidR="006B6937">
        <w:rPr>
          <w:i/>
          <w:iCs/>
          <w:color w:val="0070C0"/>
        </w:rPr>
        <w:t xml:space="preserve"> gross margin of treatment.</w:t>
      </w:r>
      <w:r w:rsidR="00CE036E">
        <w:rPr>
          <w:i/>
          <w:iCs/>
          <w:color w:val="0070C0"/>
        </w:rPr>
        <w:t xml:space="preserve"> </w:t>
      </w:r>
    </w:p>
    <w:p w14:paraId="5A30750C" w14:textId="77777777" w:rsidR="00213BA5" w:rsidRDefault="004E290E" w:rsidP="00213BA5">
      <w:pPr>
        <w:spacing w:line="240" w:lineRule="auto"/>
        <w:ind w:left="720"/>
      </w:pPr>
      <w:r w:rsidRPr="004E290E">
        <w:rPr>
          <w:noProof/>
        </w:rPr>
        <w:drawing>
          <wp:inline distT="0" distB="0" distL="0" distR="0" wp14:anchorId="0988B371" wp14:editId="1239835D">
            <wp:extent cx="5943600" cy="688340"/>
            <wp:effectExtent l="19050" t="19050" r="19050" b="165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8340"/>
                    </a:xfrm>
                    <a:prstGeom prst="rect">
                      <a:avLst/>
                    </a:prstGeom>
                    <a:ln w="3175">
                      <a:solidFill>
                        <a:schemeClr val="tx1"/>
                      </a:solidFill>
                    </a:ln>
                  </pic:spPr>
                </pic:pic>
              </a:graphicData>
            </a:graphic>
          </wp:inline>
        </w:drawing>
      </w:r>
    </w:p>
    <w:p w14:paraId="10073B9F" w14:textId="77777777" w:rsidR="000C7080" w:rsidRDefault="00D60974" w:rsidP="00213BA5">
      <w:pPr>
        <w:spacing w:line="240" w:lineRule="auto"/>
        <w:ind w:left="720"/>
      </w:pPr>
      <w:r w:rsidRPr="00D60974">
        <w:rPr>
          <w:noProof/>
        </w:rPr>
        <w:drawing>
          <wp:inline distT="0" distB="0" distL="0" distR="0" wp14:anchorId="4F35FFAE" wp14:editId="6A7BA682">
            <wp:extent cx="5943600" cy="1286510"/>
            <wp:effectExtent l="19050" t="19050" r="19050" b="279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6510"/>
                    </a:xfrm>
                    <a:prstGeom prst="rect">
                      <a:avLst/>
                    </a:prstGeom>
                    <a:ln w="3175">
                      <a:solidFill>
                        <a:schemeClr val="tx1"/>
                      </a:solidFill>
                    </a:ln>
                  </pic:spPr>
                </pic:pic>
              </a:graphicData>
            </a:graphic>
          </wp:inline>
        </w:drawing>
      </w:r>
    </w:p>
    <w:p w14:paraId="0086EDED" w14:textId="55D42E91" w:rsidR="000C7080" w:rsidRDefault="00D60974" w:rsidP="00214CD6">
      <w:pPr>
        <w:spacing w:line="240" w:lineRule="auto"/>
        <w:ind w:left="720"/>
      </w:pPr>
      <w:r w:rsidRPr="00D60974">
        <w:rPr>
          <w:noProof/>
        </w:rPr>
        <w:drawing>
          <wp:inline distT="0" distB="0" distL="0" distR="0" wp14:anchorId="126D2D57" wp14:editId="056AE2AC">
            <wp:extent cx="5943600" cy="1762125"/>
            <wp:effectExtent l="19050" t="19050" r="19050" b="2857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2125"/>
                    </a:xfrm>
                    <a:prstGeom prst="rect">
                      <a:avLst/>
                    </a:prstGeom>
                    <a:ln w="3175">
                      <a:solidFill>
                        <a:schemeClr val="tx1"/>
                      </a:solidFill>
                    </a:ln>
                  </pic:spPr>
                </pic:pic>
              </a:graphicData>
            </a:graphic>
          </wp:inline>
        </w:drawing>
      </w:r>
    </w:p>
    <w:p w14:paraId="480B4EEF" w14:textId="74E013FE" w:rsidR="00F53621" w:rsidRDefault="00F53621" w:rsidP="00F53621">
      <w:pPr>
        <w:spacing w:afterLines="100" w:after="240" w:line="240" w:lineRule="auto"/>
        <w:ind w:left="720"/>
      </w:pPr>
      <w:r w:rsidRPr="003E32FB">
        <w:rPr>
          <w:noProof/>
        </w:rPr>
        <w:lastRenderedPageBreak/>
        <w:drawing>
          <wp:inline distT="0" distB="0" distL="0" distR="0" wp14:anchorId="536BEA10" wp14:editId="6DFF4C24">
            <wp:extent cx="5438775" cy="4905375"/>
            <wp:effectExtent l="19050" t="19050" r="28575" b="285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905375"/>
                    </a:xfrm>
                    <a:prstGeom prst="rect">
                      <a:avLst/>
                    </a:prstGeom>
                    <a:ln>
                      <a:solidFill>
                        <a:schemeClr val="tx1"/>
                      </a:solidFill>
                    </a:ln>
                  </pic:spPr>
                </pic:pic>
              </a:graphicData>
            </a:graphic>
          </wp:inline>
        </w:drawing>
      </w:r>
    </w:p>
    <w:p w14:paraId="53624230" w14:textId="77777777" w:rsidR="009777AA" w:rsidRDefault="005A0983" w:rsidP="00F8175A">
      <w:pPr>
        <w:numPr>
          <w:ilvl w:val="0"/>
          <w:numId w:val="1"/>
        </w:numPr>
        <w:spacing w:afterLines="100" w:after="240" w:line="240" w:lineRule="auto"/>
        <w:ind w:left="714" w:hanging="357"/>
      </w:pPr>
      <w:r>
        <w:t>What is the lift from the new menu for West and Central regions (include statistical significance)?</w:t>
      </w:r>
    </w:p>
    <w:p w14:paraId="7B9201E7" w14:textId="4F24B11D" w:rsidR="00213BA5" w:rsidRPr="00F8175A" w:rsidRDefault="00213BA5" w:rsidP="00213BA5">
      <w:pPr>
        <w:spacing w:line="240" w:lineRule="auto"/>
        <w:ind w:left="720"/>
        <w:rPr>
          <w:i/>
          <w:iCs/>
          <w:color w:val="0070C0"/>
        </w:rPr>
      </w:pPr>
      <w:r w:rsidRPr="00F8175A">
        <w:rPr>
          <w:rFonts w:hint="eastAsia"/>
          <w:i/>
          <w:iCs/>
          <w:color w:val="0070C0"/>
        </w:rPr>
        <w:t>C</w:t>
      </w:r>
      <w:r w:rsidR="00F8175A" w:rsidRPr="00F8175A">
        <w:rPr>
          <w:i/>
          <w:iCs/>
          <w:color w:val="0070C0"/>
        </w:rPr>
        <w:t>entral</w:t>
      </w:r>
      <w:r w:rsidR="00E2640B">
        <w:rPr>
          <w:i/>
          <w:iCs/>
          <w:color w:val="0070C0"/>
        </w:rPr>
        <w:t>: Lift=47.6%, Significance Level=99.60%</w:t>
      </w:r>
    </w:p>
    <w:p w14:paraId="1BB04BE8" w14:textId="6559ECA8" w:rsidR="00213BA5" w:rsidRDefault="004E290E" w:rsidP="00F8175A">
      <w:pPr>
        <w:spacing w:afterLines="100" w:after="240" w:line="240" w:lineRule="auto"/>
        <w:ind w:left="720"/>
      </w:pPr>
      <w:r w:rsidRPr="004E290E">
        <w:rPr>
          <w:noProof/>
        </w:rPr>
        <w:drawing>
          <wp:inline distT="0" distB="0" distL="0" distR="0" wp14:anchorId="6D8DD116" wp14:editId="36F95D57">
            <wp:extent cx="5943600" cy="564515"/>
            <wp:effectExtent l="19050" t="19050" r="19050" b="260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515"/>
                    </a:xfrm>
                    <a:prstGeom prst="rect">
                      <a:avLst/>
                    </a:prstGeom>
                    <a:ln w="3175">
                      <a:solidFill>
                        <a:schemeClr val="tx1"/>
                      </a:solidFill>
                    </a:ln>
                  </pic:spPr>
                </pic:pic>
              </a:graphicData>
            </a:graphic>
          </wp:inline>
        </w:drawing>
      </w:r>
    </w:p>
    <w:p w14:paraId="555CBDE0" w14:textId="06E626B9" w:rsidR="00213BA5" w:rsidRPr="00F8175A" w:rsidRDefault="00213BA5" w:rsidP="00213BA5">
      <w:pPr>
        <w:spacing w:line="240" w:lineRule="auto"/>
        <w:ind w:left="720"/>
        <w:rPr>
          <w:i/>
          <w:iCs/>
          <w:color w:val="0070C0"/>
        </w:rPr>
      </w:pPr>
      <w:r w:rsidRPr="00F8175A">
        <w:rPr>
          <w:rFonts w:hint="eastAsia"/>
          <w:i/>
          <w:iCs/>
          <w:color w:val="0070C0"/>
        </w:rPr>
        <w:t>W</w:t>
      </w:r>
      <w:r w:rsidR="00F8175A" w:rsidRPr="00F8175A">
        <w:rPr>
          <w:i/>
          <w:iCs/>
          <w:color w:val="0070C0"/>
        </w:rPr>
        <w:t>est</w:t>
      </w:r>
      <w:r w:rsidR="00E2640B">
        <w:rPr>
          <w:i/>
          <w:iCs/>
          <w:color w:val="0070C0"/>
        </w:rPr>
        <w:t>: Lift=39.10%, Significance Level=99.60%</w:t>
      </w:r>
    </w:p>
    <w:p w14:paraId="61ED15DC" w14:textId="77777777" w:rsidR="00FC707E" w:rsidRDefault="004E290E" w:rsidP="00D60974">
      <w:pPr>
        <w:spacing w:afterLines="100" w:after="240" w:line="240" w:lineRule="auto"/>
        <w:ind w:left="720"/>
      </w:pPr>
      <w:r w:rsidRPr="004E290E">
        <w:rPr>
          <w:noProof/>
        </w:rPr>
        <w:drawing>
          <wp:inline distT="0" distB="0" distL="0" distR="0" wp14:anchorId="0169D667" wp14:editId="6FDB97E8">
            <wp:extent cx="5943600" cy="560070"/>
            <wp:effectExtent l="19050" t="19050" r="19050" b="1143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0070"/>
                    </a:xfrm>
                    <a:prstGeom prst="rect">
                      <a:avLst/>
                    </a:prstGeom>
                    <a:ln w="3175">
                      <a:solidFill>
                        <a:schemeClr val="tx1"/>
                      </a:solidFill>
                    </a:ln>
                  </pic:spPr>
                </pic:pic>
              </a:graphicData>
            </a:graphic>
          </wp:inline>
        </w:drawing>
      </w:r>
    </w:p>
    <w:p w14:paraId="5F6C90CE" w14:textId="44C2E0B5" w:rsidR="009777AA" w:rsidRDefault="005A0983" w:rsidP="00BA3141">
      <w:pPr>
        <w:numPr>
          <w:ilvl w:val="0"/>
          <w:numId w:val="1"/>
        </w:numPr>
        <w:spacing w:afterLines="100" w:after="240" w:line="240" w:lineRule="auto"/>
        <w:ind w:left="714" w:hanging="357"/>
      </w:pPr>
      <w:r>
        <w:t>What is the lift from the new menu overall?</w:t>
      </w:r>
    </w:p>
    <w:p w14:paraId="03334CDC" w14:textId="134D4947" w:rsidR="00BA3141" w:rsidRPr="00BA3141" w:rsidRDefault="00BA3141" w:rsidP="00BA3141">
      <w:pPr>
        <w:spacing w:line="240" w:lineRule="auto"/>
        <w:ind w:left="720"/>
        <w:rPr>
          <w:i/>
          <w:iCs/>
          <w:color w:val="0070C0"/>
        </w:rPr>
      </w:pPr>
      <w:r w:rsidRPr="00BA3141">
        <w:rPr>
          <w:i/>
          <w:iCs/>
          <w:color w:val="0070C0"/>
        </w:rPr>
        <w:t>The overall lift is 43.4%.</w:t>
      </w:r>
    </w:p>
    <w:p w14:paraId="7D7D7D22" w14:textId="2DE8C4D7" w:rsidR="003E32FB" w:rsidRDefault="004E290E" w:rsidP="00F53621">
      <w:pPr>
        <w:spacing w:afterLines="100" w:after="240" w:line="240" w:lineRule="auto"/>
        <w:ind w:left="720"/>
      </w:pPr>
      <w:r w:rsidRPr="004E290E">
        <w:rPr>
          <w:noProof/>
        </w:rPr>
        <w:lastRenderedPageBreak/>
        <w:drawing>
          <wp:inline distT="0" distB="0" distL="0" distR="0" wp14:anchorId="0B08FD2D" wp14:editId="72E57053">
            <wp:extent cx="5943600" cy="559435"/>
            <wp:effectExtent l="19050" t="19050" r="19050" b="1206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9435"/>
                    </a:xfrm>
                    <a:prstGeom prst="rect">
                      <a:avLst/>
                    </a:prstGeom>
                    <a:ln w="6350">
                      <a:solidFill>
                        <a:schemeClr val="tx1"/>
                      </a:solidFill>
                    </a:ln>
                  </pic:spPr>
                </pic:pic>
              </a:graphicData>
            </a:graphic>
          </wp:inline>
        </w:drawing>
      </w:r>
    </w:p>
    <w:p w14:paraId="455176BB" w14:textId="07C43F6E" w:rsidR="00D54339" w:rsidRDefault="00D54339" w:rsidP="00D54339">
      <w:pPr>
        <w:pStyle w:val="2"/>
      </w:pPr>
      <w:r>
        <w:rPr>
          <w:rFonts w:hint="eastAsia"/>
        </w:rPr>
        <w:t>Ap</w:t>
      </w:r>
      <w:r>
        <w:t>pendix</w:t>
      </w:r>
      <w:r w:rsidR="005373B4">
        <w:t>: Alteryx Workflows</w:t>
      </w:r>
    </w:p>
    <w:p w14:paraId="0DDBCFF1" w14:textId="77777777" w:rsidR="001C7425" w:rsidRDefault="001C7425" w:rsidP="002107BC">
      <w:pPr>
        <w:spacing w:afterLines="200" w:after="480" w:line="240" w:lineRule="auto"/>
        <w:jc w:val="center"/>
      </w:pPr>
      <w:r w:rsidRPr="001C7425">
        <w:rPr>
          <w:noProof/>
        </w:rPr>
        <w:drawing>
          <wp:inline distT="0" distB="0" distL="0" distR="0" wp14:anchorId="3616A3C9" wp14:editId="5B29119A">
            <wp:extent cx="5943600" cy="2265045"/>
            <wp:effectExtent l="19050" t="19050" r="19050" b="209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65045"/>
                    </a:xfrm>
                    <a:prstGeom prst="rect">
                      <a:avLst/>
                    </a:prstGeom>
                    <a:ln w="9525">
                      <a:solidFill>
                        <a:schemeClr val="tx1"/>
                      </a:solidFill>
                    </a:ln>
                  </pic:spPr>
                </pic:pic>
              </a:graphicData>
            </a:graphic>
          </wp:inline>
        </w:drawing>
      </w:r>
    </w:p>
    <w:p w14:paraId="44C514E3" w14:textId="77777777" w:rsidR="001C7425" w:rsidRDefault="00140818" w:rsidP="00D54339">
      <w:pPr>
        <w:spacing w:line="240" w:lineRule="auto"/>
        <w:jc w:val="center"/>
      </w:pPr>
      <w:r w:rsidRPr="00140818">
        <w:rPr>
          <w:noProof/>
        </w:rPr>
        <w:drawing>
          <wp:inline distT="0" distB="0" distL="0" distR="0" wp14:anchorId="26BF50B3" wp14:editId="60A45D84">
            <wp:extent cx="5943600" cy="2150110"/>
            <wp:effectExtent l="19050" t="19050" r="19050" b="215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0110"/>
                    </a:xfrm>
                    <a:prstGeom prst="rect">
                      <a:avLst/>
                    </a:prstGeom>
                    <a:ln w="9525">
                      <a:solidFill>
                        <a:schemeClr val="tx1"/>
                      </a:solidFill>
                    </a:ln>
                  </pic:spPr>
                </pic:pic>
              </a:graphicData>
            </a:graphic>
          </wp:inline>
        </w:drawing>
      </w:r>
    </w:p>
    <w:p w14:paraId="57BF151E" w14:textId="77777777" w:rsidR="00140818" w:rsidRDefault="00140818" w:rsidP="00D54339">
      <w:pPr>
        <w:spacing w:line="240" w:lineRule="auto"/>
        <w:jc w:val="center"/>
      </w:pPr>
      <w:r w:rsidRPr="00140818">
        <w:rPr>
          <w:noProof/>
        </w:rPr>
        <w:lastRenderedPageBreak/>
        <w:drawing>
          <wp:inline distT="0" distB="0" distL="0" distR="0" wp14:anchorId="3140DD8E" wp14:editId="6E9B51A2">
            <wp:extent cx="5819775" cy="4210050"/>
            <wp:effectExtent l="19050" t="19050" r="28575" b="190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4210050"/>
                    </a:xfrm>
                    <a:prstGeom prst="rect">
                      <a:avLst/>
                    </a:prstGeom>
                    <a:ln>
                      <a:solidFill>
                        <a:schemeClr val="tx1"/>
                      </a:solidFill>
                    </a:ln>
                  </pic:spPr>
                </pic:pic>
              </a:graphicData>
            </a:graphic>
          </wp:inline>
        </w:drawing>
      </w:r>
    </w:p>
    <w:sectPr w:rsidR="001408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75C"/>
    <w:multiLevelType w:val="multilevel"/>
    <w:tmpl w:val="973E932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38844EF"/>
    <w:multiLevelType w:val="hybridMultilevel"/>
    <w:tmpl w:val="9C08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1845"/>
    <w:multiLevelType w:val="multilevel"/>
    <w:tmpl w:val="AD120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AAD22C5"/>
    <w:multiLevelType w:val="multilevel"/>
    <w:tmpl w:val="1DFE14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sDAxMjIxMzYzNTFV0lEKTi0uzszPAymwqAUAkixPsywAAAA="/>
  </w:docVars>
  <w:rsids>
    <w:rsidRoot w:val="009777AA"/>
    <w:rsid w:val="0001007D"/>
    <w:rsid w:val="00017D75"/>
    <w:rsid w:val="000C7080"/>
    <w:rsid w:val="001100EF"/>
    <w:rsid w:val="00110C80"/>
    <w:rsid w:val="0011314B"/>
    <w:rsid w:val="001216EE"/>
    <w:rsid w:val="00140818"/>
    <w:rsid w:val="00164927"/>
    <w:rsid w:val="001721BC"/>
    <w:rsid w:val="00192FC2"/>
    <w:rsid w:val="001B1A65"/>
    <w:rsid w:val="001B60DB"/>
    <w:rsid w:val="001C7425"/>
    <w:rsid w:val="001E29C5"/>
    <w:rsid w:val="002105AE"/>
    <w:rsid w:val="002107BC"/>
    <w:rsid w:val="00213BA5"/>
    <w:rsid w:val="00214CD6"/>
    <w:rsid w:val="00263B8C"/>
    <w:rsid w:val="00306974"/>
    <w:rsid w:val="00325D09"/>
    <w:rsid w:val="0034394D"/>
    <w:rsid w:val="00346739"/>
    <w:rsid w:val="0036338C"/>
    <w:rsid w:val="00396459"/>
    <w:rsid w:val="003A440B"/>
    <w:rsid w:val="003E2939"/>
    <w:rsid w:val="003E32FB"/>
    <w:rsid w:val="00426E3E"/>
    <w:rsid w:val="00463A62"/>
    <w:rsid w:val="00474C94"/>
    <w:rsid w:val="004B0C07"/>
    <w:rsid w:val="004E290E"/>
    <w:rsid w:val="0050640C"/>
    <w:rsid w:val="005373B4"/>
    <w:rsid w:val="005601B8"/>
    <w:rsid w:val="005A0983"/>
    <w:rsid w:val="006B6937"/>
    <w:rsid w:val="006C4472"/>
    <w:rsid w:val="006D0B5E"/>
    <w:rsid w:val="0073135E"/>
    <w:rsid w:val="0075432C"/>
    <w:rsid w:val="00772B2C"/>
    <w:rsid w:val="00780F4E"/>
    <w:rsid w:val="007D4627"/>
    <w:rsid w:val="00816B5C"/>
    <w:rsid w:val="00824A60"/>
    <w:rsid w:val="0084110A"/>
    <w:rsid w:val="00896734"/>
    <w:rsid w:val="008F08C2"/>
    <w:rsid w:val="008F79A9"/>
    <w:rsid w:val="00925B91"/>
    <w:rsid w:val="00931FC3"/>
    <w:rsid w:val="009777AA"/>
    <w:rsid w:val="00981122"/>
    <w:rsid w:val="009F4881"/>
    <w:rsid w:val="00A410B3"/>
    <w:rsid w:val="00A733FB"/>
    <w:rsid w:val="00AF0CD5"/>
    <w:rsid w:val="00AF3A76"/>
    <w:rsid w:val="00B04D53"/>
    <w:rsid w:val="00BA3141"/>
    <w:rsid w:val="00BE6263"/>
    <w:rsid w:val="00C33CD8"/>
    <w:rsid w:val="00CC6D6D"/>
    <w:rsid w:val="00CD28FF"/>
    <w:rsid w:val="00CE036E"/>
    <w:rsid w:val="00CE213E"/>
    <w:rsid w:val="00D54339"/>
    <w:rsid w:val="00D60974"/>
    <w:rsid w:val="00D70A9A"/>
    <w:rsid w:val="00E124BB"/>
    <w:rsid w:val="00E2319B"/>
    <w:rsid w:val="00E2640B"/>
    <w:rsid w:val="00E53E8A"/>
    <w:rsid w:val="00F53621"/>
    <w:rsid w:val="00F8175A"/>
    <w:rsid w:val="00FC70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182F0"/>
  <w14:defaultImageDpi w14:val="32767"/>
  <w15:docId w15:val="{DE47D93F-33A1-49EC-B092-02368A95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TW"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pPr>
      <w:spacing w:line="240" w:lineRule="auto"/>
      <w:contextualSpacing/>
    </w:pPr>
    <w:tblPr>
      <w:tblStyleRowBandSize w:val="1"/>
      <w:tblStyleColBandSize w:val="1"/>
      <w:tblCellMar>
        <w:left w:w="115" w:type="dxa"/>
        <w:right w:w="115" w:type="dxa"/>
      </w:tblCellMar>
    </w:tblPr>
  </w:style>
  <w:style w:type="table" w:styleId="a6">
    <w:name w:val="Table Grid"/>
    <w:basedOn w:val="a1"/>
    <w:uiPriority w:val="39"/>
    <w:rsid w:val="00AF3A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2107BC"/>
    <w:pPr>
      <w:spacing w:line="240" w:lineRule="auto"/>
    </w:pPr>
    <w:rPr>
      <w:rFonts w:ascii="Segoe UI" w:hAnsi="Segoe UI" w:cs="Segoe UI"/>
      <w:sz w:val="18"/>
      <w:szCs w:val="18"/>
    </w:rPr>
  </w:style>
  <w:style w:type="character" w:customStyle="1" w:styleId="a8">
    <w:name w:val="註解方塊文字 字元"/>
    <w:basedOn w:val="a0"/>
    <w:link w:val="a7"/>
    <w:uiPriority w:val="99"/>
    <w:semiHidden/>
    <w:rsid w:val="002107BC"/>
    <w:rPr>
      <w:rFonts w:ascii="Segoe UI" w:hAnsi="Segoe UI" w:cs="Segoe UI"/>
      <w:sz w:val="18"/>
      <w:szCs w:val="18"/>
    </w:rPr>
  </w:style>
  <w:style w:type="paragraph" w:styleId="a9">
    <w:name w:val="List Paragraph"/>
    <w:basedOn w:val="a"/>
    <w:uiPriority w:val="34"/>
    <w:qFormat/>
    <w:rsid w:val="0011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7623">
      <w:bodyDiv w:val="1"/>
      <w:marLeft w:val="0"/>
      <w:marRight w:val="0"/>
      <w:marTop w:val="0"/>
      <w:marBottom w:val="0"/>
      <w:divBdr>
        <w:top w:val="none" w:sz="0" w:space="0" w:color="auto"/>
        <w:left w:val="none" w:sz="0" w:space="0" w:color="auto"/>
        <w:bottom w:val="none" w:sz="0" w:space="0" w:color="auto"/>
        <w:right w:val="none" w:sz="0" w:space="0" w:color="auto"/>
      </w:divBdr>
    </w:div>
    <w:div w:id="401565223">
      <w:bodyDiv w:val="1"/>
      <w:marLeft w:val="0"/>
      <w:marRight w:val="0"/>
      <w:marTop w:val="0"/>
      <w:marBottom w:val="0"/>
      <w:divBdr>
        <w:top w:val="none" w:sz="0" w:space="0" w:color="auto"/>
        <w:left w:val="none" w:sz="0" w:space="0" w:color="auto"/>
        <w:bottom w:val="none" w:sz="0" w:space="0" w:color="auto"/>
        <w:right w:val="none" w:sz="0" w:space="0" w:color="auto"/>
      </w:divBdr>
    </w:div>
    <w:div w:id="432478013">
      <w:bodyDiv w:val="1"/>
      <w:marLeft w:val="0"/>
      <w:marRight w:val="0"/>
      <w:marTop w:val="0"/>
      <w:marBottom w:val="0"/>
      <w:divBdr>
        <w:top w:val="none" w:sz="0" w:space="0" w:color="auto"/>
        <w:left w:val="none" w:sz="0" w:space="0" w:color="auto"/>
        <w:bottom w:val="none" w:sz="0" w:space="0" w:color="auto"/>
        <w:right w:val="none" w:sz="0" w:space="0" w:color="auto"/>
      </w:divBdr>
    </w:div>
    <w:div w:id="1098480377">
      <w:bodyDiv w:val="1"/>
      <w:marLeft w:val="0"/>
      <w:marRight w:val="0"/>
      <w:marTop w:val="0"/>
      <w:marBottom w:val="0"/>
      <w:divBdr>
        <w:top w:val="none" w:sz="0" w:space="0" w:color="auto"/>
        <w:left w:val="none" w:sz="0" w:space="0" w:color="auto"/>
        <w:bottom w:val="none" w:sz="0" w:space="0" w:color="auto"/>
        <w:right w:val="none" w:sz="0" w:space="0" w:color="auto"/>
      </w:divBdr>
    </w:div>
    <w:div w:id="1243023799">
      <w:bodyDiv w:val="1"/>
      <w:marLeft w:val="0"/>
      <w:marRight w:val="0"/>
      <w:marTop w:val="0"/>
      <w:marBottom w:val="0"/>
      <w:divBdr>
        <w:top w:val="none" w:sz="0" w:space="0" w:color="auto"/>
        <w:left w:val="none" w:sz="0" w:space="0" w:color="auto"/>
        <w:bottom w:val="none" w:sz="0" w:space="0" w:color="auto"/>
        <w:right w:val="none" w:sz="0" w:space="0" w:color="auto"/>
      </w:divBdr>
    </w:div>
    <w:div w:id="1613049184">
      <w:bodyDiv w:val="1"/>
      <w:marLeft w:val="0"/>
      <w:marRight w:val="0"/>
      <w:marTop w:val="0"/>
      <w:marBottom w:val="0"/>
      <w:divBdr>
        <w:top w:val="none" w:sz="0" w:space="0" w:color="auto"/>
        <w:left w:val="none" w:sz="0" w:space="0" w:color="auto"/>
        <w:bottom w:val="none" w:sz="0" w:space="0" w:color="auto"/>
        <w:right w:val="none" w:sz="0" w:space="0" w:color="auto"/>
      </w:divBdr>
    </w:div>
    <w:div w:id="2048144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Ching-Shun Chan</cp:lastModifiedBy>
  <cp:revision>94</cp:revision>
  <cp:lastPrinted>2019-07-09T11:30:00Z</cp:lastPrinted>
  <dcterms:created xsi:type="dcterms:W3CDTF">2019-07-06T17:40:00Z</dcterms:created>
  <dcterms:modified xsi:type="dcterms:W3CDTF">2019-07-09T11:30:00Z</dcterms:modified>
</cp:coreProperties>
</file>