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ACE748" w14:textId="77777777" w:rsidR="00C9170A" w:rsidRPr="00EB3EEB" w:rsidRDefault="00EB3EEB" w:rsidP="00EB3EEB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rFonts w:eastAsia="Arial"/>
          <w:sz w:val="32"/>
          <w:szCs w:val="32"/>
          <w:u w:val="single"/>
        </w:rPr>
        <w:t>Project: Predictive Analytics Capstone</w:t>
      </w:r>
      <w:r>
        <w:fldChar w:fldCharType="begin"/>
      </w:r>
      <w:r>
        <w:instrText xml:space="preserve"> HYPERLINK "https://coco.udacity.com/nanodegrees/nd008/locale/en-us/versions/1.0.0/parts/7271/project" </w:instrText>
      </w:r>
      <w:r>
        <w:fldChar w:fldCharType="separate"/>
      </w:r>
    </w:p>
    <w:p w14:paraId="46317FDC" w14:textId="77777777" w:rsidR="00C9170A" w:rsidRDefault="00EB3EEB">
      <w:pPr>
        <w:pStyle w:val="Heading2"/>
        <w:keepNext w:val="0"/>
        <w:keepLines w:val="0"/>
        <w:spacing w:before="240" w:after="40"/>
      </w:pPr>
      <w:r>
        <w:fldChar w:fldCharType="end"/>
      </w:r>
      <w:r>
        <w:t>Task 1: Determine Store Formats for Existing Stores</w:t>
      </w:r>
    </w:p>
    <w:p w14:paraId="7402F86E" w14:textId="77777777" w:rsidR="00C9170A" w:rsidRDefault="00EB3EEB" w:rsidP="00974EC5">
      <w:pPr>
        <w:numPr>
          <w:ilvl w:val="0"/>
          <w:numId w:val="1"/>
        </w:numPr>
        <w:spacing w:afterLines="100" w:after="240" w:line="240" w:lineRule="auto"/>
        <w:ind w:left="714" w:hanging="357"/>
      </w:pPr>
      <w:r>
        <w:rPr>
          <w:rFonts w:eastAsia="Arial"/>
        </w:rPr>
        <w:t>What is the optimal number of store formats? How did you arrive at that number?</w:t>
      </w:r>
    </w:p>
    <w:p w14:paraId="3101882D" w14:textId="77777777" w:rsidR="00C9170A" w:rsidRDefault="00974EC5" w:rsidP="006E604E">
      <w:pPr>
        <w:spacing w:afterLines="100" w:after="240" w:line="240" w:lineRule="auto"/>
        <w:ind w:left="720"/>
        <w:jc w:val="center"/>
      </w:pPr>
      <w:r w:rsidRPr="00974EC5">
        <w:rPr>
          <w:noProof/>
        </w:rPr>
        <w:drawing>
          <wp:inline distT="0" distB="0" distL="0" distR="0" wp14:anchorId="07EA82D4" wp14:editId="4AA9A395">
            <wp:extent cx="3697072" cy="2830029"/>
            <wp:effectExtent l="19050" t="19050" r="17780" b="279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080" cy="287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F5B3" w14:textId="77777777" w:rsidR="00974EC5" w:rsidRDefault="006E604E" w:rsidP="006E604E">
      <w:pPr>
        <w:spacing w:afterLines="100" w:after="240" w:line="240" w:lineRule="auto"/>
        <w:ind w:left="720"/>
        <w:jc w:val="center"/>
      </w:pPr>
      <w:r w:rsidRPr="006E604E">
        <w:rPr>
          <w:noProof/>
        </w:rPr>
        <w:drawing>
          <wp:inline distT="0" distB="0" distL="0" distR="0" wp14:anchorId="68F5572E" wp14:editId="271E6790">
            <wp:extent cx="3488085" cy="3543452"/>
            <wp:effectExtent l="19050" t="19050" r="1714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536" cy="357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9536" w14:textId="4CB4143B" w:rsidR="001574DE" w:rsidRPr="001574DE" w:rsidRDefault="001574DE" w:rsidP="001574DE">
      <w:pPr>
        <w:spacing w:afterLines="100" w:after="240" w:line="240" w:lineRule="auto"/>
        <w:ind w:left="720"/>
        <w:rPr>
          <w:i/>
          <w:iCs/>
          <w:color w:val="002060"/>
        </w:rPr>
      </w:pPr>
      <w:r>
        <w:rPr>
          <w:i/>
          <w:iCs/>
          <w:color w:val="002060"/>
        </w:rPr>
        <w:t xml:space="preserve">Analyzing with K-Centroid Diagnostics tool, </w:t>
      </w:r>
      <w:r w:rsidR="00E4590F">
        <w:rPr>
          <w:i/>
          <w:iCs/>
          <w:color w:val="002060"/>
        </w:rPr>
        <w:t xml:space="preserve">seems </w:t>
      </w:r>
      <w:proofErr w:type="spellStart"/>
      <w:r w:rsidR="00E4590F">
        <w:rPr>
          <w:i/>
          <w:iCs/>
          <w:color w:val="002060"/>
        </w:rPr>
        <w:t>n_clusters</w:t>
      </w:r>
      <w:proofErr w:type="spellEnd"/>
      <w:r w:rsidR="00E4590F">
        <w:rPr>
          <w:i/>
          <w:iCs/>
          <w:color w:val="002060"/>
        </w:rPr>
        <w:t>=3 is the best since it has enough mean adjusted rand and tight range.</w:t>
      </w:r>
    </w:p>
    <w:p w14:paraId="7C2839DD" w14:textId="77777777" w:rsidR="00C9170A" w:rsidRDefault="00EB3EEB" w:rsidP="009C404C">
      <w:pPr>
        <w:numPr>
          <w:ilvl w:val="0"/>
          <w:numId w:val="1"/>
        </w:numPr>
        <w:spacing w:afterLines="100" w:after="240" w:line="240" w:lineRule="auto"/>
        <w:ind w:left="714" w:hanging="357"/>
      </w:pPr>
      <w:r>
        <w:rPr>
          <w:rFonts w:eastAsia="Arial"/>
        </w:rPr>
        <w:lastRenderedPageBreak/>
        <w:t>How many stores fall into each store format?</w:t>
      </w:r>
    </w:p>
    <w:tbl>
      <w:tblPr>
        <w:tblW w:w="3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6"/>
        <w:gridCol w:w="2828"/>
      </w:tblGrid>
      <w:tr w:rsidR="00A8733A" w:rsidRPr="00A8733A" w14:paraId="78E6144C" w14:textId="77777777" w:rsidTr="00A8733A">
        <w:trPr>
          <w:trHeight w:val="330"/>
          <w:jc w:val="center"/>
        </w:trPr>
        <w:tc>
          <w:tcPr>
            <w:tcW w:w="746" w:type="dxa"/>
            <w:shd w:val="clear" w:color="ED7D31" w:fill="ED7D31"/>
            <w:noWrap/>
            <w:vAlign w:val="center"/>
            <w:hideMark/>
          </w:tcPr>
          <w:p w14:paraId="2E40E03A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A8733A">
              <w:rPr>
                <w:rFonts w:eastAsia="PMingLiU"/>
                <w:b/>
                <w:bCs/>
                <w:color w:val="FFFFFF"/>
                <w:sz w:val="20"/>
                <w:szCs w:val="20"/>
              </w:rPr>
              <w:t>Cluster</w:t>
            </w:r>
          </w:p>
        </w:tc>
        <w:tc>
          <w:tcPr>
            <w:tcW w:w="2828" w:type="dxa"/>
            <w:shd w:val="clear" w:color="ED7D31" w:fill="ED7D31"/>
            <w:noWrap/>
            <w:vAlign w:val="center"/>
            <w:hideMark/>
          </w:tcPr>
          <w:p w14:paraId="09E6DE2D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8733A">
              <w:rPr>
                <w:rFonts w:eastAsia="PMingLiU"/>
                <w:b/>
                <w:bCs/>
                <w:color w:val="FFFFFF"/>
                <w:sz w:val="20"/>
                <w:szCs w:val="20"/>
              </w:rPr>
              <w:t>CountDistinctNonNull_Store</w:t>
            </w:r>
            <w:proofErr w:type="spellEnd"/>
          </w:p>
        </w:tc>
      </w:tr>
      <w:tr w:rsidR="00A8733A" w:rsidRPr="00A8733A" w14:paraId="6131B10F" w14:textId="77777777" w:rsidTr="00A8733A">
        <w:trPr>
          <w:trHeight w:val="330"/>
          <w:jc w:val="center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2DA5B167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1</w:t>
            </w:r>
          </w:p>
        </w:tc>
        <w:tc>
          <w:tcPr>
            <w:tcW w:w="2828" w:type="dxa"/>
            <w:shd w:val="clear" w:color="auto" w:fill="auto"/>
            <w:noWrap/>
            <w:vAlign w:val="center"/>
            <w:hideMark/>
          </w:tcPr>
          <w:p w14:paraId="489397C1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23</w:t>
            </w:r>
          </w:p>
        </w:tc>
      </w:tr>
      <w:tr w:rsidR="00A8733A" w:rsidRPr="00A8733A" w14:paraId="60175BF5" w14:textId="77777777" w:rsidTr="00A8733A">
        <w:trPr>
          <w:trHeight w:val="330"/>
          <w:jc w:val="center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4A628682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2</w:t>
            </w:r>
          </w:p>
        </w:tc>
        <w:tc>
          <w:tcPr>
            <w:tcW w:w="2828" w:type="dxa"/>
            <w:shd w:val="clear" w:color="auto" w:fill="auto"/>
            <w:noWrap/>
            <w:vAlign w:val="center"/>
            <w:hideMark/>
          </w:tcPr>
          <w:p w14:paraId="40CEFEF2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29</w:t>
            </w:r>
          </w:p>
        </w:tc>
      </w:tr>
      <w:tr w:rsidR="00A8733A" w:rsidRPr="00A8733A" w14:paraId="69A3615B" w14:textId="77777777" w:rsidTr="00A8733A">
        <w:trPr>
          <w:trHeight w:val="330"/>
          <w:jc w:val="center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7B2FC23B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3</w:t>
            </w:r>
          </w:p>
        </w:tc>
        <w:tc>
          <w:tcPr>
            <w:tcW w:w="2828" w:type="dxa"/>
            <w:shd w:val="clear" w:color="auto" w:fill="auto"/>
            <w:noWrap/>
            <w:vAlign w:val="center"/>
            <w:hideMark/>
          </w:tcPr>
          <w:p w14:paraId="723B57C7" w14:textId="77777777" w:rsidR="00A8733A" w:rsidRPr="00A8733A" w:rsidRDefault="00A8733A" w:rsidP="00A873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A8733A">
              <w:rPr>
                <w:rFonts w:eastAsia="PMingLiU"/>
                <w:sz w:val="20"/>
                <w:szCs w:val="20"/>
              </w:rPr>
              <w:t>33</w:t>
            </w:r>
          </w:p>
        </w:tc>
      </w:tr>
    </w:tbl>
    <w:p w14:paraId="3BDAC7D6" w14:textId="77777777" w:rsidR="00C9170A" w:rsidRPr="00592261" w:rsidRDefault="00592261" w:rsidP="00071806">
      <w:pPr>
        <w:spacing w:beforeLines="100" w:before="240" w:afterLines="100" w:after="240" w:line="240" w:lineRule="auto"/>
        <w:ind w:left="720"/>
        <w:rPr>
          <w:i/>
          <w:iCs/>
          <w:color w:val="002060"/>
        </w:rPr>
      </w:pPr>
      <w:r w:rsidRPr="00592261">
        <w:rPr>
          <w:rFonts w:hint="eastAsia"/>
          <w:i/>
          <w:iCs/>
          <w:color w:val="002060"/>
        </w:rPr>
        <w:t>U</w:t>
      </w:r>
      <w:r w:rsidRPr="00592261">
        <w:rPr>
          <w:i/>
          <w:iCs/>
          <w:color w:val="002060"/>
        </w:rPr>
        <w:t xml:space="preserve">sing </w:t>
      </w:r>
      <w:r>
        <w:rPr>
          <w:i/>
          <w:iCs/>
          <w:color w:val="002060"/>
        </w:rPr>
        <w:t>K-centroids cluster analysis</w:t>
      </w:r>
      <w:r w:rsidR="00347BA1">
        <w:rPr>
          <w:i/>
          <w:iCs/>
          <w:color w:val="002060"/>
        </w:rPr>
        <w:t>, the final result is shown above.</w:t>
      </w:r>
    </w:p>
    <w:p w14:paraId="5331262C" w14:textId="77777777" w:rsidR="00C9170A" w:rsidRDefault="00EB3EEB">
      <w:pPr>
        <w:numPr>
          <w:ilvl w:val="0"/>
          <w:numId w:val="1"/>
        </w:numPr>
        <w:spacing w:line="240" w:lineRule="auto"/>
      </w:pPr>
      <w:r>
        <w:rPr>
          <w:rFonts w:eastAsia="Arial"/>
        </w:rPr>
        <w:t>Based on the results of the clustering model, what is one way that the clusters differ from one another?</w:t>
      </w:r>
    </w:p>
    <w:p w14:paraId="1F924020" w14:textId="144733B3" w:rsidR="00C9170A" w:rsidRDefault="00E73FAD" w:rsidP="00E73FAD">
      <w:pPr>
        <w:ind w:left="720"/>
      </w:pPr>
      <w:r>
        <w:rPr>
          <w:noProof/>
        </w:rPr>
        <w:drawing>
          <wp:inline distT="0" distB="0" distL="0" distR="0" wp14:anchorId="2CF9B54D" wp14:editId="3DA2296C">
            <wp:extent cx="1670136" cy="4095961"/>
            <wp:effectExtent l="19050" t="19050" r="254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4095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4B572" wp14:editId="258F1A39">
            <wp:extent cx="1809843" cy="4095961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4095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2542" w14:textId="2A602220" w:rsidR="00DA62AF" w:rsidRPr="00DA62AF" w:rsidRDefault="00DA62AF" w:rsidP="00DA62AF">
      <w:pPr>
        <w:spacing w:afterLines="100" w:after="240"/>
        <w:ind w:left="720"/>
        <w:rPr>
          <w:i/>
          <w:iCs/>
          <w:color w:val="002060"/>
        </w:rPr>
      </w:pPr>
      <w:r>
        <w:rPr>
          <w:i/>
          <w:iCs/>
          <w:color w:val="002060"/>
        </w:rPr>
        <w:t>Cluster 3 has much tighter sales range, but with higher total sales.</w:t>
      </w:r>
    </w:p>
    <w:p w14:paraId="659A4A59" w14:textId="0E226E0B" w:rsidR="0023513F" w:rsidRDefault="00EB3EEB" w:rsidP="0023513F">
      <w:pPr>
        <w:numPr>
          <w:ilvl w:val="0"/>
          <w:numId w:val="1"/>
        </w:numPr>
        <w:spacing w:afterLines="100" w:after="240" w:line="240" w:lineRule="auto"/>
        <w:ind w:left="714" w:hanging="357"/>
      </w:pPr>
      <w:r>
        <w:rPr>
          <w:rFonts w:eastAsia="Arial"/>
        </w:rPr>
        <w:t>Please provide a Tableau visualization (saved as a Tableau Public file) that shows the location of the stores, uses color to show cluster, and size to show total sales.</w:t>
      </w:r>
    </w:p>
    <w:p w14:paraId="0F4E181C" w14:textId="6E37B3D9" w:rsidR="00C9170A" w:rsidRDefault="0023513F" w:rsidP="005E2100">
      <w:pPr>
        <w:spacing w:line="240" w:lineRule="auto"/>
        <w:ind w:left="720"/>
        <w:jc w:val="center"/>
      </w:pPr>
      <w:r w:rsidRPr="0023513F">
        <w:rPr>
          <w:noProof/>
        </w:rPr>
        <w:lastRenderedPageBreak/>
        <w:drawing>
          <wp:inline distT="0" distB="0" distL="0" distR="0" wp14:anchorId="228D9AD6" wp14:editId="12726003">
            <wp:extent cx="59436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388" w14:textId="77777777" w:rsidR="00C9170A" w:rsidRDefault="00EB3EEB">
      <w:pPr>
        <w:pStyle w:val="Heading2"/>
        <w:keepNext w:val="0"/>
        <w:keepLines w:val="0"/>
        <w:spacing w:before="240" w:after="40"/>
      </w:pPr>
      <w:r>
        <w:t xml:space="preserve">Task 2: Formats for New Stores </w:t>
      </w:r>
    </w:p>
    <w:p w14:paraId="04CBAC71" w14:textId="77777777" w:rsidR="00C9170A" w:rsidRPr="00E841BE" w:rsidRDefault="00EB3EEB" w:rsidP="00E841BE">
      <w:pPr>
        <w:numPr>
          <w:ilvl w:val="0"/>
          <w:numId w:val="2"/>
        </w:numPr>
        <w:spacing w:afterLines="100" w:after="240"/>
        <w:ind w:left="714" w:hanging="357"/>
      </w:pPr>
      <w:bookmarkStart w:id="1" w:name="_1fob9te" w:colFirst="0" w:colLast="0"/>
      <w:bookmarkEnd w:id="1"/>
      <w:r>
        <w:rPr>
          <w:rFonts w:eastAsia="Arial"/>
        </w:rPr>
        <w:t>What methodology did you use to predict the best store format for the new stores? Why did you choose that methodology? (Remember to Use a 20% validation sample with Random Seed = 3 to test differences in models.</w:t>
      </w:r>
    </w:p>
    <w:p w14:paraId="14A30AF9" w14:textId="77777777" w:rsidR="006B6EB8" w:rsidRDefault="00510EEE" w:rsidP="006B6EB8">
      <w:pPr>
        <w:ind w:left="720"/>
        <w:rPr>
          <w:i/>
          <w:iCs/>
          <w:color w:val="002060"/>
        </w:rPr>
      </w:pPr>
      <w:r>
        <w:rPr>
          <w:i/>
          <w:iCs/>
          <w:color w:val="002060"/>
        </w:rPr>
        <w:t>We predict cluster using Decision Tree, Forest Model and Boosted Model.</w:t>
      </w:r>
      <w:r w:rsidR="000B409C">
        <w:rPr>
          <w:i/>
          <w:iCs/>
          <w:color w:val="002060"/>
        </w:rPr>
        <w:t xml:space="preserve"> The model comparison </w:t>
      </w:r>
      <w:r w:rsidR="002C327C">
        <w:rPr>
          <w:i/>
          <w:iCs/>
          <w:color w:val="002060"/>
        </w:rPr>
        <w:t xml:space="preserve">report </w:t>
      </w:r>
      <w:r w:rsidR="000B409C">
        <w:rPr>
          <w:i/>
          <w:iCs/>
          <w:color w:val="002060"/>
        </w:rPr>
        <w:t>is shown below.</w:t>
      </w:r>
    </w:p>
    <w:p w14:paraId="4DE8B478" w14:textId="77777777" w:rsidR="000B409C" w:rsidRDefault="000B409C" w:rsidP="002C327C">
      <w:pPr>
        <w:spacing w:afterLines="100" w:after="240"/>
        <w:ind w:left="720"/>
        <w:jc w:val="center"/>
        <w:rPr>
          <w:i/>
          <w:iCs/>
          <w:color w:val="002060"/>
        </w:rPr>
      </w:pPr>
      <w:r w:rsidRPr="000B409C">
        <w:rPr>
          <w:noProof/>
        </w:rPr>
        <w:lastRenderedPageBreak/>
        <w:drawing>
          <wp:inline distT="0" distB="0" distL="0" distR="0" wp14:anchorId="5477CFB6" wp14:editId="13684F23">
            <wp:extent cx="4864608" cy="457824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95" cy="45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3A67" w14:textId="77777777" w:rsidR="002C327C" w:rsidRPr="002C327C" w:rsidRDefault="002F6EF5" w:rsidP="00E20B25">
      <w:pPr>
        <w:spacing w:afterLines="100" w:after="240"/>
        <w:ind w:left="720"/>
        <w:rPr>
          <w:i/>
          <w:iCs/>
          <w:color w:val="002060"/>
        </w:rPr>
      </w:pPr>
      <w:r>
        <w:rPr>
          <w:i/>
          <w:iCs/>
          <w:color w:val="002060"/>
        </w:rPr>
        <w:t>Judge from the report, the Boosted model has the high accuracy and high F1-score. Thus, we will use the Boosted model for store cluster prediction.</w:t>
      </w:r>
    </w:p>
    <w:p w14:paraId="4DAD8750" w14:textId="77777777" w:rsidR="00C9170A" w:rsidRDefault="00EB3EEB" w:rsidP="004008E4">
      <w:pPr>
        <w:numPr>
          <w:ilvl w:val="0"/>
          <w:numId w:val="2"/>
        </w:numPr>
        <w:spacing w:afterLines="100" w:after="240"/>
        <w:ind w:left="714" w:hanging="357"/>
      </w:pPr>
      <w:r>
        <w:rPr>
          <w:rFonts w:eastAsia="Arial"/>
        </w:rPr>
        <w:t>What format do each of the 10 new stores fall into? Please fill in the table below.</w:t>
      </w: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C9170A" w14:paraId="1AD03502" w14:textId="77777777">
        <w:tc>
          <w:tcPr>
            <w:tcW w:w="1795" w:type="dxa"/>
          </w:tcPr>
          <w:p w14:paraId="152CF8AF" w14:textId="77777777" w:rsidR="00C9170A" w:rsidRPr="00DB624C" w:rsidRDefault="00EB3EEB">
            <w:pPr>
              <w:spacing w:line="276" w:lineRule="auto"/>
              <w:rPr>
                <w:b/>
                <w:bCs/>
                <w:i/>
                <w:iCs/>
                <w:color w:val="002060"/>
              </w:rPr>
            </w:pPr>
            <w:r w:rsidRPr="00DB624C">
              <w:rPr>
                <w:rFonts w:eastAsia="Arial"/>
                <w:b/>
                <w:bCs/>
                <w:i/>
                <w:iCs/>
                <w:color w:val="002060"/>
              </w:rPr>
              <w:t>Store Number</w:t>
            </w:r>
          </w:p>
        </w:tc>
        <w:tc>
          <w:tcPr>
            <w:tcW w:w="1535" w:type="dxa"/>
          </w:tcPr>
          <w:p w14:paraId="794D0546" w14:textId="77777777" w:rsidR="00C9170A" w:rsidRPr="00DB624C" w:rsidRDefault="00EB3EEB">
            <w:pPr>
              <w:spacing w:line="276" w:lineRule="auto"/>
              <w:rPr>
                <w:b/>
                <w:bCs/>
                <w:i/>
                <w:iCs/>
                <w:color w:val="002060"/>
              </w:rPr>
            </w:pPr>
            <w:r w:rsidRPr="00DB624C">
              <w:rPr>
                <w:rFonts w:eastAsia="Arial"/>
                <w:b/>
                <w:bCs/>
                <w:i/>
                <w:iCs/>
                <w:color w:val="002060"/>
              </w:rPr>
              <w:t>Segment</w:t>
            </w:r>
          </w:p>
        </w:tc>
      </w:tr>
      <w:tr w:rsidR="00C9170A" w14:paraId="07869950" w14:textId="77777777">
        <w:tc>
          <w:tcPr>
            <w:tcW w:w="1795" w:type="dxa"/>
          </w:tcPr>
          <w:p w14:paraId="408E5AD4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S0086</w:t>
            </w:r>
          </w:p>
        </w:tc>
        <w:tc>
          <w:tcPr>
            <w:tcW w:w="1535" w:type="dxa"/>
          </w:tcPr>
          <w:p w14:paraId="303F4D56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1</w:t>
            </w:r>
          </w:p>
        </w:tc>
      </w:tr>
      <w:tr w:rsidR="00C9170A" w14:paraId="56E5E426" w14:textId="77777777">
        <w:tc>
          <w:tcPr>
            <w:tcW w:w="1795" w:type="dxa"/>
          </w:tcPr>
          <w:p w14:paraId="51B446F6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S0087</w:t>
            </w:r>
          </w:p>
        </w:tc>
        <w:tc>
          <w:tcPr>
            <w:tcW w:w="1535" w:type="dxa"/>
          </w:tcPr>
          <w:p w14:paraId="0C132E5A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i/>
                <w:iCs/>
                <w:color w:val="002060"/>
              </w:rPr>
              <w:t>2</w:t>
            </w:r>
          </w:p>
        </w:tc>
      </w:tr>
      <w:tr w:rsidR="00C9170A" w14:paraId="11B4A4FD" w14:textId="77777777">
        <w:tc>
          <w:tcPr>
            <w:tcW w:w="1795" w:type="dxa"/>
          </w:tcPr>
          <w:p w14:paraId="4C6E5B26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S0088</w:t>
            </w:r>
          </w:p>
        </w:tc>
        <w:tc>
          <w:tcPr>
            <w:tcW w:w="1535" w:type="dxa"/>
          </w:tcPr>
          <w:p w14:paraId="40AB9660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3</w:t>
            </w:r>
          </w:p>
        </w:tc>
      </w:tr>
      <w:tr w:rsidR="00C9170A" w14:paraId="1CF5FE60" w14:textId="77777777">
        <w:tc>
          <w:tcPr>
            <w:tcW w:w="1795" w:type="dxa"/>
          </w:tcPr>
          <w:p w14:paraId="5A2A35A8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S0089</w:t>
            </w:r>
          </w:p>
        </w:tc>
        <w:tc>
          <w:tcPr>
            <w:tcW w:w="1535" w:type="dxa"/>
          </w:tcPr>
          <w:p w14:paraId="20594D44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2</w:t>
            </w:r>
          </w:p>
        </w:tc>
      </w:tr>
      <w:tr w:rsidR="00C9170A" w14:paraId="25BF4753" w14:textId="77777777">
        <w:tc>
          <w:tcPr>
            <w:tcW w:w="1795" w:type="dxa"/>
          </w:tcPr>
          <w:p w14:paraId="242C6618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S0090</w:t>
            </w:r>
          </w:p>
        </w:tc>
        <w:tc>
          <w:tcPr>
            <w:tcW w:w="1535" w:type="dxa"/>
          </w:tcPr>
          <w:p w14:paraId="5655698E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2</w:t>
            </w:r>
          </w:p>
        </w:tc>
      </w:tr>
      <w:tr w:rsidR="00C9170A" w14:paraId="51598629" w14:textId="77777777">
        <w:tc>
          <w:tcPr>
            <w:tcW w:w="1795" w:type="dxa"/>
          </w:tcPr>
          <w:p w14:paraId="362013B8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S0091</w:t>
            </w:r>
          </w:p>
        </w:tc>
        <w:tc>
          <w:tcPr>
            <w:tcW w:w="1535" w:type="dxa"/>
          </w:tcPr>
          <w:p w14:paraId="07A14826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1</w:t>
            </w:r>
          </w:p>
        </w:tc>
      </w:tr>
      <w:tr w:rsidR="00C9170A" w14:paraId="7C537AE4" w14:textId="77777777">
        <w:tc>
          <w:tcPr>
            <w:tcW w:w="1795" w:type="dxa"/>
          </w:tcPr>
          <w:p w14:paraId="727CC11C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S0092</w:t>
            </w:r>
          </w:p>
        </w:tc>
        <w:tc>
          <w:tcPr>
            <w:tcW w:w="1535" w:type="dxa"/>
          </w:tcPr>
          <w:p w14:paraId="370956CB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2</w:t>
            </w:r>
          </w:p>
        </w:tc>
      </w:tr>
      <w:tr w:rsidR="00C9170A" w14:paraId="00AF65C1" w14:textId="77777777">
        <w:tc>
          <w:tcPr>
            <w:tcW w:w="1795" w:type="dxa"/>
          </w:tcPr>
          <w:p w14:paraId="299E722B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S0093</w:t>
            </w:r>
          </w:p>
        </w:tc>
        <w:tc>
          <w:tcPr>
            <w:tcW w:w="1535" w:type="dxa"/>
          </w:tcPr>
          <w:p w14:paraId="3E8EA07B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1</w:t>
            </w:r>
          </w:p>
        </w:tc>
      </w:tr>
      <w:tr w:rsidR="00C9170A" w14:paraId="57AD6A2E" w14:textId="77777777">
        <w:tc>
          <w:tcPr>
            <w:tcW w:w="1795" w:type="dxa"/>
          </w:tcPr>
          <w:p w14:paraId="63DF5322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S0094</w:t>
            </w:r>
          </w:p>
        </w:tc>
        <w:tc>
          <w:tcPr>
            <w:tcW w:w="1535" w:type="dxa"/>
          </w:tcPr>
          <w:p w14:paraId="09853E23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2</w:t>
            </w:r>
          </w:p>
        </w:tc>
      </w:tr>
      <w:tr w:rsidR="00C9170A" w14:paraId="061B46A5" w14:textId="77777777">
        <w:tc>
          <w:tcPr>
            <w:tcW w:w="1795" w:type="dxa"/>
          </w:tcPr>
          <w:p w14:paraId="32CF39A8" w14:textId="77777777" w:rsidR="00C9170A" w:rsidRPr="00DB624C" w:rsidRDefault="00EB3EEB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eastAsia="Arial"/>
                <w:i/>
                <w:iCs/>
                <w:color w:val="002060"/>
              </w:rPr>
              <w:t>S0095</w:t>
            </w:r>
          </w:p>
        </w:tc>
        <w:tc>
          <w:tcPr>
            <w:tcW w:w="1535" w:type="dxa"/>
          </w:tcPr>
          <w:p w14:paraId="52E3BECB" w14:textId="77777777" w:rsidR="00C9170A" w:rsidRPr="00DB624C" w:rsidRDefault="00D04990">
            <w:pPr>
              <w:spacing w:line="276" w:lineRule="auto"/>
              <w:rPr>
                <w:i/>
                <w:iCs/>
                <w:color w:val="002060"/>
              </w:rPr>
            </w:pPr>
            <w:r w:rsidRPr="00DB624C">
              <w:rPr>
                <w:rFonts w:hint="eastAsia"/>
                <w:i/>
                <w:iCs/>
                <w:color w:val="002060"/>
              </w:rPr>
              <w:t>2</w:t>
            </w:r>
          </w:p>
        </w:tc>
      </w:tr>
    </w:tbl>
    <w:p w14:paraId="5F71D3B3" w14:textId="77777777" w:rsidR="00DB6811" w:rsidRDefault="00EB3EEB" w:rsidP="00DB6811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14:paraId="2CD356DD" w14:textId="6E718183" w:rsidR="00212889" w:rsidRPr="00212889" w:rsidRDefault="00EB3EEB" w:rsidP="00212889">
      <w:pPr>
        <w:pStyle w:val="ListParagraph"/>
        <w:numPr>
          <w:ilvl w:val="0"/>
          <w:numId w:val="4"/>
        </w:numPr>
        <w:spacing w:afterLines="100" w:after="240"/>
        <w:ind w:leftChars="0" w:left="714" w:hanging="357"/>
        <w:rPr>
          <w:color w:val="000000" w:themeColor="text1"/>
        </w:rPr>
      </w:pPr>
      <w:r w:rsidRPr="00DB6811">
        <w:rPr>
          <w:color w:val="000000" w:themeColor="text1"/>
        </w:rPr>
        <w:lastRenderedPageBreak/>
        <w:t>What type of ETS or ARIMA model did you use for each forecast? Use ETS(</w:t>
      </w:r>
      <w:proofErr w:type="spellStart"/>
      <w:proofErr w:type="gramStart"/>
      <w:r w:rsidRPr="00DB6811">
        <w:rPr>
          <w:color w:val="000000" w:themeColor="text1"/>
        </w:rPr>
        <w:t>a,m</w:t>
      </w:r>
      <w:proofErr w:type="gramEnd"/>
      <w:r w:rsidRPr="00DB6811">
        <w:rPr>
          <w:color w:val="000000" w:themeColor="text1"/>
        </w:rPr>
        <w:t>,n</w:t>
      </w:r>
      <w:proofErr w:type="spellEnd"/>
      <w:r w:rsidRPr="00DB6811">
        <w:rPr>
          <w:color w:val="000000" w:themeColor="text1"/>
        </w:rPr>
        <w:t>) or ARIMA(</w:t>
      </w:r>
      <w:proofErr w:type="spellStart"/>
      <w:r w:rsidRPr="00DB6811">
        <w:rPr>
          <w:color w:val="000000" w:themeColor="text1"/>
        </w:rPr>
        <w:t>ar</w:t>
      </w:r>
      <w:proofErr w:type="spellEnd"/>
      <w:r w:rsidRPr="00DB6811">
        <w:rPr>
          <w:color w:val="000000" w:themeColor="text1"/>
        </w:rPr>
        <w:t xml:space="preserve">, </w:t>
      </w:r>
      <w:proofErr w:type="spellStart"/>
      <w:r w:rsidRPr="00DB6811">
        <w:rPr>
          <w:color w:val="000000" w:themeColor="text1"/>
        </w:rPr>
        <w:t>i</w:t>
      </w:r>
      <w:proofErr w:type="spellEnd"/>
      <w:r w:rsidRPr="00DB6811">
        <w:rPr>
          <w:color w:val="000000" w:themeColor="text1"/>
        </w:rPr>
        <w:t>, ma) notation. How did you come to that decision?</w:t>
      </w:r>
    </w:p>
    <w:p w14:paraId="51FAAC51" w14:textId="7C420876" w:rsidR="00EE5929" w:rsidRPr="003B70CB" w:rsidRDefault="00856379" w:rsidP="00856379">
      <w:pPr>
        <w:spacing w:beforeLines="100" w:before="240" w:afterLines="100" w:after="240"/>
        <w:jc w:val="center"/>
        <w:rPr>
          <w:i/>
          <w:iCs/>
          <w:color w:val="002060"/>
        </w:rPr>
      </w:pPr>
      <w:r w:rsidRPr="00CD6365">
        <w:rPr>
          <w:noProof/>
        </w:rPr>
        <w:drawing>
          <wp:inline distT="0" distB="0" distL="0" distR="0" wp14:anchorId="0C4B99C5" wp14:editId="24BF6F53">
            <wp:extent cx="5590947" cy="4067175"/>
            <wp:effectExtent l="19050" t="19050" r="1016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543" cy="4076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17ED0" w14:textId="77777777" w:rsidR="00EE5929" w:rsidRDefault="00CD0ED1" w:rsidP="005C2132">
      <w:pPr>
        <w:pStyle w:val="ListParagraph"/>
        <w:spacing w:beforeLines="100" w:before="240" w:afterLines="100" w:after="240"/>
        <w:ind w:leftChars="0" w:left="720"/>
        <w:rPr>
          <w:i/>
          <w:iCs/>
          <w:color w:val="002060"/>
        </w:rPr>
      </w:pPr>
      <w:r>
        <w:rPr>
          <w:noProof/>
        </w:rPr>
        <w:lastRenderedPageBreak/>
        <w:drawing>
          <wp:inline distT="0" distB="0" distL="0" distR="0" wp14:anchorId="1D035998" wp14:editId="2490EA5F">
            <wp:extent cx="5252313" cy="3656929"/>
            <wp:effectExtent l="0" t="0" r="5715" b="127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57BA2F1E-DAC1-4FC1-81A5-323F479611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5AADCD" w14:textId="77777777" w:rsidR="00CD0ED1" w:rsidRDefault="00CD0ED1" w:rsidP="005C2132">
      <w:pPr>
        <w:pStyle w:val="ListParagraph"/>
        <w:spacing w:beforeLines="100" w:before="240" w:afterLines="100" w:after="240"/>
        <w:ind w:leftChars="0" w:left="720"/>
        <w:rPr>
          <w:i/>
          <w:iCs/>
          <w:color w:val="002060"/>
        </w:rPr>
      </w:pPr>
      <w:r>
        <w:rPr>
          <w:noProof/>
        </w:rPr>
        <w:drawing>
          <wp:inline distT="0" distB="0" distL="0" distR="0" wp14:anchorId="667C034B" wp14:editId="3E974AB5">
            <wp:extent cx="5259628" cy="3536017"/>
            <wp:effectExtent l="0" t="0" r="17780" b="762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DD66CC6E-8503-459A-98E3-255D9730F8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CA932C" w14:textId="754CA84A" w:rsidR="00F94615" w:rsidRDefault="002351D2" w:rsidP="005C2132">
      <w:pPr>
        <w:pStyle w:val="ListParagraph"/>
        <w:spacing w:beforeLines="100" w:before="240" w:afterLines="100" w:after="240"/>
        <w:ind w:leftChars="0" w:left="720"/>
        <w:rPr>
          <w:i/>
          <w:iCs/>
          <w:color w:val="002060"/>
        </w:rPr>
      </w:pPr>
      <w:r>
        <w:rPr>
          <w:i/>
          <w:iCs/>
          <w:color w:val="002060"/>
        </w:rPr>
        <w:t xml:space="preserve">First, we decomposed </w:t>
      </w:r>
      <w:r w:rsidR="00F27380">
        <w:rPr>
          <w:i/>
          <w:iCs/>
          <w:color w:val="002060"/>
        </w:rPr>
        <w:t>the time series plot</w:t>
      </w:r>
      <w:r w:rsidR="00600F38">
        <w:rPr>
          <w:i/>
          <w:iCs/>
          <w:color w:val="002060"/>
        </w:rPr>
        <w:t>.</w:t>
      </w:r>
      <w:r w:rsidR="00CF63CC">
        <w:rPr>
          <w:i/>
          <w:iCs/>
          <w:color w:val="002060"/>
        </w:rPr>
        <w:t xml:space="preserve"> We can find that there is no obvious trend,</w:t>
      </w:r>
      <w:r w:rsidR="00544E75">
        <w:rPr>
          <w:i/>
          <w:iCs/>
          <w:color w:val="002060"/>
        </w:rPr>
        <w:t xml:space="preserve"> </w:t>
      </w:r>
      <w:r w:rsidR="00CF63CC">
        <w:rPr>
          <w:i/>
          <w:iCs/>
          <w:color w:val="002060"/>
        </w:rPr>
        <w:t>a clear periodic seasonality</w:t>
      </w:r>
      <w:r w:rsidR="00544E75">
        <w:rPr>
          <w:i/>
          <w:iCs/>
          <w:color w:val="002060"/>
        </w:rPr>
        <w:t xml:space="preserve"> and increased error element</w:t>
      </w:r>
      <w:r w:rsidR="00CF63CC">
        <w:rPr>
          <w:rFonts w:hint="eastAsia"/>
          <w:i/>
          <w:iCs/>
          <w:color w:val="002060"/>
        </w:rPr>
        <w:t>.</w:t>
      </w:r>
      <w:r w:rsidR="00CF63CC">
        <w:rPr>
          <w:i/>
          <w:iCs/>
          <w:color w:val="002060"/>
        </w:rPr>
        <w:t xml:space="preserve"> </w:t>
      </w:r>
      <w:r w:rsidR="00286680">
        <w:rPr>
          <w:i/>
          <w:iCs/>
          <w:color w:val="002060"/>
        </w:rPr>
        <w:t>Thus, the ETS model should be ETS(</w:t>
      </w:r>
      <w:proofErr w:type="gramStart"/>
      <w:r w:rsidR="00286680">
        <w:rPr>
          <w:i/>
          <w:iCs/>
          <w:color w:val="002060"/>
        </w:rPr>
        <w:t>M,N</w:t>
      </w:r>
      <w:proofErr w:type="gramEnd"/>
      <w:r w:rsidR="00286680">
        <w:rPr>
          <w:i/>
          <w:iCs/>
          <w:color w:val="002060"/>
        </w:rPr>
        <w:t>,M).</w:t>
      </w:r>
      <w:r w:rsidR="00FA4120">
        <w:rPr>
          <w:i/>
          <w:iCs/>
          <w:color w:val="002060"/>
        </w:rPr>
        <w:t xml:space="preserve"> </w:t>
      </w:r>
      <w:r w:rsidR="00D80C61">
        <w:rPr>
          <w:i/>
          <w:iCs/>
          <w:color w:val="002060"/>
        </w:rPr>
        <w:t xml:space="preserve">From the Autocorrelation plot, there is a high serial correlation and seems </w:t>
      </w:r>
      <w:r w:rsidR="00D80C61">
        <w:rPr>
          <w:i/>
          <w:iCs/>
          <w:color w:val="002060"/>
        </w:rPr>
        <w:lastRenderedPageBreak/>
        <w:t xml:space="preserve">to be seasonal. </w:t>
      </w:r>
      <w:r w:rsidR="00D87898">
        <w:rPr>
          <w:i/>
          <w:iCs/>
          <w:color w:val="002060"/>
        </w:rPr>
        <w:t>The PACF plot also indicates seasonal trend.</w:t>
      </w:r>
      <w:r w:rsidR="00FA4120">
        <w:rPr>
          <w:i/>
          <w:iCs/>
          <w:color w:val="002060"/>
        </w:rPr>
        <w:t xml:space="preserve"> The ACF plot indicates an exponential decay </w:t>
      </w:r>
      <w:r w:rsidR="00B00A3A">
        <w:rPr>
          <w:i/>
          <w:iCs/>
          <w:color w:val="002060"/>
        </w:rPr>
        <w:t>and sine oscillation</w:t>
      </w:r>
      <w:r w:rsidR="00FA4120">
        <w:rPr>
          <w:i/>
          <w:iCs/>
          <w:color w:val="002060"/>
        </w:rPr>
        <w:t>.</w:t>
      </w:r>
      <w:r w:rsidR="00B00A3A">
        <w:rPr>
          <w:i/>
          <w:iCs/>
          <w:color w:val="002060"/>
        </w:rPr>
        <w:t xml:space="preserve"> This indicates seasonal difference.</w:t>
      </w:r>
      <w:r w:rsidR="00663640">
        <w:rPr>
          <w:i/>
          <w:iCs/>
          <w:color w:val="002060"/>
        </w:rPr>
        <w:t xml:space="preserve"> Thus we choose ARIMA (0,1,</w:t>
      </w:r>
      <w:proofErr w:type="gramStart"/>
      <w:r w:rsidR="00663640">
        <w:rPr>
          <w:i/>
          <w:iCs/>
          <w:color w:val="002060"/>
        </w:rPr>
        <w:t>1)(</w:t>
      </w:r>
      <w:proofErr w:type="gramEnd"/>
      <w:r w:rsidR="00663640">
        <w:rPr>
          <w:i/>
          <w:iCs/>
          <w:color w:val="002060"/>
        </w:rPr>
        <w:t>0,1,1) [12] model.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0"/>
        <w:gridCol w:w="1420"/>
        <w:gridCol w:w="1420"/>
        <w:gridCol w:w="1420"/>
        <w:gridCol w:w="880"/>
        <w:gridCol w:w="980"/>
        <w:gridCol w:w="980"/>
      </w:tblGrid>
      <w:tr w:rsidR="002012E9" w:rsidRPr="005A008F" w14:paraId="0DA3630F" w14:textId="77777777" w:rsidTr="00CF3C70">
        <w:trPr>
          <w:trHeight w:val="330"/>
          <w:jc w:val="center"/>
        </w:trPr>
        <w:tc>
          <w:tcPr>
            <w:tcW w:w="1000" w:type="dxa"/>
            <w:shd w:val="clear" w:color="auto" w:fill="E36C0A" w:themeFill="accent6" w:themeFillShade="BF"/>
            <w:noWrap/>
            <w:vAlign w:val="center"/>
            <w:hideMark/>
          </w:tcPr>
          <w:p w14:paraId="293A06E2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420" w:type="dxa"/>
            <w:shd w:val="clear" w:color="auto" w:fill="E36C0A" w:themeFill="accent6" w:themeFillShade="BF"/>
            <w:noWrap/>
            <w:vAlign w:val="center"/>
            <w:hideMark/>
          </w:tcPr>
          <w:p w14:paraId="3226DC6D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ME</w:t>
            </w:r>
          </w:p>
        </w:tc>
        <w:tc>
          <w:tcPr>
            <w:tcW w:w="1420" w:type="dxa"/>
            <w:shd w:val="clear" w:color="auto" w:fill="E36C0A" w:themeFill="accent6" w:themeFillShade="BF"/>
            <w:noWrap/>
            <w:vAlign w:val="center"/>
            <w:hideMark/>
          </w:tcPr>
          <w:p w14:paraId="17E310A6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RMSE</w:t>
            </w:r>
          </w:p>
        </w:tc>
        <w:tc>
          <w:tcPr>
            <w:tcW w:w="1420" w:type="dxa"/>
            <w:shd w:val="clear" w:color="auto" w:fill="E36C0A" w:themeFill="accent6" w:themeFillShade="BF"/>
            <w:noWrap/>
            <w:vAlign w:val="center"/>
            <w:hideMark/>
          </w:tcPr>
          <w:p w14:paraId="7D027BFB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MAE</w:t>
            </w:r>
          </w:p>
        </w:tc>
        <w:tc>
          <w:tcPr>
            <w:tcW w:w="880" w:type="dxa"/>
            <w:shd w:val="clear" w:color="auto" w:fill="E36C0A" w:themeFill="accent6" w:themeFillShade="BF"/>
            <w:noWrap/>
            <w:vAlign w:val="center"/>
            <w:hideMark/>
          </w:tcPr>
          <w:p w14:paraId="635B378E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MPE</w:t>
            </w:r>
          </w:p>
        </w:tc>
        <w:tc>
          <w:tcPr>
            <w:tcW w:w="980" w:type="dxa"/>
            <w:shd w:val="clear" w:color="auto" w:fill="E36C0A" w:themeFill="accent6" w:themeFillShade="BF"/>
            <w:noWrap/>
            <w:vAlign w:val="center"/>
            <w:hideMark/>
          </w:tcPr>
          <w:p w14:paraId="3D6F27AA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MAPE</w:t>
            </w:r>
          </w:p>
        </w:tc>
        <w:tc>
          <w:tcPr>
            <w:tcW w:w="980" w:type="dxa"/>
            <w:shd w:val="clear" w:color="auto" w:fill="E36C0A" w:themeFill="accent6" w:themeFillShade="BF"/>
            <w:noWrap/>
            <w:vAlign w:val="center"/>
            <w:hideMark/>
          </w:tcPr>
          <w:p w14:paraId="6C517FDE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5A008F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MASE</w:t>
            </w:r>
          </w:p>
        </w:tc>
      </w:tr>
      <w:tr w:rsidR="002012E9" w:rsidRPr="005A008F" w14:paraId="160F3E77" w14:textId="77777777" w:rsidTr="00CF3C70">
        <w:trPr>
          <w:trHeight w:val="330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1BF038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ETS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ADB6FE8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1983592.6926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F60EFC6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2226512.5538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4DB4643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1983592.6926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234F2E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8.4729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4A1858E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8.4729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38D7D5D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1.2691</w:t>
            </w:r>
          </w:p>
        </w:tc>
      </w:tr>
      <w:tr w:rsidR="002012E9" w:rsidRPr="005A008F" w14:paraId="5C9C85EB" w14:textId="77777777" w:rsidTr="00CF3C70">
        <w:trPr>
          <w:trHeight w:val="330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DC2170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ARIMA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4FBA718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2878344.1382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54622A7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3061362.1418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EAC3FD3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2878344.1382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1975B8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12.5815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8C5D542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12.5815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8930E69" w14:textId="77777777" w:rsidR="002012E9" w:rsidRPr="005A008F" w:rsidRDefault="002012E9" w:rsidP="00CF3C7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PMingLiU"/>
                <w:sz w:val="20"/>
                <w:szCs w:val="20"/>
              </w:rPr>
            </w:pPr>
            <w:r w:rsidRPr="005A008F">
              <w:rPr>
                <w:rFonts w:eastAsia="PMingLiU"/>
                <w:sz w:val="20"/>
                <w:szCs w:val="20"/>
              </w:rPr>
              <w:t>1.8416</w:t>
            </w:r>
          </w:p>
        </w:tc>
      </w:tr>
    </w:tbl>
    <w:p w14:paraId="715E0AF1" w14:textId="3C7DCD3D" w:rsidR="002012E9" w:rsidRPr="002012E9" w:rsidRDefault="002012E9" w:rsidP="002012E9">
      <w:pPr>
        <w:pStyle w:val="ListParagraph"/>
        <w:spacing w:beforeLines="100" w:before="240" w:afterLines="100" w:after="240"/>
        <w:ind w:leftChars="0" w:left="720"/>
        <w:rPr>
          <w:i/>
          <w:iCs/>
          <w:color w:val="002060"/>
        </w:rPr>
      </w:pPr>
      <w:r>
        <w:rPr>
          <w:i/>
          <w:iCs/>
          <w:color w:val="002060"/>
        </w:rPr>
        <w:t>Judge from the comparison table above, it can be observed that ETS model has lower ME, RMSE, MASE, MPE, MAPE and MASE values. Consequently, ETS model is chosen for forecasting.</w:t>
      </w:r>
    </w:p>
    <w:p w14:paraId="0F7CE903" w14:textId="77777777" w:rsidR="00C9170A" w:rsidRDefault="00EB3EEB" w:rsidP="003E36B5">
      <w:pPr>
        <w:pStyle w:val="ListParagraph"/>
        <w:numPr>
          <w:ilvl w:val="0"/>
          <w:numId w:val="4"/>
        </w:numPr>
        <w:spacing w:afterLines="100" w:after="240"/>
        <w:ind w:leftChars="0" w:left="714" w:hanging="357"/>
        <w:rPr>
          <w:color w:val="000000" w:themeColor="text1"/>
        </w:rPr>
      </w:pPr>
      <w:r w:rsidRPr="00DB6811">
        <w:rPr>
          <w:color w:val="000000" w:themeColor="text1"/>
        </w:rPr>
        <w:t>Please provide a table of your forecasts for existing and new stores. Also, provide visualization of your forecasts that includes historical data, existing stores forecasts, and new stores forecasts.</w:t>
      </w:r>
    </w:p>
    <w:tbl>
      <w:tblPr>
        <w:tblW w:w="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6"/>
        <w:gridCol w:w="836"/>
        <w:gridCol w:w="1326"/>
        <w:gridCol w:w="1692"/>
      </w:tblGrid>
      <w:tr w:rsidR="009E4B2C" w:rsidRPr="009E4B2C" w14:paraId="727EEF80" w14:textId="77777777" w:rsidTr="00692CCB">
        <w:trPr>
          <w:trHeight w:val="330"/>
          <w:jc w:val="center"/>
        </w:trPr>
        <w:tc>
          <w:tcPr>
            <w:tcW w:w="726" w:type="dxa"/>
            <w:shd w:val="clear" w:color="ED7D31" w:fill="ED7D31"/>
            <w:noWrap/>
            <w:vAlign w:val="center"/>
            <w:hideMark/>
          </w:tcPr>
          <w:p w14:paraId="4603CC77" w14:textId="77777777" w:rsidR="009E4B2C" w:rsidRPr="009E4B2C" w:rsidRDefault="009E4B2C" w:rsidP="009E4B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9E4B2C">
              <w:rPr>
                <w:rFonts w:eastAsia="PMingLiU"/>
                <w:b/>
                <w:bCs/>
                <w:color w:val="FFFFFF"/>
                <w:sz w:val="20"/>
                <w:szCs w:val="20"/>
              </w:rPr>
              <w:t>Year</w:t>
            </w:r>
          </w:p>
        </w:tc>
        <w:tc>
          <w:tcPr>
            <w:tcW w:w="836" w:type="dxa"/>
            <w:shd w:val="clear" w:color="ED7D31" w:fill="ED7D31"/>
            <w:noWrap/>
            <w:vAlign w:val="center"/>
            <w:hideMark/>
          </w:tcPr>
          <w:p w14:paraId="1AC7C9CC" w14:textId="77777777" w:rsidR="009E4B2C" w:rsidRPr="009E4B2C" w:rsidRDefault="009E4B2C" w:rsidP="009E4B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9E4B2C">
              <w:rPr>
                <w:rFonts w:eastAsia="PMingLiU"/>
                <w:b/>
                <w:bCs/>
                <w:color w:val="FFFFFF"/>
                <w:sz w:val="20"/>
                <w:szCs w:val="20"/>
              </w:rPr>
              <w:t>Month</w:t>
            </w:r>
          </w:p>
        </w:tc>
        <w:tc>
          <w:tcPr>
            <w:tcW w:w="1326" w:type="dxa"/>
            <w:shd w:val="clear" w:color="ED7D31" w:fill="ED7D31"/>
            <w:noWrap/>
            <w:vAlign w:val="center"/>
            <w:hideMark/>
          </w:tcPr>
          <w:p w14:paraId="7D956568" w14:textId="77777777" w:rsidR="009E4B2C" w:rsidRPr="009E4B2C" w:rsidRDefault="009E4B2C" w:rsidP="009E4B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9E4B2C">
              <w:rPr>
                <w:rFonts w:eastAsia="PMingLiU"/>
                <w:b/>
                <w:bCs/>
                <w:color w:val="FFFFFF"/>
                <w:sz w:val="20"/>
                <w:szCs w:val="20"/>
              </w:rPr>
              <w:t>New Stores</w:t>
            </w:r>
          </w:p>
        </w:tc>
        <w:tc>
          <w:tcPr>
            <w:tcW w:w="1692" w:type="dxa"/>
            <w:shd w:val="clear" w:color="ED7D31" w:fill="ED7D31"/>
            <w:noWrap/>
            <w:vAlign w:val="center"/>
            <w:hideMark/>
          </w:tcPr>
          <w:p w14:paraId="67603FDD" w14:textId="77777777" w:rsidR="009E4B2C" w:rsidRPr="009E4B2C" w:rsidRDefault="009E4B2C" w:rsidP="009E4B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b/>
                <w:bCs/>
                <w:color w:val="FFFFFF"/>
                <w:sz w:val="20"/>
                <w:szCs w:val="20"/>
              </w:rPr>
            </w:pPr>
            <w:r w:rsidRPr="009E4B2C">
              <w:rPr>
                <w:rFonts w:eastAsia="PMingLiU"/>
                <w:b/>
                <w:bCs/>
                <w:color w:val="FFFFFF"/>
                <w:sz w:val="20"/>
                <w:szCs w:val="20"/>
              </w:rPr>
              <w:t>Existing Stores</w:t>
            </w:r>
          </w:p>
        </w:tc>
      </w:tr>
      <w:tr w:rsidR="006708DA" w:rsidRPr="009E4B2C" w14:paraId="08B80897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0AB70920" w14:textId="25DAA35C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2AE5BB69" w14:textId="2381E15B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1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4A537A1E" w14:textId="58491580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2580411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7F80BBF8" w14:textId="28565A33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21539936</w:t>
            </w:r>
          </w:p>
        </w:tc>
      </w:tr>
      <w:tr w:rsidR="006708DA" w:rsidRPr="009E4B2C" w14:paraId="0EF2E83B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172E4720" w14:textId="372D0FBA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656B47ED" w14:textId="4C3EC4E7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5FB33CDE" w14:textId="0E263BD5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2494753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7A32EE75" w14:textId="763EE726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20413771</w:t>
            </w:r>
          </w:p>
        </w:tc>
      </w:tr>
      <w:tr w:rsidR="006708DA" w:rsidRPr="009E4B2C" w14:paraId="6A2F1E01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17C3DE4D" w14:textId="2C974DFD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5033F2A8" w14:textId="2E538D62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3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73F10A31" w14:textId="553589DF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2876480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012100FA" w14:textId="0188F099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24325953</w:t>
            </w:r>
          </w:p>
        </w:tc>
      </w:tr>
      <w:tr w:rsidR="006708DA" w:rsidRPr="009E4B2C" w14:paraId="70D9DF99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2C9F0C7E" w14:textId="44EAE614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6CAF13F0" w14:textId="6A6AFDD1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4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139CDA0C" w14:textId="1EF4311D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2742890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0365BB94" w14:textId="1C80DEAE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22993466</w:t>
            </w:r>
          </w:p>
        </w:tc>
      </w:tr>
      <w:tr w:rsidR="006708DA" w:rsidRPr="009E4B2C" w14:paraId="7F899450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7163F1AE" w14:textId="684EC997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223B9F37" w14:textId="430E59D6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5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6457D652" w14:textId="611CE8F4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3103562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8C603B9" w14:textId="017B2257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26691951</w:t>
            </w:r>
          </w:p>
        </w:tc>
      </w:tr>
      <w:tr w:rsidR="006708DA" w:rsidRPr="009E4B2C" w14:paraId="24FF6740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5C0BC589" w14:textId="5767C28C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4AA5F801" w14:textId="755E71E7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6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5C281308" w14:textId="37223C93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3124176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086EFD7D" w14:textId="79B96528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26989964</w:t>
            </w:r>
          </w:p>
        </w:tc>
      </w:tr>
      <w:tr w:rsidR="006708DA" w:rsidRPr="009E4B2C" w14:paraId="58056DC2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7528B69F" w14:textId="7595A53A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35F2F0B1" w14:textId="110A1A90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7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440884C0" w14:textId="0DFBE708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3168777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5D99A69" w14:textId="4F1AB1B1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26948631</w:t>
            </w:r>
          </w:p>
        </w:tc>
      </w:tr>
      <w:tr w:rsidR="006708DA" w:rsidRPr="009E4B2C" w14:paraId="57D0700C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63508D7B" w14:textId="1B7CE688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24509801" w14:textId="46904CAD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8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42E41C8E" w14:textId="31AF1F54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2820029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4284449" w14:textId="2397870F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24091579</w:t>
            </w:r>
          </w:p>
        </w:tc>
      </w:tr>
      <w:tr w:rsidR="006708DA" w:rsidRPr="009E4B2C" w14:paraId="5CF57FE7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726759CB" w14:textId="067C43A6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01ECADFF" w14:textId="5B9CC3FE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9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6FDBBCD1" w14:textId="3108E074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2491912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5BE78C12" w14:textId="1BBE4698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20523492</w:t>
            </w:r>
          </w:p>
        </w:tc>
      </w:tr>
      <w:tr w:rsidR="006708DA" w:rsidRPr="009E4B2C" w14:paraId="0590E36F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5138BA4D" w14:textId="28198B09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084FFFB5" w14:textId="15CC611E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10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00116D2B" w14:textId="3BF9AFA2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2442136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3795B6C1" w14:textId="760C3CB7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20011749</w:t>
            </w:r>
          </w:p>
        </w:tc>
      </w:tr>
      <w:tr w:rsidR="006708DA" w:rsidRPr="009E4B2C" w14:paraId="0B4B8DB7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2271C7DB" w14:textId="2E84CAE2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020CEEAF" w14:textId="3005A0BB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11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452D660C" w14:textId="7304F77E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2551509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79B0B638" w14:textId="7303996D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21177435</w:t>
            </w:r>
          </w:p>
        </w:tc>
      </w:tr>
      <w:tr w:rsidR="006708DA" w:rsidRPr="009E4B2C" w14:paraId="0D5C6575" w14:textId="77777777" w:rsidTr="00692CCB">
        <w:trPr>
          <w:trHeight w:val="330"/>
          <w:jc w:val="center"/>
        </w:trPr>
        <w:tc>
          <w:tcPr>
            <w:tcW w:w="726" w:type="dxa"/>
            <w:shd w:val="clear" w:color="auto" w:fill="auto"/>
            <w:noWrap/>
            <w:hideMark/>
          </w:tcPr>
          <w:p w14:paraId="6C885342" w14:textId="01A2EA1A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2016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14:paraId="44EF0A81" w14:textId="0EA3A831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4C4C14">
              <w:t>12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2172D6B3" w14:textId="6859D8E9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2520758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DA350B7" w14:textId="7FF5974C" w:rsidR="006708DA" w:rsidRPr="009E4B2C" w:rsidRDefault="006708DA" w:rsidP="006708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PMingLiU"/>
                <w:sz w:val="20"/>
                <w:szCs w:val="20"/>
              </w:rPr>
            </w:pPr>
            <w:r w:rsidRPr="0009403F">
              <w:t>20855799</w:t>
            </w:r>
          </w:p>
        </w:tc>
      </w:tr>
    </w:tbl>
    <w:p w14:paraId="2CACFF57" w14:textId="1F9FE49F" w:rsidR="009E4B2C" w:rsidRDefault="004B7A8C" w:rsidP="004B7A8C">
      <w:pPr>
        <w:pStyle w:val="ListParagraph"/>
        <w:spacing w:beforeLines="100" w:before="240"/>
        <w:ind w:leftChars="0" w:left="720"/>
        <w:jc w:val="center"/>
        <w:rPr>
          <w:color w:val="000000" w:themeColor="text1"/>
        </w:rPr>
      </w:pPr>
      <w:r w:rsidRPr="004B7A8C">
        <w:rPr>
          <w:noProof/>
        </w:rPr>
        <w:lastRenderedPageBreak/>
        <w:drawing>
          <wp:inline distT="0" distB="0" distL="0" distR="0" wp14:anchorId="54125E16" wp14:editId="324F9B98">
            <wp:extent cx="5943600" cy="3239135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C6B2D" w14:textId="40108408" w:rsidR="00191FB8" w:rsidRDefault="00191FB8" w:rsidP="001960EA">
      <w:pPr>
        <w:pStyle w:val="Heading2"/>
      </w:pPr>
      <w:r w:rsidRPr="001960EA">
        <w:rPr>
          <w:rFonts w:hint="eastAsia"/>
        </w:rPr>
        <w:t>A</w:t>
      </w:r>
      <w:r w:rsidRPr="001960EA">
        <w:t>ppendix</w:t>
      </w:r>
      <w:r w:rsidR="001960EA">
        <w:t>: Alteryx Workflows</w:t>
      </w:r>
    </w:p>
    <w:p w14:paraId="54A607F0" w14:textId="5E61D5DF" w:rsidR="00F711F1" w:rsidRPr="00F711F1" w:rsidRDefault="00F711F1" w:rsidP="00F711F1">
      <w:pPr>
        <w:pStyle w:val="Heading3"/>
      </w:pPr>
      <w:r>
        <w:t>Task 1</w:t>
      </w:r>
    </w:p>
    <w:p w14:paraId="54384429" w14:textId="4DC5975B" w:rsidR="00BD028A" w:rsidRDefault="00BD028A" w:rsidP="00BD028A">
      <w:r w:rsidRPr="00BD028A">
        <w:rPr>
          <w:noProof/>
        </w:rPr>
        <w:drawing>
          <wp:inline distT="0" distB="0" distL="0" distR="0" wp14:anchorId="4D19E243" wp14:editId="743C70F0">
            <wp:extent cx="5943600" cy="1302385"/>
            <wp:effectExtent l="19050" t="19050" r="1905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C54C0" w14:textId="2F15476C" w:rsidR="00F711F1" w:rsidRDefault="00F711F1" w:rsidP="00F711F1">
      <w:pPr>
        <w:pStyle w:val="Heading3"/>
      </w:pPr>
      <w:r>
        <w:lastRenderedPageBreak/>
        <w:t>Task 2</w:t>
      </w:r>
    </w:p>
    <w:p w14:paraId="0D9BB62F" w14:textId="751AE5FB" w:rsidR="00BD028A" w:rsidRDefault="00BD028A" w:rsidP="00BD028A">
      <w:r w:rsidRPr="00BD028A">
        <w:rPr>
          <w:noProof/>
        </w:rPr>
        <w:drawing>
          <wp:inline distT="0" distB="0" distL="0" distR="0" wp14:anchorId="1B23FF7D" wp14:editId="4A2E8115">
            <wp:extent cx="5943600" cy="3256915"/>
            <wp:effectExtent l="19050" t="19050" r="19050" b="196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5C8D8" w14:textId="385A5764" w:rsidR="00F711F1" w:rsidRDefault="00F711F1" w:rsidP="00F711F1">
      <w:pPr>
        <w:pStyle w:val="Heading3"/>
      </w:pPr>
      <w:r>
        <w:t>Task 3</w:t>
      </w:r>
    </w:p>
    <w:p w14:paraId="29A8E205" w14:textId="77777777" w:rsidR="00BD028A" w:rsidRDefault="00BD028A" w:rsidP="00BD028A">
      <w:r w:rsidRPr="00BD028A">
        <w:rPr>
          <w:noProof/>
        </w:rPr>
        <w:drawing>
          <wp:inline distT="0" distB="0" distL="0" distR="0" wp14:anchorId="46BB5D60" wp14:editId="2EE7BEAD">
            <wp:extent cx="5943600" cy="1691640"/>
            <wp:effectExtent l="19050" t="19050" r="19050" b="228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3B574" w14:textId="77777777" w:rsidR="00BD028A" w:rsidRDefault="00BD028A" w:rsidP="00BD028A">
      <w:r w:rsidRPr="00BD028A">
        <w:rPr>
          <w:noProof/>
        </w:rPr>
        <w:lastRenderedPageBreak/>
        <w:drawing>
          <wp:inline distT="0" distB="0" distL="0" distR="0" wp14:anchorId="3C8C683E" wp14:editId="7B8195CD">
            <wp:extent cx="5943600" cy="4202430"/>
            <wp:effectExtent l="19050" t="19050" r="19050" b="266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50299" w14:textId="01C22981" w:rsidR="00BD028A" w:rsidRDefault="002F1F76" w:rsidP="00BD028A">
      <w:r>
        <w:rPr>
          <w:noProof/>
        </w:rPr>
        <w:drawing>
          <wp:inline distT="0" distB="0" distL="0" distR="0" wp14:anchorId="10BEE3E7" wp14:editId="6778789C">
            <wp:extent cx="5943600" cy="1642745"/>
            <wp:effectExtent l="19050" t="19050" r="19050" b="146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19127" w14:textId="0E870515" w:rsidR="00BD028A" w:rsidRPr="00BD028A" w:rsidRDefault="00E37062" w:rsidP="00BD028A">
      <w:r w:rsidRPr="00E37062">
        <w:rPr>
          <w:noProof/>
        </w:rPr>
        <w:drawing>
          <wp:inline distT="0" distB="0" distL="0" distR="0" wp14:anchorId="6CDAA130" wp14:editId="1DF243AD">
            <wp:extent cx="5943600" cy="1863725"/>
            <wp:effectExtent l="19050" t="19050" r="19050" b="222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D028A" w:rsidRPr="00BD02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F06D3"/>
    <w:multiLevelType w:val="multilevel"/>
    <w:tmpl w:val="1EA88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80B"/>
    <w:multiLevelType w:val="multilevel"/>
    <w:tmpl w:val="2CA05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A8255E6"/>
    <w:multiLevelType w:val="multilevel"/>
    <w:tmpl w:val="1EA88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7A50"/>
    <w:multiLevelType w:val="multilevel"/>
    <w:tmpl w:val="1EA88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TAzNDEytbAwNLVU0lEKTi0uzszPAykwqwUAo5uO6iwAAAA="/>
  </w:docVars>
  <w:rsids>
    <w:rsidRoot w:val="00C9170A"/>
    <w:rsid w:val="000509C0"/>
    <w:rsid w:val="00050C2B"/>
    <w:rsid w:val="00071806"/>
    <w:rsid w:val="00087503"/>
    <w:rsid w:val="000B409C"/>
    <w:rsid w:val="000C12DC"/>
    <w:rsid w:val="000D0F72"/>
    <w:rsid w:val="001057D0"/>
    <w:rsid w:val="001574DE"/>
    <w:rsid w:val="001908DA"/>
    <w:rsid w:val="00191FB8"/>
    <w:rsid w:val="00192144"/>
    <w:rsid w:val="001960EA"/>
    <w:rsid w:val="002012E9"/>
    <w:rsid w:val="00206F7A"/>
    <w:rsid w:val="00212889"/>
    <w:rsid w:val="00220CA4"/>
    <w:rsid w:val="0023513F"/>
    <w:rsid w:val="002351D2"/>
    <w:rsid w:val="0024238D"/>
    <w:rsid w:val="002649E8"/>
    <w:rsid w:val="00286680"/>
    <w:rsid w:val="002C327C"/>
    <w:rsid w:val="002E0D02"/>
    <w:rsid w:val="002F1F76"/>
    <w:rsid w:val="002F6EF5"/>
    <w:rsid w:val="0032067F"/>
    <w:rsid w:val="00347BA1"/>
    <w:rsid w:val="003708A1"/>
    <w:rsid w:val="003B70CB"/>
    <w:rsid w:val="003C1B46"/>
    <w:rsid w:val="003E36B5"/>
    <w:rsid w:val="004008E4"/>
    <w:rsid w:val="00420968"/>
    <w:rsid w:val="004B7A8C"/>
    <w:rsid w:val="004E1450"/>
    <w:rsid w:val="004F0A79"/>
    <w:rsid w:val="004F3FA1"/>
    <w:rsid w:val="0050009A"/>
    <w:rsid w:val="00510EEE"/>
    <w:rsid w:val="00544E75"/>
    <w:rsid w:val="00592261"/>
    <w:rsid w:val="0059536F"/>
    <w:rsid w:val="005A008F"/>
    <w:rsid w:val="005C2132"/>
    <w:rsid w:val="005E2100"/>
    <w:rsid w:val="00600F38"/>
    <w:rsid w:val="00607972"/>
    <w:rsid w:val="00624E45"/>
    <w:rsid w:val="00637BD5"/>
    <w:rsid w:val="00663640"/>
    <w:rsid w:val="006708DA"/>
    <w:rsid w:val="00692CCB"/>
    <w:rsid w:val="006B6EB8"/>
    <w:rsid w:val="006E604E"/>
    <w:rsid w:val="0071565A"/>
    <w:rsid w:val="007F2B3E"/>
    <w:rsid w:val="00822D53"/>
    <w:rsid w:val="00856379"/>
    <w:rsid w:val="00893D73"/>
    <w:rsid w:val="008A0074"/>
    <w:rsid w:val="008A3993"/>
    <w:rsid w:val="00920C57"/>
    <w:rsid w:val="00935DAF"/>
    <w:rsid w:val="00974EC5"/>
    <w:rsid w:val="009C0A33"/>
    <w:rsid w:val="009C404C"/>
    <w:rsid w:val="009C750B"/>
    <w:rsid w:val="009D299C"/>
    <w:rsid w:val="009E4B2C"/>
    <w:rsid w:val="009F2983"/>
    <w:rsid w:val="00A2411C"/>
    <w:rsid w:val="00A4616A"/>
    <w:rsid w:val="00A8733A"/>
    <w:rsid w:val="00AF1378"/>
    <w:rsid w:val="00B00A3A"/>
    <w:rsid w:val="00B379DB"/>
    <w:rsid w:val="00BA49C9"/>
    <w:rsid w:val="00BD028A"/>
    <w:rsid w:val="00C266E2"/>
    <w:rsid w:val="00C46E3B"/>
    <w:rsid w:val="00C80D41"/>
    <w:rsid w:val="00C9170A"/>
    <w:rsid w:val="00CD0ED1"/>
    <w:rsid w:val="00CD6365"/>
    <w:rsid w:val="00CF63CC"/>
    <w:rsid w:val="00D04990"/>
    <w:rsid w:val="00D80C61"/>
    <w:rsid w:val="00D87898"/>
    <w:rsid w:val="00DA62AF"/>
    <w:rsid w:val="00DB624C"/>
    <w:rsid w:val="00DB6811"/>
    <w:rsid w:val="00DC6D4A"/>
    <w:rsid w:val="00E13803"/>
    <w:rsid w:val="00E20B25"/>
    <w:rsid w:val="00E37062"/>
    <w:rsid w:val="00E4590F"/>
    <w:rsid w:val="00E60108"/>
    <w:rsid w:val="00E72FC1"/>
    <w:rsid w:val="00E73FAD"/>
    <w:rsid w:val="00E8136F"/>
    <w:rsid w:val="00E841BE"/>
    <w:rsid w:val="00EA3B4D"/>
    <w:rsid w:val="00EB3EEB"/>
    <w:rsid w:val="00EE5529"/>
    <w:rsid w:val="00EE5929"/>
    <w:rsid w:val="00F22B92"/>
    <w:rsid w:val="00F23864"/>
    <w:rsid w:val="00F27380"/>
    <w:rsid w:val="00F46325"/>
    <w:rsid w:val="00F70CE5"/>
    <w:rsid w:val="00F711F1"/>
    <w:rsid w:val="00F94615"/>
    <w:rsid w:val="00FA4120"/>
    <w:rsid w:val="00FA4D6D"/>
    <w:rsid w:val="00F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8E8A"/>
  <w15:docId w15:val="{25111B9E-B4C7-43D7-BC1D-C57DAB8F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eastAsia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266E2"/>
    <w:pPr>
      <w:ind w:leftChars="200" w:left="480"/>
    </w:pPr>
  </w:style>
  <w:style w:type="table" w:styleId="TableGrid">
    <w:name w:val="Table Grid"/>
    <w:basedOn w:val="TableNormal"/>
    <w:uiPriority w:val="39"/>
    <w:rsid w:val="005A00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100">
                <a:latin typeface="Arial Black" panose="020B0A04020102020204" pitchFamily="34" charset="0"/>
              </a:rPr>
              <a:t>Autocorrelation</a:t>
            </a:r>
            <a:r>
              <a:rPr lang="en-US" altLang="zh-TW" sz="1100" baseline="0">
                <a:latin typeface="Arial Black" panose="020B0A04020102020204" pitchFamily="34" charset="0"/>
              </a:rPr>
              <a:t> Function Plot</a:t>
            </a:r>
            <a:endParaRPr lang="en-US" altLang="zh-TW" sz="1100">
              <a:latin typeface="Arial Black" panose="020B0A040201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AutoCorrelation!$B$1</c:f>
              <c:strCache>
                <c:ptCount val="1"/>
                <c:pt idx="0">
                  <c:v>ACF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AutoCorrelation!$A$2:$A$25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AutoCorrelation!$B$2:$B$25</c:f>
              <c:numCache>
                <c:formatCode>General</c:formatCode>
                <c:ptCount val="24"/>
                <c:pt idx="0">
                  <c:v>0.67800000000000005</c:v>
                </c:pt>
                <c:pt idx="1">
                  <c:v>0.40200000000000002</c:v>
                </c:pt>
                <c:pt idx="2">
                  <c:v>3.7999999999999999E-2</c:v>
                </c:pt>
                <c:pt idx="3">
                  <c:v>-0.16800000000000001</c:v>
                </c:pt>
                <c:pt idx="4">
                  <c:v>-0.31900000000000001</c:v>
                </c:pt>
                <c:pt idx="5">
                  <c:v>-0.39300000000000002</c:v>
                </c:pt>
                <c:pt idx="6">
                  <c:v>-0.35499999999999998</c:v>
                </c:pt>
                <c:pt idx="7">
                  <c:v>-0.23799999999999999</c:v>
                </c:pt>
                <c:pt idx="8">
                  <c:v>-0.14499999999999999</c:v>
                </c:pt>
                <c:pt idx="9">
                  <c:v>0.13500000000000001</c:v>
                </c:pt>
                <c:pt idx="10">
                  <c:v>0.28699999999999998</c:v>
                </c:pt>
                <c:pt idx="11">
                  <c:v>0.443</c:v>
                </c:pt>
                <c:pt idx="12">
                  <c:v>0.311</c:v>
                </c:pt>
                <c:pt idx="13">
                  <c:v>0.123</c:v>
                </c:pt>
                <c:pt idx="14">
                  <c:v>-0.10299999999999999</c:v>
                </c:pt>
                <c:pt idx="15">
                  <c:v>-0.215</c:v>
                </c:pt>
                <c:pt idx="16">
                  <c:v>-0.27500000000000002</c:v>
                </c:pt>
                <c:pt idx="17">
                  <c:v>-0.221</c:v>
                </c:pt>
                <c:pt idx="18">
                  <c:v>-0.189</c:v>
                </c:pt>
                <c:pt idx="19">
                  <c:v>-6.2E-2</c:v>
                </c:pt>
                <c:pt idx="20">
                  <c:v>7.0000000000000001E-3</c:v>
                </c:pt>
                <c:pt idx="21">
                  <c:v>0.20100000000000001</c:v>
                </c:pt>
                <c:pt idx="22">
                  <c:v>0.28999999999999998</c:v>
                </c:pt>
                <c:pt idx="23">
                  <c:v>0.32600000000000001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6E-40E2-8EDB-CBBA7CFB2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262288"/>
        <c:axId val="593263928"/>
      </c:barChart>
      <c:catAx>
        <c:axId val="59326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Arial Black" panose="020B0A04020102020204" pitchFamily="34" charset="0"/>
                  </a:rPr>
                  <a:t>LAG</a:t>
                </a:r>
                <a:endParaRPr lang="zh-TW" altLang="en-US">
                  <a:latin typeface="Arial Black" panose="020B0A040201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accent3">
              <a:lumMod val="20000"/>
              <a:lumOff val="80000"/>
            </a:schemeClr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93263928"/>
        <c:crosses val="autoZero"/>
        <c:auto val="1"/>
        <c:lblAlgn val="ctr"/>
        <c:lblOffset val="100"/>
        <c:noMultiLvlLbl val="0"/>
      </c:catAx>
      <c:valAx>
        <c:axId val="59326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 Black" panose="020B0A04020102020204" pitchFamily="34" charset="0"/>
                    <a:ea typeface="+mn-ea"/>
                    <a:cs typeface="+mn-cs"/>
                  </a:defRPr>
                </a:pPr>
                <a:r>
                  <a:rPr lang="en-US" altLang="zh-TW" b="1">
                    <a:latin typeface="Arial Black" panose="020B0A04020102020204" pitchFamily="34" charset="0"/>
                    <a:cs typeface="Arial" panose="020B0604020202020204" pitchFamily="34" charset="0"/>
                  </a:rPr>
                  <a:t>ACF</a:t>
                </a:r>
                <a:endParaRPr lang="zh-TW" altLang="en-US" b="1">
                  <a:latin typeface="Arial Black" panose="020B0A040201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 Black" panose="020B0A04020102020204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6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100" b="0" i="0" baseline="0">
                <a:effectLst/>
                <a:latin typeface="Arial Black" panose="020B0A04020102020204" pitchFamily="34" charset="0"/>
              </a:rPr>
              <a:t>Partial Autocorrelation Function Plot</a:t>
            </a:r>
            <a:endParaRPr lang="zh-TW" altLang="zh-TW" sz="1100">
              <a:effectLst/>
              <a:latin typeface="Arial Black" panose="020B0A040201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'Partial Autocorrelation'!$B$1</c:f>
              <c:strCache>
                <c:ptCount val="1"/>
                <c:pt idx="0">
                  <c:v>PACF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'Partial Autocorrelation'!$A$2:$A$25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'Partial Autocorrelation'!$B$2:$B$25</c:f>
              <c:numCache>
                <c:formatCode>General</c:formatCode>
                <c:ptCount val="24"/>
                <c:pt idx="0">
                  <c:v>0.67800000000000005</c:v>
                </c:pt>
                <c:pt idx="1">
                  <c:v>-0.107</c:v>
                </c:pt>
                <c:pt idx="2">
                  <c:v>-0.35599999999999998</c:v>
                </c:pt>
                <c:pt idx="3">
                  <c:v>-3.9E-2</c:v>
                </c:pt>
                <c:pt idx="4">
                  <c:v>-0.107</c:v>
                </c:pt>
                <c:pt idx="5">
                  <c:v>-0.17199999999999999</c:v>
                </c:pt>
                <c:pt idx="6">
                  <c:v>5.0000000000000001E-3</c:v>
                </c:pt>
                <c:pt idx="7">
                  <c:v>3.5999999999999997E-2</c:v>
                </c:pt>
                <c:pt idx="8">
                  <c:v>-0.14299999999999999</c:v>
                </c:pt>
                <c:pt idx="9">
                  <c:v>0.38600000000000001</c:v>
                </c:pt>
                <c:pt idx="10">
                  <c:v>2.9000000000000001E-2</c:v>
                </c:pt>
                <c:pt idx="11">
                  <c:v>5.1999999999999998E-2</c:v>
                </c:pt>
                <c:pt idx="12">
                  <c:v>-0.191</c:v>
                </c:pt>
                <c:pt idx="13">
                  <c:v>-0.153</c:v>
                </c:pt>
                <c:pt idx="14">
                  <c:v>-7.4999999999999997E-2</c:v>
                </c:pt>
                <c:pt idx="15">
                  <c:v>0.13200000000000001</c:v>
                </c:pt>
                <c:pt idx="16">
                  <c:v>-1.0999999999999999E-2</c:v>
                </c:pt>
                <c:pt idx="17">
                  <c:v>6.5000000000000002E-2</c:v>
                </c:pt>
                <c:pt idx="18">
                  <c:v>-1.0999999999999999E-2</c:v>
                </c:pt>
                <c:pt idx="19">
                  <c:v>3.0000000000000001E-3</c:v>
                </c:pt>
                <c:pt idx="20">
                  <c:v>7.0000000000000001E-3</c:v>
                </c:pt>
                <c:pt idx="21">
                  <c:v>0.125</c:v>
                </c:pt>
                <c:pt idx="22">
                  <c:v>-2.8000000000000001E-2</c:v>
                </c:pt>
                <c:pt idx="23">
                  <c:v>-6.4000000000000001E-2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56-4FD7-92A6-E27E9660E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315432"/>
        <c:axId val="724312152"/>
      </c:barChart>
      <c:catAx>
        <c:axId val="724315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Arial Black" panose="020B0A04020102020204" pitchFamily="34" charset="0"/>
                  </a:rPr>
                  <a:t>LAG</a:t>
                </a:r>
                <a:endParaRPr lang="zh-TW" altLang="en-US">
                  <a:latin typeface="Arial Black" panose="020B0A040201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accent3">
              <a:lumMod val="20000"/>
              <a:lumOff val="80000"/>
            </a:schemeClr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24312152"/>
        <c:crosses val="autoZero"/>
        <c:auto val="1"/>
        <c:lblAlgn val="ctr"/>
        <c:lblOffset val="100"/>
        <c:noMultiLvlLbl val="0"/>
      </c:catAx>
      <c:valAx>
        <c:axId val="72431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Arial Black" panose="020B0A04020102020204" pitchFamily="34" charset="0"/>
                    <a:cs typeface="Arial" panose="020B0604020202020204" pitchFamily="34" charset="0"/>
                  </a:rPr>
                  <a:t>PACF</a:t>
                </a:r>
                <a:endParaRPr lang="zh-TW" altLang="en-US">
                  <a:latin typeface="Arial Black" panose="020B0A040201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315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10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Ching-Shun Chan</cp:lastModifiedBy>
  <cp:revision>195</cp:revision>
  <dcterms:created xsi:type="dcterms:W3CDTF">2019-07-09T12:56:00Z</dcterms:created>
  <dcterms:modified xsi:type="dcterms:W3CDTF">2019-07-22T16:02:00Z</dcterms:modified>
</cp:coreProperties>
</file>