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C99" w:rsidRPr="00A85C99" w:rsidRDefault="00A85C99" w:rsidP="00A85C99">
      <w:pPr>
        <w:spacing w:after="0" w:line="240" w:lineRule="auto"/>
        <w:textAlignment w:val="baseline"/>
        <w:outlineLvl w:val="0"/>
        <w:rPr>
          <w:rFonts w:ascii="Trebuchet MS" w:eastAsia="Times New Roman" w:hAnsi="Trebuchet MS" w:cs="Times New Roman"/>
          <w:b/>
          <w:bCs/>
          <w:color w:val="2E2E29"/>
          <w:spacing w:val="-10"/>
          <w:kern w:val="36"/>
          <w:sz w:val="28"/>
          <w:szCs w:val="48"/>
          <w:lang w:eastAsia="es-VE"/>
        </w:rPr>
      </w:pPr>
      <w:r w:rsidRPr="00A85C99">
        <w:rPr>
          <w:rFonts w:ascii="Trebuchet MS" w:eastAsia="Times New Roman" w:hAnsi="Trebuchet MS" w:cs="Times New Roman"/>
          <w:b/>
          <w:bCs/>
          <w:color w:val="2E2E29"/>
          <w:spacing w:val="-10"/>
          <w:kern w:val="36"/>
          <w:sz w:val="28"/>
          <w:szCs w:val="48"/>
          <w:lang w:eastAsia="es-VE"/>
        </w:rPr>
        <w:t xml:space="preserve">DEMANDA </w:t>
      </w:r>
      <w:bookmarkStart w:id="0" w:name="_GoBack"/>
      <w:bookmarkEnd w:id="0"/>
      <w:r w:rsidRPr="00A85C99">
        <w:rPr>
          <w:rFonts w:ascii="Trebuchet MS" w:eastAsia="Times New Roman" w:hAnsi="Trebuchet MS" w:cs="Times New Roman"/>
          <w:b/>
          <w:bCs/>
          <w:color w:val="2E2E29"/>
          <w:spacing w:val="-10"/>
          <w:kern w:val="36"/>
          <w:sz w:val="28"/>
          <w:szCs w:val="48"/>
          <w:lang w:eastAsia="es-VE"/>
        </w:rPr>
        <w:t>CONTRA MOROSOS EN CONDOMINIO Modelo</w:t>
      </w:r>
      <w:r w:rsidRPr="00A85C99">
        <w:rPr>
          <w:rFonts w:ascii="Trebuchet MS" w:eastAsia="Times New Roman" w:hAnsi="Trebuchet MS" w:cs="Times New Roman"/>
          <w:b/>
          <w:bCs/>
          <w:color w:val="2E2E29"/>
          <w:spacing w:val="-10"/>
          <w:kern w:val="36"/>
          <w:sz w:val="28"/>
          <w:szCs w:val="48"/>
          <w:lang w:eastAsia="es-VE"/>
        </w:rPr>
        <w:t xml:space="preserve"> </w:t>
      </w:r>
    </w:p>
    <w:p w:rsidR="00A85C99" w:rsidRDefault="00A85C99" w:rsidP="00A85C99">
      <w:pPr>
        <w:shd w:val="clear" w:color="auto" w:fill="FFFFFF"/>
        <w:spacing w:after="343" w:line="360" w:lineRule="atLeast"/>
        <w:textAlignment w:val="baseline"/>
        <w:outlineLvl w:val="0"/>
        <w:rPr>
          <w:rFonts w:ascii="inherit" w:eastAsia="Times New Roman" w:hAnsi="inherit" w:cs="Times New Roman"/>
          <w:b/>
          <w:bCs/>
          <w:color w:val="CCCCCC"/>
          <w:sz w:val="21"/>
          <w:szCs w:val="21"/>
          <w:lang w:eastAsia="es-VE"/>
        </w:rPr>
      </w:pPr>
    </w:p>
    <w:p w:rsidR="00A85C99" w:rsidRPr="00A85C99" w:rsidRDefault="00A85C99" w:rsidP="00A85C99">
      <w:pPr>
        <w:shd w:val="clear" w:color="auto" w:fill="FFFFFF"/>
        <w:spacing w:after="343" w:line="360" w:lineRule="atLeast"/>
        <w:textAlignment w:val="baseline"/>
        <w:outlineLvl w:val="0"/>
        <w:rPr>
          <w:rFonts w:ascii="inherit" w:eastAsia="Times New Roman" w:hAnsi="inherit" w:cs="Times New Roman"/>
          <w:b/>
          <w:bCs/>
          <w:color w:val="2E2E29"/>
          <w:kern w:val="36"/>
          <w:sz w:val="44"/>
          <w:szCs w:val="44"/>
          <w:lang w:eastAsia="es-VE"/>
        </w:rPr>
      </w:pPr>
      <w:r w:rsidRPr="00A85C99">
        <w:rPr>
          <w:rFonts w:ascii="inherit" w:eastAsia="Times New Roman" w:hAnsi="inherit" w:cs="Times New Roman"/>
          <w:b/>
          <w:bCs/>
          <w:color w:val="2E2E29"/>
          <w:kern w:val="36"/>
          <w:sz w:val="44"/>
          <w:szCs w:val="44"/>
          <w:lang w:eastAsia="es-VE"/>
        </w:rPr>
        <w:t>Ciudadano</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Juez  de Municipio de la Circunscripción Judicial del Área Metropolitana de Caracas.</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Su Despacho.</w:t>
      </w:r>
    </w:p>
    <w:p w:rsidR="00A85C99" w:rsidRPr="00A85C99" w:rsidRDefault="00A85C99" w:rsidP="00A85C99">
      <w:pPr>
        <w:shd w:val="clear" w:color="auto" w:fill="FFFFFF"/>
        <w:spacing w:after="0"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 xml:space="preserve">            </w:t>
      </w:r>
      <w:proofErr w:type="spellStart"/>
      <w:r w:rsidRPr="00A85C99">
        <w:rPr>
          <w:rFonts w:ascii="inherit" w:eastAsia="Times New Roman" w:hAnsi="inherit" w:cs="Times New Roman"/>
          <w:color w:val="333333"/>
          <w:sz w:val="21"/>
          <w:szCs w:val="21"/>
          <w:lang w:eastAsia="es-VE"/>
        </w:rPr>
        <w:t>Yo</w:t>
      </w:r>
      <w:r>
        <w:rPr>
          <w:rFonts w:ascii="inherit" w:eastAsia="Times New Roman" w:hAnsi="inherit" w:cs="Times New Roman"/>
          <w:color w:val="333333"/>
          <w:sz w:val="21"/>
          <w:szCs w:val="21"/>
          <w:lang w:eastAsia="es-VE"/>
        </w:rPr>
        <w:t>XXXXXXXXXXXXXX</w:t>
      </w:r>
      <w:proofErr w:type="spellEnd"/>
      <w:r w:rsidRPr="00A85C99">
        <w:rPr>
          <w:rFonts w:ascii="inherit" w:eastAsia="Times New Roman" w:hAnsi="inherit" w:cs="Times New Roman"/>
          <w:color w:val="333333"/>
          <w:sz w:val="21"/>
          <w:szCs w:val="21"/>
          <w:lang w:eastAsia="es-VE"/>
        </w:rPr>
        <w:t>, abogado venezolano en libre ejercicio, inscrito en el Instituto de Previsión Social del Abogado bajo el No. </w:t>
      </w:r>
      <w:r>
        <w:rPr>
          <w:rFonts w:ascii="inherit" w:eastAsia="Times New Roman" w:hAnsi="inherit" w:cs="Times New Roman"/>
          <w:b/>
          <w:bCs/>
          <w:color w:val="333333"/>
          <w:sz w:val="21"/>
          <w:szCs w:val="21"/>
          <w:lang w:eastAsia="es-VE"/>
        </w:rPr>
        <w:t>XXXXXXX</w:t>
      </w:r>
      <w:r w:rsidRPr="00A85C99">
        <w:rPr>
          <w:rFonts w:ascii="inherit" w:eastAsia="Times New Roman" w:hAnsi="inherit" w:cs="Times New Roman"/>
          <w:color w:val="333333"/>
          <w:sz w:val="21"/>
          <w:szCs w:val="21"/>
          <w:lang w:eastAsia="es-VE"/>
        </w:rPr>
        <w:t>, de estado civil soltero, de este domicilio y titular de la Cédula de Identidad No. </w:t>
      </w:r>
      <w:r>
        <w:rPr>
          <w:rFonts w:ascii="inherit" w:eastAsia="Times New Roman" w:hAnsi="inherit" w:cs="Times New Roman"/>
          <w:b/>
          <w:bCs/>
          <w:color w:val="333333"/>
          <w:sz w:val="21"/>
          <w:szCs w:val="21"/>
          <w:lang w:eastAsia="es-VE"/>
        </w:rPr>
        <w:t>XXXXXX</w:t>
      </w:r>
      <w:r w:rsidRPr="00A85C99">
        <w:rPr>
          <w:rFonts w:ascii="inherit" w:eastAsia="Times New Roman" w:hAnsi="inherit" w:cs="Times New Roman"/>
          <w:color w:val="333333"/>
          <w:sz w:val="21"/>
          <w:szCs w:val="21"/>
          <w:lang w:eastAsia="es-VE"/>
        </w:rPr>
        <w:t>, procediendo en este acto en mi carácter de representante judicial  de la </w:t>
      </w:r>
      <w:r w:rsidRPr="00A85C99">
        <w:rPr>
          <w:rFonts w:ascii="inherit" w:eastAsia="Times New Roman" w:hAnsi="inherit" w:cs="Times New Roman"/>
          <w:b/>
          <w:bCs/>
          <w:color w:val="333333"/>
          <w:sz w:val="21"/>
          <w:szCs w:val="21"/>
          <w:u w:val="single"/>
          <w:bdr w:val="none" w:sz="0" w:space="0" w:color="auto" w:frame="1"/>
          <w:lang w:eastAsia="es-VE"/>
        </w:rPr>
        <w:t>JUNTA DE CONDOMINIO DEL EDIFICIO “XXXXX”,</w:t>
      </w:r>
      <w:r w:rsidRPr="00A85C99">
        <w:rPr>
          <w:rFonts w:ascii="inherit" w:eastAsia="Times New Roman" w:hAnsi="inherit" w:cs="Times New Roman"/>
          <w:color w:val="333333"/>
          <w:sz w:val="21"/>
          <w:szCs w:val="21"/>
          <w:lang w:eastAsia="es-VE"/>
        </w:rPr>
        <w:t>  inmueble ubicado en:_____, </w:t>
      </w:r>
      <w:r w:rsidRPr="00A85C99">
        <w:rPr>
          <w:rFonts w:ascii="inherit" w:eastAsia="Times New Roman" w:hAnsi="inherit" w:cs="Times New Roman"/>
          <w:b/>
          <w:bCs/>
          <w:color w:val="333333"/>
          <w:sz w:val="21"/>
          <w:szCs w:val="21"/>
          <w:u w:val="single"/>
          <w:bdr w:val="none" w:sz="0" w:space="0" w:color="auto" w:frame="1"/>
          <w:lang w:eastAsia="es-VE"/>
        </w:rPr>
        <w:t xml:space="preserve">-condominio constituido según documento registrado ante la Oficina Subalterna del XXXXXX Circuito De Registro del Departamento Libertador del antes denominado Distrito Federal, hoy llamado Distrito Capital en fecha del XX (XX) </w:t>
      </w:r>
      <w:proofErr w:type="spellStart"/>
      <w:r w:rsidRPr="00A85C99">
        <w:rPr>
          <w:rFonts w:ascii="inherit" w:eastAsia="Times New Roman" w:hAnsi="inherit" w:cs="Times New Roman"/>
          <w:b/>
          <w:bCs/>
          <w:color w:val="333333"/>
          <w:sz w:val="21"/>
          <w:szCs w:val="21"/>
          <w:u w:val="single"/>
          <w:bdr w:val="none" w:sz="0" w:space="0" w:color="auto" w:frame="1"/>
          <w:lang w:eastAsia="es-VE"/>
        </w:rPr>
        <w:t>deXXXX</w:t>
      </w:r>
      <w:proofErr w:type="spellEnd"/>
      <w:r w:rsidRPr="00A85C99">
        <w:rPr>
          <w:rFonts w:ascii="inherit" w:eastAsia="Times New Roman" w:hAnsi="inherit" w:cs="Times New Roman"/>
          <w:b/>
          <w:bCs/>
          <w:color w:val="333333"/>
          <w:sz w:val="21"/>
          <w:szCs w:val="21"/>
          <w:u w:val="single"/>
          <w:bdr w:val="none" w:sz="0" w:space="0" w:color="auto" w:frame="1"/>
          <w:lang w:eastAsia="es-VE"/>
        </w:rPr>
        <w:t xml:space="preserve"> de mil novecientos XXXXXXX (XXXXX) bajo el numero: XX, </w:t>
      </w:r>
      <w:proofErr w:type="spellStart"/>
      <w:r w:rsidRPr="00A85C99">
        <w:rPr>
          <w:rFonts w:ascii="inherit" w:eastAsia="Times New Roman" w:hAnsi="inherit" w:cs="Times New Roman"/>
          <w:b/>
          <w:bCs/>
          <w:color w:val="333333"/>
          <w:sz w:val="21"/>
          <w:szCs w:val="21"/>
          <w:u w:val="single"/>
          <w:bdr w:val="none" w:sz="0" w:space="0" w:color="auto" w:frame="1"/>
          <w:lang w:eastAsia="es-VE"/>
        </w:rPr>
        <w:t>Protocolo:XX</w:t>
      </w:r>
      <w:proofErr w:type="spellEnd"/>
      <w:r w:rsidRPr="00A85C99">
        <w:rPr>
          <w:rFonts w:ascii="inherit" w:eastAsia="Times New Roman" w:hAnsi="inherit" w:cs="Times New Roman"/>
          <w:b/>
          <w:bCs/>
          <w:color w:val="333333"/>
          <w:sz w:val="21"/>
          <w:szCs w:val="21"/>
          <w:u w:val="single"/>
          <w:bdr w:val="none" w:sz="0" w:space="0" w:color="auto" w:frame="1"/>
          <w:lang w:eastAsia="es-VE"/>
        </w:rPr>
        <w:t xml:space="preserve">, Tomo: XX, anexo marcado con la letra ¨A¨ copia simple del Documento de Condominio del </w:t>
      </w:r>
      <w:proofErr w:type="spellStart"/>
      <w:r w:rsidRPr="00A85C99">
        <w:rPr>
          <w:rFonts w:ascii="inherit" w:eastAsia="Times New Roman" w:hAnsi="inherit" w:cs="Times New Roman"/>
          <w:b/>
          <w:bCs/>
          <w:color w:val="333333"/>
          <w:sz w:val="21"/>
          <w:szCs w:val="21"/>
          <w:u w:val="single"/>
          <w:bdr w:val="none" w:sz="0" w:space="0" w:color="auto" w:frame="1"/>
          <w:lang w:eastAsia="es-VE"/>
        </w:rPr>
        <w:t>edificioXXXXXXXX</w:t>
      </w:r>
      <w:proofErr w:type="spellEnd"/>
      <w:r w:rsidRPr="00A85C99">
        <w:rPr>
          <w:rFonts w:ascii="inherit" w:eastAsia="Times New Roman" w:hAnsi="inherit" w:cs="Times New Roman"/>
          <w:b/>
          <w:bCs/>
          <w:color w:val="333333"/>
          <w:sz w:val="21"/>
          <w:szCs w:val="21"/>
          <w:u w:val="single"/>
          <w:bdr w:val="none" w:sz="0" w:space="0" w:color="auto" w:frame="1"/>
          <w:lang w:eastAsia="es-VE"/>
        </w:rPr>
        <w:t>-; </w:t>
      </w:r>
      <w:r w:rsidRPr="00A85C99">
        <w:rPr>
          <w:rFonts w:ascii="inherit" w:eastAsia="Times New Roman" w:hAnsi="inherit" w:cs="Times New Roman"/>
          <w:color w:val="333333"/>
          <w:sz w:val="21"/>
          <w:szCs w:val="21"/>
          <w:lang w:eastAsia="es-VE"/>
        </w:rPr>
        <w:t> de conformidad con el  instrumento poder especial  autenticado ante la Notaria  Publica Vigésima Sexta del Municipio Libertador del Distrito Capital, en fecha del XXXXX (XXX) de octubre del año dos mil trece (2013) el cual quedó inserto bajo el No. XX, tomo XX, del libro de autenticaciones llevado por esa Notaria, cuya copia certificada marcada con la </w:t>
      </w:r>
      <w:r w:rsidRPr="00A85C99">
        <w:rPr>
          <w:rFonts w:ascii="inherit" w:eastAsia="Times New Roman" w:hAnsi="inherit" w:cs="Times New Roman"/>
          <w:b/>
          <w:bCs/>
          <w:color w:val="333333"/>
          <w:sz w:val="21"/>
          <w:szCs w:val="21"/>
          <w:u w:val="single"/>
          <w:bdr w:val="none" w:sz="0" w:space="0" w:color="auto" w:frame="1"/>
          <w:lang w:eastAsia="es-VE"/>
        </w:rPr>
        <w:t>letra “</w:t>
      </w:r>
      <w:proofErr w:type="spellStart"/>
      <w:r w:rsidRPr="00A85C99">
        <w:rPr>
          <w:rFonts w:ascii="inherit" w:eastAsia="Times New Roman" w:hAnsi="inherit" w:cs="Times New Roman"/>
          <w:b/>
          <w:bCs/>
          <w:color w:val="333333"/>
          <w:sz w:val="21"/>
          <w:szCs w:val="21"/>
          <w:u w:val="single"/>
          <w:bdr w:val="none" w:sz="0" w:space="0" w:color="auto" w:frame="1"/>
          <w:lang w:eastAsia="es-VE"/>
        </w:rPr>
        <w:t>B</w:t>
      </w:r>
      <w:r w:rsidRPr="00A85C99">
        <w:rPr>
          <w:rFonts w:ascii="inherit" w:eastAsia="Times New Roman" w:hAnsi="inherit" w:cs="Times New Roman"/>
          <w:b/>
          <w:bCs/>
          <w:color w:val="333333"/>
          <w:sz w:val="21"/>
          <w:szCs w:val="21"/>
          <w:bdr w:val="none" w:sz="0" w:space="0" w:color="auto" w:frame="1"/>
          <w:lang w:eastAsia="es-VE"/>
        </w:rPr>
        <w:t>”</w:t>
      </w:r>
      <w:r w:rsidRPr="00A85C99">
        <w:rPr>
          <w:rFonts w:ascii="inherit" w:eastAsia="Times New Roman" w:hAnsi="inherit" w:cs="Times New Roman"/>
          <w:color w:val="333333"/>
          <w:sz w:val="21"/>
          <w:szCs w:val="21"/>
          <w:lang w:eastAsia="es-VE"/>
        </w:rPr>
        <w:t>acompaño</w:t>
      </w:r>
      <w:proofErr w:type="spellEnd"/>
      <w:r w:rsidRPr="00A85C99">
        <w:rPr>
          <w:rFonts w:ascii="inherit" w:eastAsia="Times New Roman" w:hAnsi="inherit" w:cs="Times New Roman"/>
          <w:color w:val="333333"/>
          <w:sz w:val="21"/>
          <w:szCs w:val="21"/>
          <w:lang w:eastAsia="es-VE"/>
        </w:rPr>
        <w:t xml:space="preserve"> a este libelo, y que me ha otorgado dicha junta; en concordancia con lo dispuesto en el </w:t>
      </w:r>
      <w:r w:rsidRPr="00A85C99">
        <w:rPr>
          <w:rFonts w:ascii="inherit" w:eastAsia="Times New Roman" w:hAnsi="inherit" w:cs="Times New Roman"/>
          <w:b/>
          <w:bCs/>
          <w:color w:val="333333"/>
          <w:sz w:val="21"/>
          <w:szCs w:val="21"/>
          <w:u w:val="single"/>
          <w:bdr w:val="none" w:sz="0" w:space="0" w:color="auto" w:frame="1"/>
          <w:lang w:eastAsia="es-VE"/>
        </w:rPr>
        <w:t>artículo 20, literal “e” de la vigente Ley de Propiedad Horizontal;</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b/>
          <w:bCs/>
          <w:color w:val="333333"/>
          <w:sz w:val="21"/>
          <w:szCs w:val="21"/>
          <w:lang w:eastAsia="es-VE"/>
        </w:rPr>
        <w:t>(anexo marcado con la </w:t>
      </w:r>
      <w:r w:rsidRPr="00A85C99">
        <w:rPr>
          <w:rFonts w:ascii="inherit" w:eastAsia="Times New Roman" w:hAnsi="inherit" w:cs="Times New Roman"/>
          <w:b/>
          <w:bCs/>
          <w:color w:val="333333"/>
          <w:sz w:val="21"/>
          <w:szCs w:val="21"/>
          <w:bdr w:val="none" w:sz="0" w:space="0" w:color="auto" w:frame="1"/>
          <w:lang w:eastAsia="es-VE"/>
        </w:rPr>
        <w:t>letra ¨C¨</w:t>
      </w:r>
      <w:r w:rsidRPr="00A85C99">
        <w:rPr>
          <w:rFonts w:ascii="inherit" w:eastAsia="Times New Roman" w:hAnsi="inherit" w:cs="Times New Roman"/>
          <w:b/>
          <w:bCs/>
          <w:color w:val="333333"/>
          <w:sz w:val="21"/>
          <w:szCs w:val="21"/>
          <w:lang w:eastAsia="es-VE"/>
        </w:rPr>
        <w:t> copia simple del Acta No. XX del 2013, donde la Junta de Condominio señala los inmuebles cuyos propietarios serán objeto de acciones judiciales, </w:t>
      </w:r>
      <w:r w:rsidRPr="00A85C99">
        <w:rPr>
          <w:rFonts w:ascii="inherit" w:eastAsia="Times New Roman" w:hAnsi="inherit" w:cs="Times New Roman"/>
          <w:b/>
          <w:bCs/>
          <w:color w:val="333333"/>
          <w:sz w:val="21"/>
          <w:szCs w:val="21"/>
          <w:u w:val="single"/>
          <w:bdr w:val="none" w:sz="0" w:space="0" w:color="auto" w:frame="1"/>
          <w:lang w:eastAsia="es-VE"/>
        </w:rPr>
        <w:t>pidiéndole al funcionario receptor competente de este documento, que deje expresa constancia de haber tenido a la vista el acta original estampada en el Libro de Actas de la Junta de Condominio donde consta tal autorización);</w:t>
      </w:r>
      <w:r w:rsidRPr="00A85C99">
        <w:rPr>
          <w:rFonts w:ascii="inherit" w:eastAsia="Times New Roman" w:hAnsi="inherit" w:cs="Times New Roman"/>
          <w:color w:val="333333"/>
          <w:sz w:val="21"/>
          <w:szCs w:val="21"/>
          <w:lang w:eastAsia="es-VE"/>
        </w:rPr>
        <w:t>   mediante el presente escrito ocurro ante su competente autoridad </w:t>
      </w:r>
      <w:r w:rsidRPr="00A85C99">
        <w:rPr>
          <w:rFonts w:ascii="inherit" w:eastAsia="Times New Roman" w:hAnsi="inherit" w:cs="Times New Roman"/>
          <w:b/>
          <w:bCs/>
          <w:color w:val="333333"/>
          <w:sz w:val="21"/>
          <w:szCs w:val="21"/>
          <w:u w:val="single"/>
          <w:bdr w:val="none" w:sz="0" w:space="0" w:color="auto" w:frame="1"/>
          <w:lang w:eastAsia="es-VE"/>
        </w:rPr>
        <w:t>para demandar, como en efecto formalmente hago</w:t>
      </w:r>
      <w:r w:rsidRPr="00A85C99">
        <w:rPr>
          <w:rFonts w:ascii="inherit" w:eastAsia="Times New Roman" w:hAnsi="inherit" w:cs="Times New Roman"/>
          <w:color w:val="333333"/>
          <w:sz w:val="21"/>
          <w:szCs w:val="21"/>
          <w:lang w:eastAsia="es-VE"/>
        </w:rPr>
        <w:t> a: </w:t>
      </w:r>
      <w:proofErr w:type="spellStart"/>
      <w:r w:rsidRPr="00A85C99">
        <w:rPr>
          <w:rFonts w:ascii="inherit" w:eastAsia="Times New Roman" w:hAnsi="inherit" w:cs="Times New Roman"/>
          <w:b/>
          <w:bCs/>
          <w:color w:val="333333"/>
          <w:sz w:val="21"/>
          <w:szCs w:val="21"/>
          <w:lang w:eastAsia="es-VE"/>
        </w:rPr>
        <w:t>XXXXXXXXX,</w:t>
      </w:r>
      <w:r w:rsidRPr="00A85C99">
        <w:rPr>
          <w:rFonts w:ascii="inherit" w:eastAsia="Times New Roman" w:hAnsi="inherit" w:cs="Times New Roman"/>
          <w:color w:val="333333"/>
          <w:sz w:val="21"/>
          <w:szCs w:val="21"/>
          <w:lang w:eastAsia="es-VE"/>
        </w:rPr>
        <w:t>quien</w:t>
      </w:r>
      <w:proofErr w:type="spellEnd"/>
      <w:r w:rsidRPr="00A85C99">
        <w:rPr>
          <w:rFonts w:ascii="inherit" w:eastAsia="Times New Roman" w:hAnsi="inherit" w:cs="Times New Roman"/>
          <w:color w:val="333333"/>
          <w:sz w:val="21"/>
          <w:szCs w:val="21"/>
          <w:lang w:eastAsia="es-VE"/>
        </w:rPr>
        <w:t xml:space="preserve"> es titular de la Cédula de Identidad número: </w:t>
      </w:r>
      <w:r w:rsidRPr="00A85C99">
        <w:rPr>
          <w:rFonts w:ascii="inherit" w:eastAsia="Times New Roman" w:hAnsi="inherit" w:cs="Times New Roman"/>
          <w:b/>
          <w:bCs/>
          <w:color w:val="333333"/>
          <w:sz w:val="21"/>
          <w:szCs w:val="21"/>
          <w:lang w:eastAsia="es-VE"/>
        </w:rPr>
        <w:t>V- XXXXXX</w:t>
      </w:r>
      <w:r w:rsidRPr="00A85C99">
        <w:rPr>
          <w:rFonts w:ascii="inherit" w:eastAsia="Times New Roman" w:hAnsi="inherit" w:cs="Times New Roman"/>
          <w:color w:val="333333"/>
          <w:sz w:val="21"/>
          <w:szCs w:val="21"/>
          <w:lang w:eastAsia="es-VE"/>
        </w:rPr>
        <w:t>  en lo sucesivo denominada  aquí </w:t>
      </w:r>
      <w:r w:rsidRPr="00A85C99">
        <w:rPr>
          <w:rFonts w:ascii="inherit" w:eastAsia="Times New Roman" w:hAnsi="inherit" w:cs="Times New Roman"/>
          <w:b/>
          <w:bCs/>
          <w:color w:val="333333"/>
          <w:sz w:val="21"/>
          <w:szCs w:val="21"/>
          <w:bdr w:val="none" w:sz="0" w:space="0" w:color="auto" w:frame="1"/>
          <w:lang w:eastAsia="es-VE"/>
        </w:rPr>
        <w:t>LA DEMANDADA</w:t>
      </w:r>
      <w:r w:rsidRPr="00A85C99">
        <w:rPr>
          <w:rFonts w:ascii="inherit" w:eastAsia="Times New Roman" w:hAnsi="inherit" w:cs="Times New Roman"/>
          <w:color w:val="333333"/>
          <w:sz w:val="21"/>
          <w:szCs w:val="21"/>
          <w:lang w:eastAsia="es-VE"/>
        </w:rPr>
        <w:t>, dado su exclusivo carácter de única propietaria de un apartamento distinguido con las letras y números: </w:t>
      </w:r>
      <w:r w:rsidRPr="00A85C99">
        <w:rPr>
          <w:rFonts w:ascii="inherit" w:eastAsia="Times New Roman" w:hAnsi="inherit" w:cs="Times New Roman"/>
          <w:b/>
          <w:bCs/>
          <w:color w:val="333333"/>
          <w:sz w:val="21"/>
          <w:szCs w:val="21"/>
          <w:lang w:eastAsia="es-VE"/>
        </w:rPr>
        <w:t>“XXX-</w:t>
      </w:r>
      <w:r w:rsidRPr="00A85C99">
        <w:rPr>
          <w:rFonts w:ascii="inherit" w:eastAsia="Times New Roman" w:hAnsi="inherit" w:cs="Times New Roman"/>
          <w:b/>
          <w:bCs/>
          <w:color w:val="333333"/>
          <w:sz w:val="21"/>
          <w:szCs w:val="21"/>
          <w:lang w:eastAsia="es-VE"/>
        </w:rPr>
        <w:lastRenderedPageBreak/>
        <w:t>ZZZ”</w:t>
      </w:r>
      <w:r w:rsidRPr="00A85C99">
        <w:rPr>
          <w:rFonts w:ascii="inherit" w:eastAsia="Times New Roman" w:hAnsi="inherit" w:cs="Times New Roman"/>
          <w:color w:val="333333"/>
          <w:sz w:val="21"/>
          <w:szCs w:val="21"/>
          <w:lang w:eastAsia="es-VE"/>
        </w:rPr>
        <w:t>, situado   en el piso </w:t>
      </w:r>
      <w:r w:rsidRPr="00A85C99">
        <w:rPr>
          <w:rFonts w:ascii="inherit" w:eastAsia="Times New Roman" w:hAnsi="inherit" w:cs="Times New Roman"/>
          <w:b/>
          <w:bCs/>
          <w:color w:val="333333"/>
          <w:sz w:val="21"/>
          <w:szCs w:val="21"/>
          <w:lang w:eastAsia="es-VE"/>
        </w:rPr>
        <w:t>DIEZ  (10)</w:t>
      </w:r>
      <w:r w:rsidRPr="00A85C99">
        <w:rPr>
          <w:rFonts w:ascii="inherit" w:eastAsia="Times New Roman" w:hAnsi="inherit" w:cs="Times New Roman"/>
          <w:color w:val="333333"/>
          <w:sz w:val="21"/>
          <w:szCs w:val="21"/>
          <w:lang w:eastAsia="es-VE"/>
        </w:rPr>
        <w:t> del Edificio XXXXX,  con los siguientes linderos generales: </w:t>
      </w:r>
      <w:r w:rsidRPr="00A85C99">
        <w:rPr>
          <w:rFonts w:ascii="inherit" w:eastAsia="Times New Roman" w:hAnsi="inherit" w:cs="Times New Roman"/>
          <w:b/>
          <w:bCs/>
          <w:color w:val="333333"/>
          <w:sz w:val="21"/>
          <w:szCs w:val="21"/>
          <w:lang w:eastAsia="es-VE"/>
        </w:rPr>
        <w:t>NORTE</w:t>
      </w:r>
      <w:r w:rsidRPr="00A85C99">
        <w:rPr>
          <w:rFonts w:ascii="inherit" w:eastAsia="Times New Roman" w:hAnsi="inherit" w:cs="Times New Roman"/>
          <w:color w:val="333333"/>
          <w:sz w:val="21"/>
          <w:szCs w:val="21"/>
          <w:lang w:eastAsia="es-VE"/>
        </w:rPr>
        <w:t>: _______; </w:t>
      </w:r>
      <w:r w:rsidRPr="00A85C99">
        <w:rPr>
          <w:rFonts w:ascii="inherit" w:eastAsia="Times New Roman" w:hAnsi="inherit" w:cs="Times New Roman"/>
          <w:b/>
          <w:bCs/>
          <w:color w:val="333333"/>
          <w:sz w:val="21"/>
          <w:szCs w:val="21"/>
          <w:lang w:eastAsia="es-VE"/>
        </w:rPr>
        <w:t>SUR</w:t>
      </w:r>
      <w:r w:rsidRPr="00A85C99">
        <w:rPr>
          <w:rFonts w:ascii="inherit" w:eastAsia="Times New Roman" w:hAnsi="inherit" w:cs="Times New Roman"/>
          <w:color w:val="333333"/>
          <w:sz w:val="21"/>
          <w:szCs w:val="21"/>
          <w:lang w:eastAsia="es-VE"/>
        </w:rPr>
        <w:t>: ______; </w:t>
      </w:r>
      <w:r w:rsidRPr="00A85C99">
        <w:rPr>
          <w:rFonts w:ascii="inherit" w:eastAsia="Times New Roman" w:hAnsi="inherit" w:cs="Times New Roman"/>
          <w:b/>
          <w:bCs/>
          <w:color w:val="333333"/>
          <w:sz w:val="21"/>
          <w:szCs w:val="21"/>
          <w:lang w:eastAsia="es-VE"/>
        </w:rPr>
        <w:t>ESTE: </w:t>
      </w:r>
      <w:r w:rsidRPr="00A85C99">
        <w:rPr>
          <w:rFonts w:ascii="inherit" w:eastAsia="Times New Roman" w:hAnsi="inherit" w:cs="Times New Roman"/>
          <w:color w:val="333333"/>
          <w:sz w:val="21"/>
          <w:szCs w:val="21"/>
          <w:lang w:eastAsia="es-VE"/>
        </w:rPr>
        <w:t xml:space="preserve">apartamento </w:t>
      </w:r>
      <w:proofErr w:type="spellStart"/>
      <w:r w:rsidRPr="00A85C99">
        <w:rPr>
          <w:rFonts w:ascii="inherit" w:eastAsia="Times New Roman" w:hAnsi="inherit" w:cs="Times New Roman"/>
          <w:color w:val="333333"/>
          <w:sz w:val="21"/>
          <w:szCs w:val="21"/>
          <w:lang w:eastAsia="es-VE"/>
        </w:rPr>
        <w:t>numero</w:t>
      </w:r>
      <w:proofErr w:type="spellEnd"/>
      <w:r w:rsidRPr="00A85C99">
        <w:rPr>
          <w:rFonts w:ascii="inherit" w:eastAsia="Times New Roman" w:hAnsi="inherit" w:cs="Times New Roman"/>
          <w:color w:val="333333"/>
          <w:sz w:val="21"/>
          <w:szCs w:val="21"/>
          <w:lang w:eastAsia="es-VE"/>
        </w:rPr>
        <w:t xml:space="preserve"> XXX y </w:t>
      </w:r>
      <w:r w:rsidRPr="00A85C99">
        <w:rPr>
          <w:rFonts w:ascii="inherit" w:eastAsia="Times New Roman" w:hAnsi="inherit" w:cs="Times New Roman"/>
          <w:b/>
          <w:bCs/>
          <w:color w:val="333333"/>
          <w:sz w:val="21"/>
          <w:szCs w:val="21"/>
          <w:lang w:eastAsia="es-VE"/>
        </w:rPr>
        <w:t>OESTE:</w:t>
      </w:r>
      <w:r w:rsidRPr="00A85C99">
        <w:rPr>
          <w:rFonts w:ascii="inherit" w:eastAsia="Times New Roman" w:hAnsi="inherit" w:cs="Times New Roman"/>
          <w:color w:val="333333"/>
          <w:sz w:val="21"/>
          <w:szCs w:val="21"/>
          <w:lang w:eastAsia="es-VE"/>
        </w:rPr>
        <w:t xml:space="preserve"> apartamento </w:t>
      </w:r>
      <w:proofErr w:type="spellStart"/>
      <w:r w:rsidRPr="00A85C99">
        <w:rPr>
          <w:rFonts w:ascii="inherit" w:eastAsia="Times New Roman" w:hAnsi="inherit" w:cs="Times New Roman"/>
          <w:color w:val="333333"/>
          <w:sz w:val="21"/>
          <w:szCs w:val="21"/>
          <w:lang w:eastAsia="es-VE"/>
        </w:rPr>
        <w:t>numero</w:t>
      </w:r>
      <w:proofErr w:type="spellEnd"/>
      <w:r w:rsidRPr="00A85C99">
        <w:rPr>
          <w:rFonts w:ascii="inherit" w:eastAsia="Times New Roman" w:hAnsi="inherit" w:cs="Times New Roman"/>
          <w:color w:val="333333"/>
          <w:sz w:val="21"/>
          <w:szCs w:val="21"/>
          <w:lang w:eastAsia="es-VE"/>
        </w:rPr>
        <w:t xml:space="preserve"> XXXXX;   ya   antes  identificado, según documento de propiedad registrado según declaración especial numero ______, de fecha, XXXXX de noviembre de XXXXX, agregada al Cuaderno de Comprobante número XXXXX, folios: XXXX al XXXX del tercer trimestre de XXXXXX; y cuya copia certificada anexo a este escrito marcada con la</w:t>
      </w:r>
      <w:r w:rsidRPr="00A85C99">
        <w:rPr>
          <w:rFonts w:ascii="inherit" w:eastAsia="Times New Roman" w:hAnsi="inherit" w:cs="Times New Roman"/>
          <w:b/>
          <w:bCs/>
          <w:color w:val="333333"/>
          <w:sz w:val="21"/>
          <w:szCs w:val="21"/>
          <w:bdr w:val="none" w:sz="0" w:space="0" w:color="auto" w:frame="1"/>
          <w:lang w:eastAsia="es-VE"/>
        </w:rPr>
        <w:t> </w:t>
      </w:r>
      <w:r w:rsidRPr="00A85C99">
        <w:rPr>
          <w:rFonts w:ascii="inherit" w:eastAsia="Times New Roman" w:hAnsi="inherit" w:cs="Times New Roman"/>
          <w:b/>
          <w:bCs/>
          <w:color w:val="333333"/>
          <w:sz w:val="21"/>
          <w:szCs w:val="21"/>
          <w:u w:val="single"/>
          <w:bdr w:val="none" w:sz="0" w:space="0" w:color="auto" w:frame="1"/>
          <w:lang w:eastAsia="es-VE"/>
        </w:rPr>
        <w:t>letra “D”</w:t>
      </w:r>
      <w:r w:rsidRPr="00A85C99">
        <w:rPr>
          <w:rFonts w:ascii="inherit" w:eastAsia="Times New Roman" w:hAnsi="inherit" w:cs="Times New Roman"/>
          <w:color w:val="333333"/>
          <w:sz w:val="21"/>
          <w:szCs w:val="21"/>
          <w:lang w:eastAsia="es-VE"/>
        </w:rPr>
        <w:t>;  por las deudas en dinero, líquidas y exigibles contenidas en los </w:t>
      </w:r>
      <w:r w:rsidRPr="00A85C99">
        <w:rPr>
          <w:rFonts w:ascii="inherit" w:eastAsia="Times New Roman" w:hAnsi="inherit" w:cs="Times New Roman"/>
          <w:b/>
          <w:bCs/>
          <w:color w:val="333333"/>
          <w:sz w:val="21"/>
          <w:szCs w:val="21"/>
          <w:u w:val="single"/>
          <w:bdr w:val="none" w:sz="0" w:space="0" w:color="auto" w:frame="1"/>
          <w:lang w:eastAsia="es-VE"/>
        </w:rPr>
        <w:t>títulos ejecutivos</w:t>
      </w:r>
      <w:r w:rsidRPr="00A85C99">
        <w:rPr>
          <w:rFonts w:ascii="inherit" w:eastAsia="Times New Roman" w:hAnsi="inherit" w:cs="Times New Roman"/>
          <w:color w:val="333333"/>
          <w:sz w:val="21"/>
          <w:szCs w:val="21"/>
          <w:lang w:eastAsia="es-VE"/>
        </w:rPr>
        <w:t>(facturas mensuales de condominio) no pagadas a la comunidad de copropietarios que legalmente representa mi mandante, por concepto de los gastos comunes y no comunes inherentes a  dicho  apartamento, de acuerdo a la distribución según alícuota establecida  en  el  Documento  de Condominio del citado conjunto residencial y que están reflejadas en las facturas de condominio que más abajo se relacionan y acompañan a este instrumento. Anexo marcada con la serie de la  </w:t>
      </w:r>
      <w:r w:rsidRPr="00A85C99">
        <w:rPr>
          <w:rFonts w:ascii="inherit" w:eastAsia="Times New Roman" w:hAnsi="inherit" w:cs="Times New Roman"/>
          <w:b/>
          <w:bCs/>
          <w:color w:val="333333"/>
          <w:sz w:val="21"/>
          <w:szCs w:val="21"/>
          <w:u w:val="single"/>
          <w:bdr w:val="none" w:sz="0" w:space="0" w:color="auto" w:frame="1"/>
          <w:lang w:eastAsia="es-VE"/>
        </w:rPr>
        <w:t>letra “E”</w:t>
      </w:r>
      <w:r w:rsidRPr="00A85C99">
        <w:rPr>
          <w:rFonts w:ascii="inherit" w:eastAsia="Times New Roman" w:hAnsi="inherit" w:cs="Times New Roman"/>
          <w:color w:val="333333"/>
          <w:sz w:val="21"/>
          <w:szCs w:val="21"/>
          <w:lang w:eastAsia="es-VE"/>
        </w:rPr>
        <w:t>, las planillas de liquidación de gastos comunes o recibos de condominios que se encuentran vencidos y que no ha pagado la parte que aquí se demanda. Señor Juez, los fundamentos jurídicos de esta acción podrá verlos en el </w:t>
      </w:r>
      <w:r w:rsidRPr="00A85C99">
        <w:rPr>
          <w:rFonts w:ascii="inherit" w:eastAsia="Times New Roman" w:hAnsi="inherit" w:cs="Times New Roman"/>
          <w:b/>
          <w:bCs/>
          <w:color w:val="333333"/>
          <w:sz w:val="21"/>
          <w:szCs w:val="21"/>
          <w:lang w:eastAsia="es-VE"/>
        </w:rPr>
        <w:t>Capítulo II</w:t>
      </w:r>
      <w:r>
        <w:rPr>
          <w:rFonts w:ascii="inherit" w:eastAsia="Times New Roman" w:hAnsi="inherit" w:cs="Times New Roman"/>
          <w:b/>
          <w:bCs/>
          <w:color w:val="333333"/>
          <w:sz w:val="21"/>
          <w:szCs w:val="21"/>
          <w:lang w:eastAsia="es-VE"/>
        </w:rPr>
        <w:t xml:space="preserve"> </w:t>
      </w:r>
      <w:r w:rsidRPr="00A85C99">
        <w:rPr>
          <w:rFonts w:ascii="inherit" w:eastAsia="Times New Roman" w:hAnsi="inherit" w:cs="Times New Roman"/>
          <w:color w:val="333333"/>
          <w:sz w:val="21"/>
          <w:szCs w:val="21"/>
          <w:lang w:eastAsia="es-VE"/>
        </w:rPr>
        <w:t>del presente escrito y en consecuencia, a continuación le presento la estructura de los argumentos tanto de los hechos como del derecho, así como la síntesis de los petitorios que espero me sean acordados oportunamente y que se resumen de la siguiente forma, a saber:</w:t>
      </w:r>
    </w:p>
    <w:p w:rsidR="00A85C99" w:rsidRPr="00A85C99" w:rsidRDefault="00A85C99" w:rsidP="00A85C99">
      <w:pPr>
        <w:shd w:val="clear" w:color="auto" w:fill="FFFFFF"/>
        <w:spacing w:after="0" w:line="420" w:lineRule="atLeast"/>
        <w:ind w:left="282"/>
        <w:jc w:val="center"/>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8"/>
          <w:szCs w:val="28"/>
          <w:bdr w:val="none" w:sz="0" w:space="0" w:color="auto" w:frame="1"/>
          <w:lang w:eastAsia="es-VE"/>
        </w:rPr>
        <w:t>      </w:t>
      </w:r>
      <w:r w:rsidRPr="00A85C99">
        <w:rPr>
          <w:rFonts w:ascii="inherit" w:eastAsia="Times New Roman" w:hAnsi="inherit" w:cs="Times New Roman"/>
          <w:b/>
          <w:bCs/>
          <w:color w:val="333333"/>
          <w:sz w:val="21"/>
          <w:szCs w:val="21"/>
          <w:u w:val="single"/>
          <w:bdr w:val="none" w:sz="0" w:space="0" w:color="auto" w:frame="1"/>
          <w:lang w:eastAsia="es-VE"/>
        </w:rPr>
        <w:t>CAPÍTULO I: DE LOS HECHOS</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Mi representada, Junta de Condominio del Edificio </w:t>
      </w:r>
      <w:r w:rsidRPr="00A85C99">
        <w:rPr>
          <w:rFonts w:ascii="inherit" w:eastAsia="Times New Roman" w:hAnsi="inherit" w:cs="Times New Roman"/>
          <w:b/>
          <w:bCs/>
          <w:color w:val="333333"/>
          <w:sz w:val="21"/>
          <w:szCs w:val="21"/>
          <w:lang w:eastAsia="es-VE"/>
        </w:rPr>
        <w:t>XXXX</w:t>
      </w:r>
      <w:r w:rsidRPr="00A85C99">
        <w:rPr>
          <w:rFonts w:ascii="inherit" w:eastAsia="Times New Roman" w:hAnsi="inherit" w:cs="Times New Roman"/>
          <w:color w:val="333333"/>
          <w:sz w:val="21"/>
          <w:szCs w:val="21"/>
          <w:lang w:eastAsia="es-VE"/>
        </w:rPr>
        <w:t>, representante legal de la comunidad de copropietarios y ente que me ha habilitado como su apoderado judicial, conforme a lo antes indicado, es la legítima acreedora  de los gastos comunes imputables al(la)</w:t>
      </w:r>
      <w:r>
        <w:rPr>
          <w:rFonts w:ascii="inherit" w:eastAsia="Times New Roman" w:hAnsi="inherit" w:cs="Times New Roman"/>
          <w:color w:val="333333"/>
          <w:sz w:val="21"/>
          <w:szCs w:val="21"/>
          <w:lang w:eastAsia="es-VE"/>
        </w:rPr>
        <w:t xml:space="preserve"> </w:t>
      </w:r>
      <w:r w:rsidRPr="00A85C99">
        <w:rPr>
          <w:rFonts w:ascii="inherit" w:eastAsia="Times New Roman" w:hAnsi="inherit" w:cs="Times New Roman"/>
          <w:b/>
          <w:bCs/>
          <w:color w:val="333333"/>
          <w:sz w:val="21"/>
          <w:szCs w:val="21"/>
          <w:bdr w:val="none" w:sz="0" w:space="0" w:color="auto" w:frame="1"/>
          <w:lang w:eastAsia="es-VE"/>
        </w:rPr>
        <w:t>DEMANDADO(A) </w:t>
      </w:r>
      <w:r w:rsidRPr="00A85C99">
        <w:rPr>
          <w:rFonts w:ascii="inherit" w:eastAsia="Times New Roman" w:hAnsi="inherit" w:cs="Times New Roman"/>
          <w:color w:val="333333"/>
          <w:sz w:val="21"/>
          <w:szCs w:val="21"/>
          <w:lang w:eastAsia="es-VE"/>
        </w:rPr>
        <w:t> por ser los mismos una obligación que sigue al inmueble de su propiedad</w:t>
      </w:r>
      <w:r>
        <w:rPr>
          <w:rFonts w:ascii="inherit" w:eastAsia="Times New Roman" w:hAnsi="inherit" w:cs="Times New Roman"/>
          <w:color w:val="333333"/>
          <w:sz w:val="21"/>
          <w:szCs w:val="21"/>
          <w:lang w:eastAsia="es-VE"/>
        </w:rPr>
        <w:t xml:space="preserve"> </w:t>
      </w:r>
      <w:r w:rsidRPr="00A85C99">
        <w:rPr>
          <w:rFonts w:ascii="inherit" w:eastAsia="Times New Roman" w:hAnsi="inherit" w:cs="Times New Roman"/>
          <w:b/>
          <w:bCs/>
          <w:color w:val="333333"/>
          <w:sz w:val="21"/>
          <w:szCs w:val="21"/>
          <w:lang w:eastAsia="es-VE"/>
        </w:rPr>
        <w:t xml:space="preserve">(obligación </w:t>
      </w:r>
      <w:proofErr w:type="spellStart"/>
      <w:r w:rsidRPr="00A85C99">
        <w:rPr>
          <w:rFonts w:ascii="inherit" w:eastAsia="Times New Roman" w:hAnsi="inherit" w:cs="Times New Roman"/>
          <w:b/>
          <w:bCs/>
          <w:color w:val="333333"/>
          <w:sz w:val="21"/>
          <w:szCs w:val="21"/>
          <w:lang w:eastAsia="es-VE"/>
        </w:rPr>
        <w:t>própter</w:t>
      </w:r>
      <w:proofErr w:type="spellEnd"/>
      <w:r w:rsidRPr="00A85C99">
        <w:rPr>
          <w:rFonts w:ascii="inherit" w:eastAsia="Times New Roman" w:hAnsi="inherit" w:cs="Times New Roman"/>
          <w:b/>
          <w:bCs/>
          <w:color w:val="333333"/>
          <w:sz w:val="21"/>
          <w:szCs w:val="21"/>
          <w:lang w:eastAsia="es-VE"/>
        </w:rPr>
        <w:t xml:space="preserve"> rem)</w:t>
      </w:r>
      <w:r w:rsidRPr="00A85C99">
        <w:rPr>
          <w:rFonts w:ascii="inherit" w:eastAsia="Times New Roman" w:hAnsi="inherit" w:cs="Times New Roman"/>
          <w:color w:val="333333"/>
          <w:sz w:val="21"/>
          <w:szCs w:val="21"/>
          <w:lang w:eastAsia="es-VE"/>
        </w:rPr>
        <w:t> y que no han sido pagados, a pesar de que la administradora del inmueble en varias ocasiones  le ha  requerido extrajudicialmente su pago. Siendo una obligación de todo propietario  pagar oportuna y voluntariamente sus obligaciones con el Condominio</w:t>
      </w:r>
      <w:r w:rsidRPr="00A85C99">
        <w:rPr>
          <w:rFonts w:ascii="inherit" w:eastAsia="Times New Roman" w:hAnsi="inherit" w:cs="Times New Roman"/>
          <w:b/>
          <w:bCs/>
          <w:color w:val="333333"/>
          <w:sz w:val="21"/>
          <w:szCs w:val="21"/>
          <w:lang w:eastAsia="es-VE"/>
        </w:rPr>
        <w:t>, no existe motivo alguno por no haber pagado a tiempo su deuda que ahora aquí se le reclama, según la relación de facturas insolutas que a continuación y que se presentan en la </w:t>
      </w:r>
      <w:r w:rsidRPr="00A85C99">
        <w:rPr>
          <w:rFonts w:ascii="inherit" w:eastAsia="Times New Roman" w:hAnsi="inherit" w:cs="Times New Roman"/>
          <w:b/>
          <w:bCs/>
          <w:color w:val="333333"/>
          <w:sz w:val="21"/>
          <w:szCs w:val="21"/>
          <w:u w:val="single"/>
          <w:bdr w:val="none" w:sz="0" w:space="0" w:color="auto" w:frame="1"/>
          <w:lang w:eastAsia="es-VE"/>
        </w:rPr>
        <w:t>siguiente tabla</w:t>
      </w:r>
      <w:r w:rsidRPr="00A85C99">
        <w:rPr>
          <w:rFonts w:ascii="inherit" w:eastAsia="Times New Roman" w:hAnsi="inherit" w:cs="Times New Roman"/>
          <w:b/>
          <w:bCs/>
          <w:color w:val="333333"/>
          <w:sz w:val="21"/>
          <w:szCs w:val="21"/>
          <w:lang w:eastAsia="es-VE"/>
        </w:rPr>
        <w:t>, la cual contiene los montos debidos  por el propietario por cada mes; los intereses legales que cada mes individualmente  considerado ha generado (observando que el recibo de condominio se vence a partir del mes siguiente de su emisión); la sumatoria del capital adeudado y sus intereses</w:t>
      </w:r>
      <w:r w:rsidRPr="00A85C99">
        <w:rPr>
          <w:rFonts w:ascii="inherit" w:eastAsia="Times New Roman" w:hAnsi="inherit" w:cs="Times New Roman"/>
          <w:color w:val="333333"/>
          <w:sz w:val="21"/>
          <w:szCs w:val="21"/>
          <w:lang w:eastAsia="es-VE"/>
        </w:rPr>
        <w:t>; en la forma que seguidamente se señala, a saber:</w:t>
      </w:r>
    </w:p>
    <w:tbl>
      <w:tblPr>
        <w:tblW w:w="10527" w:type="dxa"/>
        <w:tblInd w:w="5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670"/>
        <w:gridCol w:w="1777"/>
        <w:gridCol w:w="1740"/>
        <w:gridCol w:w="1600"/>
        <w:gridCol w:w="1300"/>
        <w:gridCol w:w="1480"/>
        <w:gridCol w:w="960"/>
      </w:tblGrid>
      <w:tr w:rsidR="00A85C99" w:rsidRPr="00A85C99" w:rsidTr="00A85C99">
        <w:trPr>
          <w:trHeight w:val="330"/>
        </w:trPr>
        <w:tc>
          <w:tcPr>
            <w:tcW w:w="3447" w:type="dxa"/>
            <w:gridSpan w:val="2"/>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XXXXXXXXX</w:t>
            </w:r>
            <w:r w:rsidRPr="00A85C99">
              <w:rPr>
                <w:rFonts w:ascii="inherit" w:eastAsia="Times New Roman" w:hAnsi="inherit" w:cs="Times New Roman"/>
                <w:b/>
                <w:bCs/>
                <w:color w:val="000000"/>
                <w:sz w:val="21"/>
                <w:szCs w:val="21"/>
                <w:bdr w:val="none" w:sz="0" w:space="0" w:color="auto" w:frame="1"/>
                <w:lang w:eastAsia="es-VE"/>
              </w:rPr>
              <w:br/>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600" w:type="dxa"/>
            <w:tcBorders>
              <w:top w:val="single" w:sz="8" w:space="0" w:color="auto"/>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w:t>
            </w:r>
          </w:p>
        </w:tc>
        <w:tc>
          <w:tcPr>
            <w:tcW w:w="1300" w:type="dxa"/>
            <w:tcBorders>
              <w:top w:val="single" w:sz="8" w:space="0" w:color="auto"/>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w:t>
            </w:r>
          </w:p>
        </w:tc>
        <w:tc>
          <w:tcPr>
            <w:tcW w:w="1480" w:type="dxa"/>
            <w:tcBorders>
              <w:top w:val="single" w:sz="8" w:space="0" w:color="auto"/>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lastRenderedPageBreak/>
              <w:t>C. I. Nº.</w:t>
            </w:r>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r w:rsidRPr="00A85C99">
              <w:rPr>
                <w:rFonts w:ascii="inherit" w:eastAsia="Times New Roman" w:hAnsi="inherit" w:cs="Times New Roman"/>
                <w:sz w:val="21"/>
                <w:szCs w:val="21"/>
                <w:lang w:eastAsia="es-VE"/>
              </w:rPr>
              <w:t>123456</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c>
          <w:tcPr>
            <w:tcW w:w="16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13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1480" w:type="dxa"/>
            <w:tcBorders>
              <w:top w:val="single" w:sz="8" w:space="0" w:color="auto"/>
              <w:left w:val="nil"/>
              <w:bottom w:val="single" w:sz="8" w:space="0" w:color="auto"/>
              <w:right w:val="nil"/>
            </w:tcBorders>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r>
      <w:tr w:rsidR="00A85C99" w:rsidRPr="00A85C99" w:rsidTr="00A85C99">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xml:space="preserve">APTO. </w:t>
            </w:r>
            <w:proofErr w:type="spellStart"/>
            <w:r w:rsidRPr="00A85C99">
              <w:rPr>
                <w:rFonts w:ascii="inherit" w:eastAsia="Times New Roman" w:hAnsi="inherit" w:cs="Times New Roman"/>
                <w:b/>
                <w:bCs/>
                <w:color w:val="000000"/>
                <w:sz w:val="21"/>
                <w:szCs w:val="21"/>
                <w:bdr w:val="none" w:sz="0" w:space="0" w:color="auto" w:frame="1"/>
                <w:lang w:eastAsia="es-VE"/>
              </w:rPr>
              <w:t>Nº.XXXXX</w:t>
            </w:r>
            <w:proofErr w:type="spellEnd"/>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30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1215"/>
        </w:trPr>
        <w:tc>
          <w:tcPr>
            <w:tcW w:w="167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No. Recibos</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Mes de Emisión</w:t>
            </w:r>
          </w:p>
        </w:tc>
        <w:tc>
          <w:tcPr>
            <w:tcW w:w="17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Monto en Bolívares debidos (Deuda)</w:t>
            </w:r>
          </w:p>
        </w:tc>
        <w:tc>
          <w:tcPr>
            <w:tcW w:w="16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Meses vencidos al 31 oct 2013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proofErr w:type="spellStart"/>
            <w:r w:rsidRPr="00A85C99">
              <w:rPr>
                <w:rFonts w:ascii="inherit" w:eastAsia="Times New Roman" w:hAnsi="inherit" w:cs="Times New Roman"/>
                <w:b/>
                <w:bCs/>
                <w:color w:val="000000"/>
                <w:sz w:val="21"/>
                <w:szCs w:val="21"/>
                <w:bdr w:val="none" w:sz="0" w:space="0" w:color="auto" w:frame="1"/>
                <w:lang w:eastAsia="es-VE"/>
              </w:rPr>
              <w:t>Interes</w:t>
            </w:r>
            <w:proofErr w:type="spellEnd"/>
            <w:r w:rsidRPr="00A85C99">
              <w:rPr>
                <w:rFonts w:ascii="inherit" w:eastAsia="Times New Roman" w:hAnsi="inherit" w:cs="Times New Roman"/>
                <w:b/>
                <w:bCs/>
                <w:color w:val="000000"/>
                <w:sz w:val="21"/>
                <w:szCs w:val="21"/>
                <w:bdr w:val="none" w:sz="0" w:space="0" w:color="auto" w:frame="1"/>
                <w:lang w:eastAsia="es-VE"/>
              </w:rPr>
              <w:t xml:space="preserve"> Legal (3% Anual) Art.1746 CCV en Bolívares</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Sumatoria deuda e Intereses en Bolívares</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1777"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1740" w:type="dxa"/>
            <w:tcBorders>
              <w:top w:val="single" w:sz="6" w:space="0" w:color="E7E7E7"/>
              <w:left w:val="nil"/>
              <w:bottom w:val="nil"/>
              <w:right w:val="nil"/>
            </w:tcBorders>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c>
          <w:tcPr>
            <w:tcW w:w="1600" w:type="dxa"/>
            <w:tcBorders>
              <w:top w:val="nil"/>
              <w:left w:val="single" w:sz="8" w:space="0" w:color="auto"/>
              <w:bottom w:val="nil"/>
              <w:right w:val="nil"/>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46</w:t>
            </w:r>
          </w:p>
        </w:tc>
        <w:tc>
          <w:tcPr>
            <w:tcW w:w="130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w:t>
            </w:r>
          </w:p>
        </w:tc>
        <w:tc>
          <w:tcPr>
            <w:tcW w:w="1480" w:type="dxa"/>
            <w:tcBorders>
              <w:top w:val="single" w:sz="6" w:space="0" w:color="E7E7E7"/>
              <w:left w:val="nil"/>
              <w:bottom w:val="nil"/>
              <w:right w:val="nil"/>
            </w:tcBorders>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Times New Roman" w:eastAsia="Times New Roman" w:hAnsi="Times New Roman" w:cs="Times New Roman"/>
                <w:sz w:val="20"/>
                <w:szCs w:val="20"/>
                <w:lang w:eastAsia="es-VE"/>
              </w:rPr>
            </w:pPr>
          </w:p>
        </w:tc>
      </w:tr>
      <w:tr w:rsidR="00A85C99" w:rsidRPr="00A85C99" w:rsidTr="00A85C99">
        <w:trPr>
          <w:trHeight w:val="315"/>
        </w:trPr>
        <w:tc>
          <w:tcPr>
            <w:tcW w:w="167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w:t>
            </w:r>
          </w:p>
        </w:tc>
        <w:tc>
          <w:tcPr>
            <w:tcW w:w="177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DIC. / 2009</w:t>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200,97</w:t>
            </w:r>
          </w:p>
        </w:tc>
        <w:tc>
          <w:tcPr>
            <w:tcW w:w="16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23,11</w:t>
            </w:r>
          </w:p>
        </w:tc>
        <w:tc>
          <w:tcPr>
            <w:tcW w:w="148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224,08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ENERO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191,35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45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21,53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212,88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FEBRERO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197,95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21,77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219,72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MARZO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165,78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17,82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183,60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ABRIL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248,80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26,12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274,92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MAYO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243,17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268,09</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JUNIO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203,21</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20,32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223,53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JULIO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248,63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24,24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272,87</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AGOSTO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246,67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23,43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270,10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SEPT.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210,37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229,83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OCT.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257,45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280,62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NOV.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281,43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24,63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306,06</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DIC.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273,98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23,29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297,27</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ENERO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310,24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25,59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335,83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FEBRERO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324,34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25,95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350,29</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MARZO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304,18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23,57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327,75</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ABRIL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317,53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23,81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341,34</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MAYO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346,22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25,10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371,32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JUNIO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343,82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24,07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367,89</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JULIO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351,20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23,71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374,91</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AGOSTO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305,28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19,84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325,12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SEPT.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327,48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347,95</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OCT.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324,64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19,48</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344,12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NOV.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341,68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19,65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361,33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DIC.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346,43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19,05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365,48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ENERO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279,34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14,67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294,01</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FEBRERO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350,82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17,54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368,36</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MARZO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419,27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19,92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439,19</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ABRIL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730,32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32,86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763,18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MAYO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479,79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20,39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500,18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lastRenderedPageBreak/>
              <w:t>31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JUNIO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465,50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18,62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484,12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JULIO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426,89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16,01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442,90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AGOSTO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591,22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20,69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611,91</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SEPT.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574,39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18,67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593,06</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OCT.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593,02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17,79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610,81</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NOV.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390,48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10,74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401,22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DIC.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566,66</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14,17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580,83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ENERO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614,75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13,83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628,58</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FEBRERO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575,00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11,50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586,50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MARZO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625,77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10,95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636,72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ABRIL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601,80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9,03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610,83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MAYO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688,48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8,61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697,09</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JUNIO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735,54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7,36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742,90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JULIO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861,77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6,46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868,23</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AGOSTO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493,30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2,47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495,77</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SEPT.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559,50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1,40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560,90</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330"/>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47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OCT.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812,72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  </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color w:val="000000"/>
                <w:sz w:val="21"/>
                <w:szCs w:val="21"/>
                <w:bdr w:val="none" w:sz="0" w:space="0" w:color="auto" w:frame="1"/>
                <w:lang w:eastAsia="es-VE"/>
              </w:rPr>
              <w:t>           812,72</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r w:rsidR="00A85C99" w:rsidRPr="00A85C99" w:rsidTr="00A85C99">
        <w:trPr>
          <w:trHeight w:val="765"/>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TOTALES</w:t>
            </w:r>
          </w:p>
        </w:tc>
        <w:tc>
          <w:tcPr>
            <w:tcW w:w="1777" w:type="dxa"/>
            <w:tcBorders>
              <w:top w:val="nil"/>
              <w:left w:val="single" w:sz="8" w:space="0" w:color="auto"/>
              <w:bottom w:val="single" w:sz="8" w:space="0" w:color="auto"/>
              <w:right w:val="nil"/>
            </w:tcBorders>
            <w:tcMar>
              <w:top w:w="0" w:type="dxa"/>
              <w:left w:w="70" w:type="dxa"/>
              <w:bottom w:w="0" w:type="dxa"/>
              <w:right w:w="70" w:type="dxa"/>
            </w:tcMar>
            <w:vAlign w:val="bottom"/>
            <w:hideMark/>
          </w:tcPr>
          <w:p w:rsidR="00A85C99" w:rsidRPr="00A85C99" w:rsidRDefault="00A85C99" w:rsidP="00A85C99">
            <w:pPr>
              <w:spacing w:after="0" w:line="240" w:lineRule="auto"/>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Bs     19.349,13</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w:t>
            </w:r>
          </w:p>
        </w:tc>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85C99" w:rsidRPr="00A85C99" w:rsidRDefault="00A85C99" w:rsidP="00A85C99">
            <w:pPr>
              <w:spacing w:after="0" w:line="240" w:lineRule="auto"/>
              <w:jc w:val="center"/>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857,78</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A85C99" w:rsidRPr="00A85C99" w:rsidRDefault="00A85C99" w:rsidP="00A85C99">
            <w:pPr>
              <w:spacing w:after="0" w:line="240" w:lineRule="auto"/>
              <w:jc w:val="right"/>
              <w:textAlignment w:val="baseline"/>
              <w:rPr>
                <w:rFonts w:ascii="inherit" w:eastAsia="Times New Roman" w:hAnsi="inherit" w:cs="Times New Roman"/>
                <w:sz w:val="21"/>
                <w:szCs w:val="21"/>
                <w:lang w:eastAsia="es-VE"/>
              </w:rPr>
            </w:pPr>
            <w:r w:rsidRPr="00A85C99">
              <w:rPr>
                <w:rFonts w:ascii="inherit" w:eastAsia="Times New Roman" w:hAnsi="inherit" w:cs="Times New Roman"/>
                <w:b/>
                <w:bCs/>
                <w:color w:val="000000"/>
                <w:sz w:val="21"/>
                <w:szCs w:val="21"/>
                <w:bdr w:val="none" w:sz="0" w:space="0" w:color="auto" w:frame="1"/>
                <w:lang w:eastAsia="es-VE"/>
              </w:rPr>
              <w:t>      20.206,91</w:t>
            </w:r>
          </w:p>
        </w:tc>
        <w:tc>
          <w:tcPr>
            <w:tcW w:w="960" w:type="dxa"/>
            <w:tcBorders>
              <w:top w:val="single" w:sz="6" w:space="0" w:color="E7E7E7"/>
              <w:left w:val="nil"/>
              <w:bottom w:val="nil"/>
              <w:right w:val="nil"/>
            </w:tcBorders>
            <w:noWrap/>
            <w:tcMar>
              <w:top w:w="0" w:type="dxa"/>
              <w:left w:w="70" w:type="dxa"/>
              <w:bottom w:w="0" w:type="dxa"/>
              <w:right w:w="70" w:type="dxa"/>
            </w:tcMar>
            <w:vAlign w:val="bottom"/>
            <w:hideMark/>
          </w:tcPr>
          <w:p w:rsidR="00A85C99" w:rsidRPr="00A85C99" w:rsidRDefault="00A85C99" w:rsidP="00A85C99">
            <w:pPr>
              <w:spacing w:after="0" w:line="240" w:lineRule="auto"/>
              <w:rPr>
                <w:rFonts w:ascii="inherit" w:eastAsia="Times New Roman" w:hAnsi="inherit" w:cs="Times New Roman"/>
                <w:sz w:val="21"/>
                <w:szCs w:val="21"/>
                <w:lang w:eastAsia="es-VE"/>
              </w:rPr>
            </w:pPr>
          </w:p>
        </w:tc>
      </w:tr>
    </w:tbl>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4"/>
          <w:szCs w:val="24"/>
          <w:u w:val="single"/>
          <w:bdr w:val="none" w:sz="0" w:space="0" w:color="auto" w:frame="1"/>
          <w:lang w:eastAsia="es-VE"/>
        </w:rPr>
        <w:t>CAPÍTULO II: DEL DERECHO</w:t>
      </w:r>
    </w:p>
    <w:p w:rsidR="00A85C99" w:rsidRPr="00A85C99" w:rsidRDefault="00A85C99" w:rsidP="00A85C99">
      <w:pPr>
        <w:shd w:val="clear" w:color="auto" w:fill="FFFFFF"/>
        <w:spacing w:after="0" w:line="420" w:lineRule="atLeast"/>
        <w:ind w:left="1065" w:hanging="36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1)</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u w:val="single"/>
          <w:bdr w:val="none" w:sz="0" w:space="0" w:color="auto" w:frame="1"/>
          <w:lang w:eastAsia="es-VE"/>
        </w:rPr>
        <w:t>Del Derecho Constitucional</w:t>
      </w:r>
      <w:r w:rsidRPr="00A85C99">
        <w:rPr>
          <w:rFonts w:ascii="inherit" w:eastAsia="Times New Roman" w:hAnsi="inherit" w:cs="Times New Roman"/>
          <w:b/>
          <w:bCs/>
          <w:color w:val="333333"/>
          <w:sz w:val="21"/>
          <w:szCs w:val="21"/>
          <w:lang w:eastAsia="es-VE"/>
        </w:rPr>
        <w:t>:</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1.1)</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u w:val="single"/>
          <w:bdr w:val="none" w:sz="0" w:space="0" w:color="auto" w:frame="1"/>
          <w:lang w:eastAsia="es-VE"/>
        </w:rPr>
        <w:t>Del acceso a la justicia</w:t>
      </w:r>
      <w:r w:rsidRPr="00A85C99">
        <w:rPr>
          <w:rFonts w:ascii="inherit" w:eastAsia="Times New Roman" w:hAnsi="inherit" w:cs="Times New Roman"/>
          <w:b/>
          <w:bCs/>
          <w:color w:val="333333"/>
          <w:sz w:val="21"/>
          <w:szCs w:val="21"/>
          <w:lang w:eastAsia="es-VE"/>
        </w:rPr>
        <w:t>: </w:t>
      </w:r>
      <w:r w:rsidRPr="00A85C99">
        <w:rPr>
          <w:rFonts w:ascii="inherit" w:eastAsia="Times New Roman" w:hAnsi="inherit" w:cs="Times New Roman"/>
          <w:color w:val="333333"/>
          <w:sz w:val="21"/>
          <w:szCs w:val="21"/>
          <w:lang w:eastAsia="es-VE"/>
        </w:rPr>
        <w:t>el artículo 26 de la Constitución de la República Bolivariana de Venezuela publicada según Gaceta Oficial No. 5.453 del 24 de marzo del año 2000 dispone lo siguiente: </w:t>
      </w:r>
      <w:r w:rsidRPr="00A85C99">
        <w:rPr>
          <w:rFonts w:ascii="inherit" w:eastAsia="Times New Roman" w:hAnsi="inherit" w:cs="Times New Roman"/>
          <w:b/>
          <w:bCs/>
          <w:color w:val="333333"/>
          <w:sz w:val="21"/>
          <w:szCs w:val="21"/>
          <w:lang w:eastAsia="es-VE"/>
        </w:rPr>
        <w:t>“Toda persona tiene derecho de acceso a los órganos de administración de justicia para hacer valer sus derechos e intereses, incluso los colectivos o difusos; a la tutela efectiva de los mismos y a obtener con prontitud la decisión correspondiente.</w:t>
      </w:r>
    </w:p>
    <w:p w:rsidR="00A85C99" w:rsidRPr="00A85C99" w:rsidRDefault="00A85C99" w:rsidP="00A85C99">
      <w:pPr>
        <w:shd w:val="clear" w:color="auto" w:fill="FFFFFF"/>
        <w:spacing w:after="343"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El Estado garantizará una justicia gratuita, accesible, imparcial, idónea, transparente, autónoma, independiente, responsable, equitativa y expedita, sin dilaciones indebidas, sin formalismos o reposiciones inútiles”</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1.2)</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color w:val="333333"/>
          <w:sz w:val="21"/>
          <w:szCs w:val="21"/>
          <w:u w:val="single"/>
          <w:bdr w:val="none" w:sz="0" w:space="0" w:color="auto" w:frame="1"/>
          <w:lang w:eastAsia="es-VE"/>
        </w:rPr>
        <w:t>De los órganos de la justicia</w:t>
      </w:r>
      <w:r w:rsidRPr="00A85C99">
        <w:rPr>
          <w:rFonts w:ascii="inherit" w:eastAsia="Times New Roman" w:hAnsi="inherit" w:cs="Times New Roman"/>
          <w:color w:val="333333"/>
          <w:sz w:val="21"/>
          <w:szCs w:val="21"/>
          <w:lang w:eastAsia="es-VE"/>
        </w:rPr>
        <w:t>:</w:t>
      </w:r>
      <w:r w:rsidRPr="00A85C99">
        <w:rPr>
          <w:rFonts w:ascii="inherit" w:eastAsia="Times New Roman" w:hAnsi="inherit" w:cs="Times New Roman"/>
          <w:color w:val="333333"/>
          <w:sz w:val="21"/>
          <w:szCs w:val="21"/>
          <w:bdr w:val="none" w:sz="0" w:space="0" w:color="auto" w:frame="1"/>
          <w:lang w:eastAsia="es-VE"/>
        </w:rPr>
        <w:t> más adelante nos reza el artículo 253 de la siguiente forma: </w:t>
      </w:r>
      <w:r w:rsidRPr="00A85C99">
        <w:rPr>
          <w:rFonts w:ascii="inherit" w:eastAsia="Times New Roman" w:hAnsi="inherit" w:cs="Times New Roman"/>
          <w:color w:val="333333"/>
          <w:sz w:val="21"/>
          <w:szCs w:val="21"/>
          <w:lang w:eastAsia="es-VE"/>
        </w:rPr>
        <w:t>“La potestad de administrar justicia emana de los ciudadanos y ciudadanas y se imparte en nombre de la República por autoridad de la ley.</w:t>
      </w:r>
    </w:p>
    <w:p w:rsidR="00A85C99" w:rsidRPr="00A85C99" w:rsidRDefault="00A85C99" w:rsidP="00A85C99">
      <w:pPr>
        <w:shd w:val="clear" w:color="auto" w:fill="FFFFFF"/>
        <w:spacing w:after="343" w:line="360" w:lineRule="atLeast"/>
        <w:ind w:left="-90" w:firstLine="795"/>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Corresponde a los órganos del Poder Judicial conocer las causas y asuntos de su competencia mediante los procedimientos que determinen las leyes, y ejecutar y hacer ejecutar sus sentencias…”</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lastRenderedPageBreak/>
        <w:t>1.3)</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color w:val="333333"/>
          <w:sz w:val="21"/>
          <w:szCs w:val="21"/>
          <w:u w:val="single"/>
          <w:bdr w:val="none" w:sz="0" w:space="0" w:color="auto" w:frame="1"/>
          <w:lang w:eastAsia="es-VE"/>
        </w:rPr>
        <w:t>De la eficacia procesal</w:t>
      </w:r>
      <w:r w:rsidRPr="00A85C99">
        <w:rPr>
          <w:rFonts w:ascii="inherit" w:eastAsia="Times New Roman" w:hAnsi="inherit" w:cs="Times New Roman"/>
          <w:color w:val="333333"/>
          <w:sz w:val="21"/>
          <w:szCs w:val="21"/>
          <w:bdr w:val="none" w:sz="0" w:space="0" w:color="auto" w:frame="1"/>
          <w:lang w:eastAsia="es-VE"/>
        </w:rPr>
        <w:t>: Nos señala el artículo 257 de la Carta Magna que: </w:t>
      </w:r>
      <w:r w:rsidRPr="00A85C99">
        <w:rPr>
          <w:rFonts w:ascii="inherit" w:eastAsia="Times New Roman" w:hAnsi="inherit" w:cs="Times New Roman"/>
          <w:color w:val="333333"/>
          <w:sz w:val="21"/>
          <w:szCs w:val="21"/>
          <w:lang w:eastAsia="es-VE"/>
        </w:rPr>
        <w:t>“El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w:t>
      </w:r>
    </w:p>
    <w:p w:rsidR="00A85C99" w:rsidRPr="00A85C99" w:rsidRDefault="00A85C99" w:rsidP="00A85C99">
      <w:pPr>
        <w:shd w:val="clear" w:color="auto" w:fill="FFFFFF"/>
        <w:spacing w:after="0" w:line="360" w:lineRule="atLeast"/>
        <w:ind w:left="1065" w:hanging="360"/>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2)</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color w:val="333333"/>
          <w:sz w:val="21"/>
          <w:szCs w:val="21"/>
          <w:u w:val="single"/>
          <w:bdr w:val="none" w:sz="0" w:space="0" w:color="auto" w:frame="1"/>
          <w:lang w:eastAsia="es-VE"/>
        </w:rPr>
        <w:t>De la Ley de Propiedad Horizontal y del Código Civil</w:t>
      </w:r>
      <w:r w:rsidRPr="00A85C99">
        <w:rPr>
          <w:rFonts w:ascii="inherit" w:eastAsia="Times New Roman" w:hAnsi="inherit" w:cs="Times New Roman"/>
          <w:color w:val="333333"/>
          <w:sz w:val="21"/>
          <w:szCs w:val="21"/>
          <w:lang w:eastAsia="es-VE"/>
        </w:rPr>
        <w:t>:</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2.1) </w:t>
      </w:r>
      <w:r w:rsidRPr="00A85C99">
        <w:rPr>
          <w:rFonts w:ascii="inherit" w:eastAsia="Times New Roman" w:hAnsi="inherit" w:cs="Times New Roman"/>
          <w:color w:val="333333"/>
          <w:sz w:val="21"/>
          <w:szCs w:val="21"/>
          <w:u w:val="single"/>
          <w:bdr w:val="none" w:sz="0" w:space="0" w:color="auto" w:frame="1"/>
          <w:lang w:eastAsia="es-VE"/>
        </w:rPr>
        <w:t>Ámbito de aplicación de la Ley de Propiedad Horizontal</w:t>
      </w:r>
      <w:r w:rsidRPr="00A85C99">
        <w:rPr>
          <w:rFonts w:ascii="inherit" w:eastAsia="Times New Roman" w:hAnsi="inherit" w:cs="Times New Roman"/>
          <w:color w:val="333333"/>
          <w:sz w:val="21"/>
          <w:szCs w:val="21"/>
          <w:lang w:eastAsia="es-VE"/>
        </w:rPr>
        <w:t>:</w:t>
      </w:r>
      <w:r w:rsidRPr="00A85C99">
        <w:rPr>
          <w:rFonts w:ascii="inherit" w:eastAsia="Times New Roman" w:hAnsi="inherit" w:cs="Times New Roman"/>
          <w:color w:val="333333"/>
          <w:sz w:val="21"/>
          <w:szCs w:val="21"/>
          <w:bdr w:val="none" w:sz="0" w:space="0" w:color="auto" w:frame="1"/>
          <w:lang w:eastAsia="es-VE"/>
        </w:rPr>
        <w:t xml:space="preserve"> su artículo 1ro. </w:t>
      </w:r>
      <w:proofErr w:type="gramStart"/>
      <w:r w:rsidRPr="00A85C99">
        <w:rPr>
          <w:rFonts w:ascii="inherit" w:eastAsia="Times New Roman" w:hAnsi="inherit" w:cs="Times New Roman"/>
          <w:color w:val="333333"/>
          <w:sz w:val="21"/>
          <w:szCs w:val="21"/>
          <w:bdr w:val="none" w:sz="0" w:space="0" w:color="auto" w:frame="1"/>
          <w:lang w:eastAsia="es-VE"/>
        </w:rPr>
        <w:t>nos</w:t>
      </w:r>
      <w:proofErr w:type="gramEnd"/>
      <w:r w:rsidRPr="00A85C99">
        <w:rPr>
          <w:rFonts w:ascii="inherit" w:eastAsia="Times New Roman" w:hAnsi="inherit" w:cs="Times New Roman"/>
          <w:color w:val="333333"/>
          <w:sz w:val="21"/>
          <w:szCs w:val="21"/>
          <w:bdr w:val="none" w:sz="0" w:space="0" w:color="auto" w:frame="1"/>
          <w:lang w:eastAsia="es-VE"/>
        </w:rPr>
        <w:t xml:space="preserve"> señala: </w:t>
      </w:r>
      <w:r w:rsidRPr="00A85C99">
        <w:rPr>
          <w:rFonts w:ascii="inherit" w:eastAsia="Times New Roman" w:hAnsi="inherit" w:cs="Times New Roman"/>
          <w:color w:val="333333"/>
          <w:sz w:val="21"/>
          <w:szCs w:val="21"/>
          <w:lang w:eastAsia="es-VE"/>
        </w:rPr>
        <w:t>“Los diversos apartamentos y locales de un inmueble podrán pertenecer a distintos propietarios de acuerdo con las disposiciones de la presente Ley y, en cuanto no se opongan a éstas, las del Código Civil”</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2.2) </w:t>
      </w:r>
      <w:r w:rsidRPr="00A85C99">
        <w:rPr>
          <w:rFonts w:ascii="inherit" w:eastAsia="Times New Roman" w:hAnsi="inherit" w:cs="Times New Roman"/>
          <w:color w:val="333333"/>
          <w:sz w:val="21"/>
          <w:szCs w:val="21"/>
          <w:u w:val="single"/>
          <w:bdr w:val="none" w:sz="0" w:space="0" w:color="auto" w:frame="1"/>
          <w:lang w:eastAsia="es-VE"/>
        </w:rPr>
        <w:t>Las  facturas  de  condominio  son  títulos ejecutivos</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color w:val="333333"/>
          <w:sz w:val="21"/>
          <w:szCs w:val="21"/>
          <w:bdr w:val="none" w:sz="0" w:space="0" w:color="auto" w:frame="1"/>
          <w:lang w:eastAsia="es-VE"/>
        </w:rPr>
        <w:t xml:space="preserve">Señala el artículo 14 de la Ley </w:t>
      </w:r>
      <w:proofErr w:type="spellStart"/>
      <w:r w:rsidRPr="00A85C99">
        <w:rPr>
          <w:rFonts w:ascii="inherit" w:eastAsia="Times New Roman" w:hAnsi="inherit" w:cs="Times New Roman"/>
          <w:color w:val="333333"/>
          <w:sz w:val="21"/>
          <w:szCs w:val="21"/>
          <w:bdr w:val="none" w:sz="0" w:space="0" w:color="auto" w:frame="1"/>
          <w:lang w:eastAsia="es-VE"/>
        </w:rPr>
        <w:t>ejusdem</w:t>
      </w:r>
      <w:proofErr w:type="spellEnd"/>
      <w:r w:rsidRPr="00A85C99">
        <w:rPr>
          <w:rFonts w:ascii="inherit" w:eastAsia="Times New Roman" w:hAnsi="inherit" w:cs="Times New Roman"/>
          <w:color w:val="333333"/>
          <w:sz w:val="21"/>
          <w:szCs w:val="21"/>
          <w:bdr w:val="none" w:sz="0" w:space="0" w:color="auto" w:frame="1"/>
          <w:lang w:eastAsia="es-VE"/>
        </w:rPr>
        <w:t>: </w:t>
      </w:r>
      <w:r w:rsidRPr="00A85C99">
        <w:rPr>
          <w:rFonts w:ascii="inherit" w:eastAsia="Times New Roman" w:hAnsi="inherit" w:cs="Times New Roman"/>
          <w:color w:val="333333"/>
          <w:sz w:val="21"/>
          <w:szCs w:val="21"/>
          <w:lang w:eastAsia="es-VE"/>
        </w:rPr>
        <w:t>“Las contribuciones para cubrir los gastos podrán ser exigidas por el administrador del inmueble o por el propietario que hubiere pagado sumas que corresponda adoptar a otro propietario. Para el efecto de estos cobros, harán fe contra el propietario moroso, salvo prueba en contrario, las actas de las asambleas inscritas en el libro de acuerdos de los propietarios y los acuerdos inscritos por el administrador en dicho libro, cuando estén justificados por los comprobantes que exige esta Ley.</w:t>
      </w:r>
    </w:p>
    <w:p w:rsidR="00A85C99" w:rsidRPr="00A85C99" w:rsidRDefault="00A85C99" w:rsidP="00A85C99">
      <w:pPr>
        <w:shd w:val="clear" w:color="auto" w:fill="FFFFFF"/>
        <w:spacing w:after="343"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Las   liquidaciones   o   planillas   pasadas   por   el   administrador   del   inmueble  a los propietarios respecto a las cuotas correspondientes por gastos comunes, tendrán fuerza ejecutiva”.</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bdr w:val="none" w:sz="0" w:space="0" w:color="auto" w:frame="1"/>
          <w:lang w:eastAsia="es-VE"/>
        </w:rPr>
        <w:t>A esta disposición de rango legal se le agrega su ratificación hecha por la Sala Constitucional del Tribunal Supremo de Justicia, en sentencia de reciente data y que tiene carácter vinculante.</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bdr w:val="none" w:sz="0" w:space="0" w:color="auto" w:frame="1"/>
          <w:lang w:eastAsia="es-VE"/>
        </w:rPr>
        <w:t> </w:t>
      </w:r>
      <w:r w:rsidRPr="00A85C99">
        <w:rPr>
          <w:rFonts w:ascii="inherit" w:eastAsia="Times New Roman" w:hAnsi="inherit" w:cs="Times New Roman"/>
          <w:color w:val="333333"/>
          <w:sz w:val="21"/>
          <w:szCs w:val="21"/>
          <w:lang w:eastAsia="es-VE"/>
        </w:rPr>
        <w:t>2.3) </w:t>
      </w:r>
      <w:r w:rsidRPr="00A85C99">
        <w:rPr>
          <w:rFonts w:ascii="inherit" w:eastAsia="Times New Roman" w:hAnsi="inherit" w:cs="Times New Roman"/>
          <w:color w:val="333333"/>
          <w:sz w:val="21"/>
          <w:szCs w:val="21"/>
          <w:u w:val="single"/>
          <w:bdr w:val="none" w:sz="0" w:space="0" w:color="auto" w:frame="1"/>
          <w:lang w:eastAsia="es-VE"/>
        </w:rPr>
        <w:t>Remisión al Código Civil</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color w:val="333333"/>
          <w:sz w:val="21"/>
          <w:szCs w:val="21"/>
          <w:bdr w:val="none" w:sz="0" w:space="0" w:color="auto" w:frame="1"/>
          <w:lang w:eastAsia="es-VE"/>
        </w:rPr>
        <w:t>El artículo 15 de esta Ley expresa: </w:t>
      </w:r>
      <w:r w:rsidRPr="00A85C99">
        <w:rPr>
          <w:rFonts w:ascii="inherit" w:eastAsia="Times New Roman" w:hAnsi="inherit" w:cs="Times New Roman"/>
          <w:color w:val="333333"/>
          <w:sz w:val="21"/>
          <w:szCs w:val="21"/>
          <w:lang w:eastAsia="es-VE"/>
        </w:rPr>
        <w:t>“Los créditos a que se refiere el artículo anterior gozarán de privilegio sobre todos los bienes muebles del deudor, el cual se preferirá al privilegio especial indicado en el ordinal 4 del artículo 1871 del Código Civil; pero se pospondrá a los demás privilegios generales y especiales establecidos en el mismo Código.</w:t>
      </w:r>
    </w:p>
    <w:p w:rsidR="00A85C99" w:rsidRPr="00A85C99" w:rsidRDefault="00A85C99" w:rsidP="00A85C99">
      <w:pPr>
        <w:shd w:val="clear" w:color="auto" w:fill="FFFFFF"/>
        <w:spacing w:after="343"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            Se aplicará a estos créditos lo dispuesto en el artículo 1876 del Código Civil”.</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bdr w:val="none" w:sz="0" w:space="0" w:color="auto" w:frame="1"/>
          <w:lang w:eastAsia="es-VE"/>
        </w:rPr>
        <w:t>            </w:t>
      </w:r>
      <w:r w:rsidRPr="00A85C99">
        <w:rPr>
          <w:rFonts w:ascii="inherit" w:eastAsia="Times New Roman" w:hAnsi="inherit" w:cs="Times New Roman"/>
          <w:color w:val="333333"/>
          <w:sz w:val="21"/>
          <w:szCs w:val="21"/>
          <w:lang w:eastAsia="es-VE"/>
        </w:rPr>
        <w:t>2.4) </w:t>
      </w:r>
      <w:r w:rsidRPr="00A85C99">
        <w:rPr>
          <w:rFonts w:ascii="inherit" w:eastAsia="Times New Roman" w:hAnsi="inherit" w:cs="Times New Roman"/>
          <w:color w:val="333333"/>
          <w:sz w:val="21"/>
          <w:szCs w:val="21"/>
          <w:u w:val="single"/>
          <w:bdr w:val="none" w:sz="0" w:space="0" w:color="auto" w:frame="1"/>
          <w:lang w:eastAsia="es-VE"/>
        </w:rPr>
        <w:t>Fijación de la competencia según la cuantía de la demanda</w:t>
      </w:r>
      <w:r w:rsidRPr="00A85C99">
        <w:rPr>
          <w:rFonts w:ascii="inherit" w:eastAsia="Times New Roman" w:hAnsi="inherit" w:cs="Times New Roman"/>
          <w:color w:val="333333"/>
          <w:sz w:val="21"/>
          <w:szCs w:val="21"/>
          <w:lang w:eastAsia="es-VE"/>
        </w:rPr>
        <w:t>:</w:t>
      </w:r>
      <w:r w:rsidRPr="00A85C99">
        <w:rPr>
          <w:rFonts w:ascii="inherit" w:eastAsia="Times New Roman" w:hAnsi="inherit" w:cs="Times New Roman"/>
          <w:color w:val="333333"/>
          <w:sz w:val="21"/>
          <w:szCs w:val="21"/>
          <w:bdr w:val="none" w:sz="0" w:space="0" w:color="auto" w:frame="1"/>
          <w:lang w:eastAsia="es-VE"/>
        </w:rPr>
        <w:t> El artículo 1.093 del referido Código señala: </w:t>
      </w:r>
      <w:r w:rsidRPr="00A85C99">
        <w:rPr>
          <w:rFonts w:ascii="inherit" w:eastAsia="Times New Roman" w:hAnsi="inherit" w:cs="Times New Roman"/>
          <w:color w:val="333333"/>
          <w:sz w:val="21"/>
          <w:szCs w:val="21"/>
          <w:lang w:eastAsia="es-VE"/>
        </w:rPr>
        <w:t>“Se observarán las disposiciones del Código de Procedimiento Civil para determinar el Tribunal competente en consideración a la cuantía del interés de la acción y para fijar la cuantía”.</w:t>
      </w:r>
      <w:r w:rsidRPr="00A85C99">
        <w:rPr>
          <w:rFonts w:ascii="inherit" w:eastAsia="Times New Roman" w:hAnsi="inherit" w:cs="Times New Roman"/>
          <w:color w:val="333333"/>
          <w:sz w:val="21"/>
          <w:szCs w:val="21"/>
          <w:bdr w:val="none" w:sz="0" w:space="0" w:color="auto" w:frame="1"/>
          <w:lang w:eastAsia="es-VE"/>
        </w:rPr>
        <w:t> Sobre este particular y considerando el monto de las facturas debidas por la parte demandada, no cabe lugar a dudas que es el Tribunal de Municipio de la Circunscripción Judicial del Área Metropolitana de Caracas el que deberá conocer este asunto. De acuerdo a lo establecido en el artículo 29 del Código de Procedimiento Civil está establecido que: </w:t>
      </w:r>
      <w:r w:rsidRPr="00A85C99">
        <w:rPr>
          <w:rFonts w:ascii="inherit" w:eastAsia="Times New Roman" w:hAnsi="inherit" w:cs="Times New Roman"/>
          <w:color w:val="333333"/>
          <w:sz w:val="21"/>
          <w:szCs w:val="21"/>
          <w:lang w:eastAsia="es-VE"/>
        </w:rPr>
        <w:t>“La competencia por el valor de la demanda se rige por las disposiciones de este Código y por la Ley Orgánica del Poder Judicial”.</w:t>
      </w:r>
    </w:p>
    <w:p w:rsidR="00A85C99" w:rsidRPr="00A85C99" w:rsidRDefault="00A85C99" w:rsidP="00A85C99">
      <w:pPr>
        <w:shd w:val="clear" w:color="auto" w:fill="FFFFFF"/>
        <w:spacing w:after="0" w:line="360" w:lineRule="atLeast"/>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2.5) </w:t>
      </w:r>
      <w:r w:rsidRPr="00A85C99">
        <w:rPr>
          <w:rFonts w:ascii="inherit" w:eastAsia="Times New Roman" w:hAnsi="inherit" w:cs="Times New Roman"/>
          <w:color w:val="333333"/>
          <w:sz w:val="21"/>
          <w:szCs w:val="21"/>
          <w:u w:val="single"/>
          <w:bdr w:val="none" w:sz="0" w:space="0" w:color="auto" w:frame="1"/>
          <w:lang w:eastAsia="es-VE"/>
        </w:rPr>
        <w:t>De la prescripción ordinaria de la obligación que se reclama</w:t>
      </w:r>
      <w:r w:rsidRPr="00A85C99">
        <w:rPr>
          <w:rFonts w:ascii="inherit" w:eastAsia="Times New Roman" w:hAnsi="inherit" w:cs="Times New Roman"/>
          <w:color w:val="333333"/>
          <w:sz w:val="21"/>
          <w:szCs w:val="21"/>
          <w:lang w:eastAsia="es-VE"/>
        </w:rPr>
        <w:t>:</w:t>
      </w:r>
      <w:r w:rsidRPr="00A85C99">
        <w:rPr>
          <w:rFonts w:ascii="inherit" w:eastAsia="Times New Roman" w:hAnsi="inherit" w:cs="Times New Roman"/>
          <w:color w:val="333333"/>
          <w:sz w:val="21"/>
          <w:szCs w:val="21"/>
          <w:bdr w:val="none" w:sz="0" w:space="0" w:color="auto" w:frame="1"/>
          <w:lang w:eastAsia="es-VE"/>
        </w:rPr>
        <w:t> En el presente caso, todas las planillas de liquidación  o también llamadas facturas de condominio relativas a los gastos comunes siguen al inmueble; constituyen una obligación de naturaleza “</w:t>
      </w:r>
      <w:proofErr w:type="spellStart"/>
      <w:r w:rsidRPr="00A85C99">
        <w:rPr>
          <w:rFonts w:ascii="inherit" w:eastAsia="Times New Roman" w:hAnsi="inherit" w:cs="Times New Roman"/>
          <w:color w:val="333333"/>
          <w:sz w:val="21"/>
          <w:szCs w:val="21"/>
          <w:bdr w:val="none" w:sz="0" w:space="0" w:color="auto" w:frame="1"/>
          <w:lang w:eastAsia="es-VE"/>
        </w:rPr>
        <w:t>propter</w:t>
      </w:r>
      <w:proofErr w:type="spellEnd"/>
      <w:r w:rsidRPr="00A85C99">
        <w:rPr>
          <w:rFonts w:ascii="inherit" w:eastAsia="Times New Roman" w:hAnsi="inherit" w:cs="Times New Roman"/>
          <w:color w:val="333333"/>
          <w:sz w:val="21"/>
          <w:szCs w:val="21"/>
          <w:bdr w:val="none" w:sz="0" w:space="0" w:color="auto" w:frame="1"/>
          <w:lang w:eastAsia="es-VE"/>
        </w:rPr>
        <w:t xml:space="preserve"> rem” y son de carácter real; no están </w:t>
      </w:r>
      <w:r w:rsidRPr="00A85C99">
        <w:rPr>
          <w:rFonts w:ascii="inherit" w:eastAsia="Times New Roman" w:hAnsi="inherit" w:cs="Times New Roman"/>
          <w:color w:val="333333"/>
          <w:sz w:val="21"/>
          <w:szCs w:val="21"/>
          <w:bdr w:val="none" w:sz="0" w:space="0" w:color="auto" w:frame="1"/>
          <w:lang w:eastAsia="es-VE"/>
        </w:rPr>
        <w:lastRenderedPageBreak/>
        <w:t>prescritas y en consecuencia, son  exigibles a la parte demandada quien deberá pagarlas voluntariamente o en su defecto, de forma coactiva por los medios legales previstos para tales situaciones de contumacia en el pago, conforme a la presente acción judicial.</w:t>
      </w:r>
    </w:p>
    <w:p w:rsidR="00A85C99" w:rsidRPr="00A85C99" w:rsidRDefault="00A85C99" w:rsidP="00A85C99">
      <w:pPr>
        <w:shd w:val="clear" w:color="auto" w:fill="FFFFFF"/>
        <w:spacing w:after="0"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            3) </w:t>
      </w:r>
      <w:r w:rsidRPr="00A85C99">
        <w:rPr>
          <w:rFonts w:ascii="inherit" w:eastAsia="Times New Roman" w:hAnsi="inherit" w:cs="Times New Roman"/>
          <w:b/>
          <w:bCs/>
          <w:color w:val="333333"/>
          <w:sz w:val="21"/>
          <w:szCs w:val="21"/>
          <w:u w:val="single"/>
          <w:bdr w:val="none" w:sz="0" w:space="0" w:color="auto" w:frame="1"/>
          <w:lang w:eastAsia="es-VE"/>
        </w:rPr>
        <w:t>Del Derecho Procesal Civil</w:t>
      </w:r>
      <w:r w:rsidRPr="00A85C99">
        <w:rPr>
          <w:rFonts w:ascii="inherit" w:eastAsia="Times New Roman" w:hAnsi="inherit" w:cs="Times New Roman"/>
          <w:b/>
          <w:bCs/>
          <w:color w:val="333333"/>
          <w:sz w:val="21"/>
          <w:szCs w:val="21"/>
          <w:lang w:eastAsia="es-VE"/>
        </w:rPr>
        <w:t>:</w:t>
      </w:r>
    </w:p>
    <w:p w:rsidR="00A85C99" w:rsidRPr="00A85C99" w:rsidRDefault="00A85C99" w:rsidP="00A85C99">
      <w:pPr>
        <w:shd w:val="clear" w:color="auto" w:fill="FFFFFF"/>
        <w:spacing w:after="0"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3.1) </w:t>
      </w:r>
      <w:r w:rsidRPr="00A85C99">
        <w:rPr>
          <w:rFonts w:ascii="inherit" w:eastAsia="Times New Roman" w:hAnsi="inherit" w:cs="Times New Roman"/>
          <w:b/>
          <w:bCs/>
          <w:color w:val="333333"/>
          <w:sz w:val="21"/>
          <w:szCs w:val="21"/>
          <w:u w:val="single"/>
          <w:bdr w:val="none" w:sz="0" w:space="0" w:color="auto" w:frame="1"/>
          <w:lang w:eastAsia="es-VE"/>
        </w:rPr>
        <w:t>Norma rectora del Procedimiento por la Vía Ejecutiva</w:t>
      </w:r>
      <w:r w:rsidRPr="00A85C99">
        <w:rPr>
          <w:rFonts w:ascii="inherit" w:eastAsia="Times New Roman" w:hAnsi="inherit" w:cs="Times New Roman"/>
          <w:b/>
          <w:bCs/>
          <w:color w:val="333333"/>
          <w:sz w:val="21"/>
          <w:szCs w:val="21"/>
          <w:lang w:eastAsia="es-VE"/>
        </w:rPr>
        <w:t>:</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b/>
          <w:bCs/>
          <w:color w:val="333333"/>
          <w:sz w:val="21"/>
          <w:szCs w:val="21"/>
          <w:u w:val="single"/>
          <w:bdr w:val="none" w:sz="0" w:space="0" w:color="auto" w:frame="1"/>
          <w:lang w:eastAsia="es-VE"/>
        </w:rPr>
        <w:t>El artículo 630 del Código de Procedimiento Civil</w:t>
      </w:r>
      <w:r w:rsidRPr="00A85C99">
        <w:rPr>
          <w:rFonts w:ascii="inherit" w:eastAsia="Times New Roman" w:hAnsi="inherit" w:cs="Times New Roman"/>
          <w:color w:val="333333"/>
          <w:sz w:val="21"/>
          <w:szCs w:val="21"/>
          <w:lang w:eastAsia="es-VE"/>
        </w:rPr>
        <w:t> vigente establece que: </w:t>
      </w:r>
      <w:r w:rsidRPr="00A85C99">
        <w:rPr>
          <w:rFonts w:ascii="inherit" w:eastAsia="Times New Roman" w:hAnsi="inherit" w:cs="Times New Roman"/>
          <w:b/>
          <w:bCs/>
          <w:color w:val="333333"/>
          <w:sz w:val="21"/>
          <w:szCs w:val="21"/>
          <w:lang w:eastAsia="es-VE"/>
        </w:rPr>
        <w:t>“Cuando el demandante presente instrumento público u otro instrumento auténtico que pruebe clara y ciertamente la obligación del demandado de pagar alguna cantidad líquida con plazo cumplido; o cuando acompañe vale o instrumento privado reconocido por el deudor, el Juez examinará cuidadosamente el instrumento y su fuere de los indicados, a solicitud del acreedor acordará inmediatamente el embargo de bienes suficientes para cubrir las obligación y las costas, prudencialmente calculadas”.</w:t>
      </w:r>
    </w:p>
    <w:p w:rsidR="00A85C99" w:rsidRPr="00A85C99" w:rsidRDefault="00A85C99" w:rsidP="00A85C99">
      <w:pPr>
        <w:shd w:val="clear" w:color="auto" w:fill="FFFFFF"/>
        <w:spacing w:after="343"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“Cuando la pretensión del demandante persiga el pago de una suma líquida y exigible de dinero o la entrega de cantidad cierta de cosas fungibles o de una cosa mueble determinada, el Juez, a solicitud del demandante, decretará la intimación del deudor, para que pague o entregue la cosa dentro de diez días apercibiéndole de ejecución. El demandante podrá optar entre el procedimiento ordinario y el presente procedimiento, pero éste no será aplicable cuando el deudor no esté presente en la República y no haya dejado apoderado a quien pueda intimarse, o si el apoderado que hubiere dejado se negare a representarlo”</w:t>
      </w:r>
      <w:r w:rsidRPr="00A85C99">
        <w:rPr>
          <w:rFonts w:ascii="inherit" w:eastAsia="Times New Roman" w:hAnsi="inherit" w:cs="Times New Roman"/>
          <w:color w:val="333333"/>
          <w:sz w:val="21"/>
          <w:szCs w:val="21"/>
          <w:lang w:eastAsia="es-VE"/>
        </w:rPr>
        <w:t>.</w:t>
      </w:r>
    </w:p>
    <w:p w:rsidR="00A85C99" w:rsidRPr="00A85C99" w:rsidRDefault="00A85C99" w:rsidP="00A85C99">
      <w:pPr>
        <w:shd w:val="clear" w:color="auto" w:fill="FFFFFF"/>
        <w:spacing w:after="0"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3.2) </w:t>
      </w:r>
      <w:r w:rsidRPr="00A85C99">
        <w:rPr>
          <w:rFonts w:ascii="inherit" w:eastAsia="Times New Roman" w:hAnsi="inherit" w:cs="Times New Roman"/>
          <w:b/>
          <w:bCs/>
          <w:color w:val="333333"/>
          <w:sz w:val="21"/>
          <w:szCs w:val="21"/>
          <w:u w:val="single"/>
          <w:bdr w:val="none" w:sz="0" w:space="0" w:color="auto" w:frame="1"/>
          <w:lang w:eastAsia="es-VE"/>
        </w:rPr>
        <w:t>De las medidas cautelares</w:t>
      </w:r>
      <w:r w:rsidRPr="00A85C99">
        <w:rPr>
          <w:rFonts w:ascii="inherit" w:eastAsia="Times New Roman" w:hAnsi="inherit" w:cs="Times New Roman"/>
          <w:b/>
          <w:bCs/>
          <w:color w:val="333333"/>
          <w:sz w:val="21"/>
          <w:szCs w:val="21"/>
          <w:lang w:eastAsia="es-VE"/>
        </w:rPr>
        <w:t>:</w:t>
      </w:r>
    </w:p>
    <w:p w:rsidR="00A85C99" w:rsidRPr="00A85C99" w:rsidRDefault="00A85C99" w:rsidP="00A85C99">
      <w:pPr>
        <w:shd w:val="clear" w:color="auto" w:fill="FFFFFF"/>
        <w:spacing w:after="343" w:line="420" w:lineRule="atLeast"/>
        <w:ind w:firstLine="72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De   conformidad   con   lo   establecido  en el </w:t>
      </w:r>
      <w:r w:rsidRPr="00A85C99">
        <w:rPr>
          <w:rFonts w:ascii="inherit" w:eastAsia="Times New Roman" w:hAnsi="inherit" w:cs="Times New Roman"/>
          <w:b/>
          <w:bCs/>
          <w:color w:val="333333"/>
          <w:sz w:val="21"/>
          <w:szCs w:val="21"/>
          <w:lang w:eastAsia="es-VE"/>
        </w:rPr>
        <w:t>artículo 588</w:t>
      </w:r>
      <w:r w:rsidRPr="00A85C99">
        <w:rPr>
          <w:rFonts w:ascii="inherit" w:eastAsia="Times New Roman" w:hAnsi="inherit" w:cs="Times New Roman"/>
          <w:color w:val="333333"/>
          <w:sz w:val="21"/>
          <w:szCs w:val="21"/>
          <w:lang w:eastAsia="es-VE"/>
        </w:rPr>
        <w:t> de este mismo Código, que establece: </w:t>
      </w:r>
      <w:r w:rsidRPr="00A85C99">
        <w:rPr>
          <w:rFonts w:ascii="inherit" w:eastAsia="Times New Roman" w:hAnsi="inherit" w:cs="Times New Roman"/>
          <w:b/>
          <w:bCs/>
          <w:color w:val="333333"/>
          <w:sz w:val="21"/>
          <w:szCs w:val="21"/>
          <w:lang w:eastAsia="es-VE"/>
        </w:rPr>
        <w:t>“En conformidad con el artículo 585 de este Código, el Tribunal puede decretar, en cualquier estado y grado de la causa, las siguientes medidas:</w:t>
      </w:r>
    </w:p>
    <w:p w:rsidR="00A85C99" w:rsidRPr="00A85C99" w:rsidRDefault="00A85C99" w:rsidP="00A85C99">
      <w:pPr>
        <w:shd w:val="clear" w:color="auto" w:fill="FFFFFF"/>
        <w:spacing w:after="0" w:line="420" w:lineRule="atLeast"/>
        <w:ind w:left="1080" w:hanging="36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1)</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lang w:eastAsia="es-VE"/>
        </w:rPr>
        <w:t>El embargo de bienes muebles;</w:t>
      </w:r>
    </w:p>
    <w:p w:rsidR="00A85C99" w:rsidRPr="00A85C99" w:rsidRDefault="00A85C99" w:rsidP="00A85C99">
      <w:pPr>
        <w:shd w:val="clear" w:color="auto" w:fill="FFFFFF"/>
        <w:spacing w:after="0" w:line="420" w:lineRule="atLeast"/>
        <w:ind w:left="1080" w:hanging="36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2)</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lang w:eastAsia="es-VE"/>
        </w:rPr>
        <w:t>El secuestro de bienes determinados;</w:t>
      </w:r>
    </w:p>
    <w:p w:rsidR="00A85C99" w:rsidRPr="00A85C99" w:rsidRDefault="00A85C99" w:rsidP="00A85C99">
      <w:pPr>
        <w:shd w:val="clear" w:color="auto" w:fill="FFFFFF"/>
        <w:spacing w:after="0" w:line="420" w:lineRule="atLeast"/>
        <w:ind w:left="1080" w:hanging="36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3)</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lang w:eastAsia="es-VE"/>
        </w:rPr>
        <w:t>La prohibición de enajenar y gravar bienes inmuebles.</w:t>
      </w:r>
    </w:p>
    <w:p w:rsidR="00A85C99" w:rsidRPr="00A85C99" w:rsidRDefault="00A85C99" w:rsidP="00A85C99">
      <w:pPr>
        <w:shd w:val="clear" w:color="auto" w:fill="FFFFFF"/>
        <w:spacing w:after="343" w:line="420" w:lineRule="atLeast"/>
        <w:ind w:firstLine="72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Podrá también el Juez acordar cualesquiera disposiciones complementarias para asegurar la efectividad y resultado de la medida que hubiere decretado”.</w:t>
      </w:r>
    </w:p>
    <w:p w:rsidR="00A85C99" w:rsidRPr="00A85C99" w:rsidRDefault="00A85C99" w:rsidP="00A85C99">
      <w:pPr>
        <w:shd w:val="clear" w:color="auto" w:fill="FFFFFF"/>
        <w:spacing w:after="0" w:line="420" w:lineRule="atLeast"/>
        <w:ind w:firstLine="72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lastRenderedPageBreak/>
        <w:t>4)</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u w:val="single"/>
          <w:bdr w:val="none" w:sz="0" w:space="0" w:color="auto" w:frame="1"/>
          <w:lang w:eastAsia="es-VE"/>
        </w:rPr>
        <w:t>De  las  costas  del  proceso</w:t>
      </w:r>
      <w:r w:rsidRPr="00A85C99">
        <w:rPr>
          <w:rFonts w:ascii="inherit" w:eastAsia="Times New Roman" w:hAnsi="inherit" w:cs="Times New Roman"/>
          <w:b/>
          <w:bCs/>
          <w:color w:val="333333"/>
          <w:sz w:val="21"/>
          <w:szCs w:val="21"/>
          <w:lang w:eastAsia="es-VE"/>
        </w:rPr>
        <w:t>: </w:t>
      </w:r>
      <w:r w:rsidRPr="00A85C99">
        <w:rPr>
          <w:rFonts w:ascii="inherit" w:eastAsia="Times New Roman" w:hAnsi="inherit" w:cs="Times New Roman"/>
          <w:color w:val="333333"/>
          <w:sz w:val="21"/>
          <w:szCs w:val="21"/>
          <w:lang w:eastAsia="es-VE"/>
        </w:rPr>
        <w:t>El </w:t>
      </w:r>
      <w:r w:rsidRPr="00A85C99">
        <w:rPr>
          <w:rFonts w:ascii="inherit" w:eastAsia="Times New Roman" w:hAnsi="inherit" w:cs="Times New Roman"/>
          <w:b/>
          <w:bCs/>
          <w:color w:val="333333"/>
          <w:sz w:val="21"/>
          <w:szCs w:val="21"/>
          <w:lang w:eastAsia="es-VE"/>
        </w:rPr>
        <w:t>  artículo   286   del  Código  de  Procedimiento  Civil</w:t>
      </w:r>
      <w:r w:rsidRPr="00A85C99">
        <w:rPr>
          <w:rFonts w:ascii="inherit" w:eastAsia="Times New Roman" w:hAnsi="inherit" w:cs="Times New Roman"/>
          <w:color w:val="333333"/>
          <w:sz w:val="21"/>
          <w:szCs w:val="21"/>
          <w:lang w:eastAsia="es-VE"/>
        </w:rPr>
        <w:t> establece con mediana claridad que: </w:t>
      </w:r>
      <w:r w:rsidRPr="00A85C99">
        <w:rPr>
          <w:rFonts w:ascii="inherit" w:eastAsia="Times New Roman" w:hAnsi="inherit" w:cs="Times New Roman"/>
          <w:b/>
          <w:bCs/>
          <w:color w:val="333333"/>
          <w:sz w:val="21"/>
          <w:szCs w:val="21"/>
          <w:lang w:eastAsia="es-VE"/>
        </w:rPr>
        <w:t>“Las costas que debe pagar la parte vencida por honorarios del apoderado de la parte contraria estará sujetas a retasa. En ningún caso estos honorarios excederán del treinta por ciento (30%) del valor de lo litigado”.</w:t>
      </w:r>
    </w:p>
    <w:p w:rsidR="00A85C99" w:rsidRPr="00A85C99" w:rsidRDefault="00A85C99" w:rsidP="00A85C99">
      <w:pPr>
        <w:shd w:val="clear" w:color="auto" w:fill="FFFFFF"/>
        <w:spacing w:after="0" w:line="420" w:lineRule="atLeast"/>
        <w:ind w:firstLine="720"/>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5)</w:t>
      </w:r>
      <w:r w:rsidRPr="00A85C99">
        <w:rPr>
          <w:rFonts w:ascii="Times New Roman" w:eastAsia="Times New Roman" w:hAnsi="Times New Roman" w:cs="Times New Roman"/>
          <w:color w:val="333333"/>
          <w:sz w:val="14"/>
          <w:szCs w:val="14"/>
          <w:bdr w:val="none" w:sz="0" w:space="0" w:color="auto" w:frame="1"/>
          <w:lang w:eastAsia="es-VE"/>
        </w:rPr>
        <w:t>      </w:t>
      </w:r>
      <w:r w:rsidRPr="00A85C99">
        <w:rPr>
          <w:rFonts w:ascii="inherit" w:eastAsia="Times New Roman" w:hAnsi="inherit" w:cs="Times New Roman"/>
          <w:b/>
          <w:bCs/>
          <w:color w:val="333333"/>
          <w:sz w:val="21"/>
          <w:szCs w:val="21"/>
          <w:lang w:eastAsia="es-VE"/>
        </w:rPr>
        <w:t>Del interés legal: Dispone el artículo 1.746 del Código Civil Venezolano lo siguiente: “El interés es legal o convencional…El interés legal es del tres por ciento anual”.</w:t>
      </w:r>
    </w:p>
    <w:p w:rsidR="00A85C99" w:rsidRPr="00A85C99" w:rsidRDefault="00A85C99" w:rsidP="00A85C99">
      <w:pPr>
        <w:shd w:val="clear" w:color="auto" w:fill="FFFFFF"/>
        <w:spacing w:after="0" w:line="360" w:lineRule="atLeast"/>
        <w:textAlignment w:val="baseline"/>
        <w:outlineLvl w:val="2"/>
        <w:rPr>
          <w:rFonts w:ascii="inherit" w:eastAsia="Times New Roman" w:hAnsi="inherit" w:cs="Times New Roman"/>
          <w:b/>
          <w:bCs/>
          <w:color w:val="2E2E29"/>
          <w:sz w:val="33"/>
          <w:szCs w:val="33"/>
          <w:lang w:eastAsia="es-VE"/>
        </w:rPr>
      </w:pPr>
      <w:r w:rsidRPr="00A85C99">
        <w:rPr>
          <w:rFonts w:ascii="inherit" w:eastAsia="Times New Roman" w:hAnsi="inherit" w:cs="Times New Roman"/>
          <w:b/>
          <w:bCs/>
          <w:color w:val="2E2E29"/>
          <w:sz w:val="24"/>
          <w:szCs w:val="24"/>
          <w:u w:val="single"/>
          <w:bdr w:val="none" w:sz="0" w:space="0" w:color="auto" w:frame="1"/>
          <w:lang w:eastAsia="es-VE"/>
        </w:rPr>
        <w:t>CAPÍTULO III:</w:t>
      </w:r>
      <w:proofErr w:type="gramStart"/>
      <w:r w:rsidRPr="00A85C99">
        <w:rPr>
          <w:rFonts w:ascii="inherit" w:eastAsia="Times New Roman" w:hAnsi="inherit" w:cs="Times New Roman"/>
          <w:b/>
          <w:bCs/>
          <w:color w:val="2E2E29"/>
          <w:sz w:val="24"/>
          <w:szCs w:val="24"/>
          <w:u w:val="single"/>
          <w:bdr w:val="none" w:sz="0" w:space="0" w:color="auto" w:frame="1"/>
          <w:lang w:eastAsia="es-VE"/>
        </w:rPr>
        <w:t>  PETITUM</w:t>
      </w:r>
      <w:proofErr w:type="gramEnd"/>
      <w:r w:rsidRPr="00A85C99">
        <w:rPr>
          <w:rFonts w:ascii="inherit" w:eastAsia="Times New Roman" w:hAnsi="inherit" w:cs="Times New Roman"/>
          <w:b/>
          <w:bCs/>
          <w:color w:val="2E2E29"/>
          <w:sz w:val="24"/>
          <w:szCs w:val="24"/>
          <w:u w:val="single"/>
          <w:bdr w:val="none" w:sz="0" w:space="0" w:color="auto" w:frame="1"/>
          <w:lang w:eastAsia="es-VE"/>
        </w:rPr>
        <w:t xml:space="preserve"> DE LA ACCIÓN</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            En   caso   de   que    </w:t>
      </w:r>
      <w:r w:rsidRPr="00A85C99">
        <w:rPr>
          <w:rFonts w:ascii="inherit" w:eastAsia="Times New Roman" w:hAnsi="inherit" w:cs="Times New Roman"/>
          <w:b/>
          <w:bCs/>
          <w:color w:val="333333"/>
          <w:sz w:val="21"/>
          <w:szCs w:val="21"/>
          <w:lang w:eastAsia="es-VE"/>
        </w:rPr>
        <w:t>LA  DEMANDADA</w:t>
      </w:r>
      <w:r w:rsidRPr="00A85C99">
        <w:rPr>
          <w:rFonts w:ascii="inherit" w:eastAsia="Times New Roman" w:hAnsi="inherit" w:cs="Times New Roman"/>
          <w:color w:val="333333"/>
          <w:sz w:val="21"/>
          <w:szCs w:val="21"/>
          <w:lang w:eastAsia="es-VE"/>
        </w:rPr>
        <w:t> no diere por voluntad propia cumplimiento a sus obligaciones legales, pido al tribunal que formalmente la condene a:</w:t>
      </w:r>
    </w:p>
    <w:p w:rsidR="00A85C99" w:rsidRPr="00A85C99" w:rsidRDefault="00A85C99" w:rsidP="00A85C99">
      <w:pPr>
        <w:shd w:val="clear" w:color="auto" w:fill="FFFFFF"/>
        <w:spacing w:after="0"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8"/>
          <w:szCs w:val="28"/>
          <w:bdr w:val="none" w:sz="0" w:space="0" w:color="auto" w:frame="1"/>
          <w:lang w:eastAsia="es-VE"/>
        </w:rPr>
        <w:t>         </w:t>
      </w:r>
      <w:r w:rsidRPr="00A85C99">
        <w:rPr>
          <w:rFonts w:ascii="inherit" w:eastAsia="Times New Roman" w:hAnsi="inherit" w:cs="Times New Roman"/>
          <w:color w:val="333333"/>
          <w:sz w:val="21"/>
          <w:szCs w:val="21"/>
          <w:lang w:eastAsia="es-VE"/>
        </w:rPr>
        <w:t>1) Pagar el monto total de las planillas de liquidación de gastos comunes o facturas arriba señaladas, el cual asciende a la cantidad de</w:t>
      </w:r>
      <w:r w:rsidRPr="00A85C99">
        <w:rPr>
          <w:rFonts w:ascii="inherit" w:eastAsia="Times New Roman" w:hAnsi="inherit" w:cs="Times New Roman"/>
          <w:b/>
          <w:bCs/>
          <w:color w:val="333333"/>
          <w:sz w:val="21"/>
          <w:szCs w:val="21"/>
          <w:lang w:eastAsia="es-VE"/>
        </w:rPr>
        <w:t> DIECINUEVE MIL TRESCIENTOS CUARENTA Y NUEVE BOLÍVARES CON TRECE</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b/>
          <w:bCs/>
          <w:color w:val="333333"/>
          <w:sz w:val="21"/>
          <w:szCs w:val="21"/>
          <w:lang w:eastAsia="es-VE"/>
        </w:rPr>
        <w:t> CÉNTIMOS (Bs. 19.349,13).</w:t>
      </w:r>
    </w:p>
    <w:p w:rsidR="00A85C99" w:rsidRPr="00A85C99" w:rsidRDefault="00A85C99" w:rsidP="00A85C99">
      <w:pPr>
        <w:shd w:val="clear" w:color="auto" w:fill="FFFFFF"/>
        <w:spacing w:after="343" w:line="420" w:lineRule="atLeast"/>
        <w:ind w:firstLine="705"/>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2) Pagar la cantidad de</w:t>
      </w:r>
      <w:r w:rsidRPr="00A85C99">
        <w:rPr>
          <w:rFonts w:ascii="inherit" w:eastAsia="Times New Roman" w:hAnsi="inherit" w:cs="Times New Roman"/>
          <w:b/>
          <w:bCs/>
          <w:color w:val="333333"/>
          <w:sz w:val="21"/>
          <w:szCs w:val="21"/>
          <w:lang w:eastAsia="es-VE"/>
        </w:rPr>
        <w:t> OCHOCIENTOS CINCUENTA Y SIETE BOLÍVARES CON SETENTA Y OCHO CÉNTIMOS (Bs. 857,78) </w:t>
      </w:r>
      <w:r w:rsidRPr="00A85C99">
        <w:rPr>
          <w:rFonts w:ascii="inherit" w:eastAsia="Times New Roman" w:hAnsi="inherit" w:cs="Times New Roman"/>
          <w:color w:val="333333"/>
          <w:sz w:val="21"/>
          <w:szCs w:val="21"/>
          <w:lang w:eastAsia="es-VE"/>
        </w:rPr>
        <w:t>por concepto de intereses legales devengados calculados según lo dispuesto en el artículo 1.746 del Código Civil Venezolano antes señalado.</w:t>
      </w:r>
    </w:p>
    <w:p w:rsidR="00A85C99" w:rsidRPr="00A85C99" w:rsidRDefault="00A85C99" w:rsidP="00A85C99">
      <w:pPr>
        <w:shd w:val="clear" w:color="auto" w:fill="FFFFFF"/>
        <w:spacing w:after="343" w:line="420" w:lineRule="atLeast"/>
        <w:ind w:firstLine="705"/>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La sumatoria del capital y del interés legal señalados en los dos numerales anteriores</w:t>
      </w:r>
      <w:r w:rsidRPr="00A85C99">
        <w:rPr>
          <w:rFonts w:ascii="inherit" w:eastAsia="Times New Roman" w:hAnsi="inherit" w:cs="Times New Roman"/>
          <w:b/>
          <w:bCs/>
          <w:color w:val="333333"/>
          <w:sz w:val="21"/>
          <w:szCs w:val="21"/>
          <w:lang w:eastAsia="es-VE"/>
        </w:rPr>
        <w:t>“1” y “2”</w:t>
      </w:r>
      <w:r w:rsidRPr="00A85C99">
        <w:rPr>
          <w:rFonts w:ascii="inherit" w:eastAsia="Times New Roman" w:hAnsi="inherit" w:cs="Times New Roman"/>
          <w:color w:val="333333"/>
          <w:sz w:val="21"/>
          <w:szCs w:val="21"/>
          <w:lang w:eastAsia="es-VE"/>
        </w:rPr>
        <w:t>, asciende a la cantidad de </w:t>
      </w:r>
      <w:r w:rsidRPr="00A85C99">
        <w:rPr>
          <w:rFonts w:ascii="inherit" w:eastAsia="Times New Roman" w:hAnsi="inherit" w:cs="Times New Roman"/>
          <w:b/>
          <w:bCs/>
          <w:color w:val="333333"/>
          <w:sz w:val="21"/>
          <w:szCs w:val="21"/>
          <w:lang w:eastAsia="es-VE"/>
        </w:rPr>
        <w:t>VEINTE MIL DOSCIENTOS SEIS BOLÍVARES CON NOVENTA Y UN CÉNTIMOS (Bs. 20.206,91).</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 xml:space="preserve">            3) Pagar las costas del presente procedimiento, de conformidad con lo establecido en </w:t>
      </w:r>
      <w:proofErr w:type="spellStart"/>
      <w:r w:rsidRPr="00A85C99">
        <w:rPr>
          <w:rFonts w:ascii="inherit" w:eastAsia="Times New Roman" w:hAnsi="inherit" w:cs="Times New Roman"/>
          <w:color w:val="333333"/>
          <w:sz w:val="21"/>
          <w:szCs w:val="21"/>
          <w:lang w:eastAsia="es-VE"/>
        </w:rPr>
        <w:t>el</w:t>
      </w:r>
      <w:r w:rsidRPr="00A85C99">
        <w:rPr>
          <w:rFonts w:ascii="inherit" w:eastAsia="Times New Roman" w:hAnsi="inherit" w:cs="Times New Roman"/>
          <w:b/>
          <w:bCs/>
          <w:color w:val="333333"/>
          <w:sz w:val="21"/>
          <w:szCs w:val="21"/>
          <w:lang w:eastAsia="es-VE"/>
        </w:rPr>
        <w:t>artículo</w:t>
      </w:r>
      <w:proofErr w:type="spellEnd"/>
      <w:r w:rsidRPr="00A85C99">
        <w:rPr>
          <w:rFonts w:ascii="inherit" w:eastAsia="Times New Roman" w:hAnsi="inherit" w:cs="Times New Roman"/>
          <w:b/>
          <w:bCs/>
          <w:color w:val="333333"/>
          <w:sz w:val="21"/>
          <w:szCs w:val="21"/>
          <w:lang w:eastAsia="es-VE"/>
        </w:rPr>
        <w:t xml:space="preserve"> 286 del Código </w:t>
      </w:r>
      <w:proofErr w:type="spellStart"/>
      <w:r w:rsidRPr="00A85C99">
        <w:rPr>
          <w:rFonts w:ascii="inherit" w:eastAsia="Times New Roman" w:hAnsi="inherit" w:cs="Times New Roman"/>
          <w:b/>
          <w:bCs/>
          <w:color w:val="333333"/>
          <w:sz w:val="21"/>
          <w:szCs w:val="21"/>
          <w:lang w:eastAsia="es-VE"/>
        </w:rPr>
        <w:t>ejusdem</w:t>
      </w:r>
      <w:proofErr w:type="spellEnd"/>
      <w:r w:rsidRPr="00A85C99">
        <w:rPr>
          <w:rFonts w:ascii="inherit" w:eastAsia="Times New Roman" w:hAnsi="inherit" w:cs="Times New Roman"/>
          <w:color w:val="333333"/>
          <w:sz w:val="21"/>
          <w:szCs w:val="21"/>
          <w:lang w:eastAsia="es-VE"/>
        </w:rPr>
        <w:t>, pidiendo al tribunal que las calcule y exprese oportunamente.</w:t>
      </w:r>
    </w:p>
    <w:p w:rsidR="00A85C99" w:rsidRPr="00A85C99" w:rsidRDefault="00A85C99" w:rsidP="00A85C99">
      <w:pPr>
        <w:shd w:val="clear" w:color="auto" w:fill="FFFFFF"/>
        <w:spacing w:after="0"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4) Pido también al Juzgado que incluya en su decisión definitiva el cómputo  o sumatoria de las planillas de liquidación o facturas de gastos comunes que se sigan venciendo en el transcurso de este proceso, hasta llegado el momento de la ejecución de la sentencia, si fuese el caso, las cuales se </w:t>
      </w:r>
      <w:r w:rsidRPr="00A85C99">
        <w:rPr>
          <w:rFonts w:ascii="inherit" w:eastAsia="Times New Roman" w:hAnsi="inherit" w:cs="Times New Roman"/>
          <w:b/>
          <w:bCs/>
          <w:color w:val="333333"/>
          <w:sz w:val="21"/>
          <w:szCs w:val="21"/>
          <w:u w:val="single"/>
          <w:bdr w:val="none" w:sz="0" w:space="0" w:color="auto" w:frame="1"/>
          <w:lang w:eastAsia="es-VE"/>
        </w:rPr>
        <w:t> producirán y anexarán oportunamente durante el  juicio</w:t>
      </w:r>
      <w:r w:rsidRPr="00A85C99">
        <w:rPr>
          <w:rFonts w:ascii="inherit" w:eastAsia="Times New Roman" w:hAnsi="inherit" w:cs="Times New Roman"/>
          <w:color w:val="333333"/>
          <w:sz w:val="21"/>
          <w:szCs w:val="21"/>
          <w:lang w:eastAsia="es-VE"/>
        </w:rPr>
        <w:t>.</w:t>
      </w:r>
    </w:p>
    <w:p w:rsidR="00A85C99" w:rsidRPr="00A85C99" w:rsidRDefault="00A85C99" w:rsidP="00A85C99">
      <w:pPr>
        <w:shd w:val="clear" w:color="auto" w:fill="FFFFFF"/>
        <w:spacing w:after="0"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            5) Pido  al Tribunal que decrete las siguientes </w:t>
      </w:r>
      <w:r w:rsidRPr="00A85C99">
        <w:rPr>
          <w:rFonts w:ascii="inherit" w:eastAsia="Times New Roman" w:hAnsi="inherit" w:cs="Times New Roman"/>
          <w:b/>
          <w:bCs/>
          <w:color w:val="333333"/>
          <w:sz w:val="21"/>
          <w:szCs w:val="21"/>
          <w:u w:val="single"/>
          <w:bdr w:val="none" w:sz="0" w:space="0" w:color="auto" w:frame="1"/>
          <w:lang w:eastAsia="es-VE"/>
        </w:rPr>
        <w:t>medidas preventivas</w:t>
      </w:r>
      <w:r w:rsidRPr="00A85C99">
        <w:rPr>
          <w:rFonts w:ascii="inherit" w:eastAsia="Times New Roman" w:hAnsi="inherit" w:cs="Times New Roman"/>
          <w:color w:val="333333"/>
          <w:sz w:val="21"/>
          <w:szCs w:val="21"/>
          <w:lang w:eastAsia="es-VE"/>
        </w:rPr>
        <w:t> en contra del patrimonio del(la) </w:t>
      </w:r>
      <w:r w:rsidRPr="00A85C99">
        <w:rPr>
          <w:rFonts w:ascii="inherit" w:eastAsia="Times New Roman" w:hAnsi="inherit" w:cs="Times New Roman"/>
          <w:b/>
          <w:bCs/>
          <w:color w:val="333333"/>
          <w:sz w:val="21"/>
          <w:szCs w:val="21"/>
          <w:lang w:eastAsia="es-VE"/>
        </w:rPr>
        <w:t>DEMANDADO(A)</w:t>
      </w:r>
      <w:r w:rsidRPr="00A85C99">
        <w:rPr>
          <w:rFonts w:ascii="inherit" w:eastAsia="Times New Roman" w:hAnsi="inherit" w:cs="Times New Roman"/>
          <w:color w:val="333333"/>
          <w:sz w:val="21"/>
          <w:szCs w:val="21"/>
          <w:lang w:eastAsia="es-VE"/>
        </w:rPr>
        <w:t> a los fines de garantizar las resultas de este juicio: </w:t>
      </w:r>
      <w:r w:rsidRPr="00A85C99">
        <w:rPr>
          <w:rFonts w:ascii="inherit" w:eastAsia="Times New Roman" w:hAnsi="inherit" w:cs="Times New Roman"/>
          <w:b/>
          <w:bCs/>
          <w:color w:val="333333"/>
          <w:sz w:val="21"/>
          <w:szCs w:val="21"/>
          <w:lang w:eastAsia="es-VE"/>
        </w:rPr>
        <w:t>A) Muy especialmente la y preferiblemente sobre cualquier otra medida preventiva, la  </w:t>
      </w:r>
      <w:r w:rsidRPr="00A85C99">
        <w:rPr>
          <w:rFonts w:ascii="inherit" w:eastAsia="Times New Roman" w:hAnsi="inherit" w:cs="Times New Roman"/>
          <w:b/>
          <w:bCs/>
          <w:color w:val="333333"/>
          <w:sz w:val="21"/>
          <w:szCs w:val="21"/>
          <w:u w:val="single"/>
          <w:bdr w:val="none" w:sz="0" w:space="0" w:color="auto" w:frame="1"/>
          <w:lang w:eastAsia="es-VE"/>
        </w:rPr>
        <w:t>Medida de Embargo Ejecutivo</w:t>
      </w:r>
      <w:r w:rsidRPr="00A85C99">
        <w:rPr>
          <w:rFonts w:ascii="inherit" w:eastAsia="Times New Roman" w:hAnsi="inherit" w:cs="Times New Roman"/>
          <w:color w:val="333333"/>
          <w:sz w:val="21"/>
          <w:szCs w:val="21"/>
          <w:lang w:eastAsia="es-VE"/>
        </w:rPr>
        <w:t xml:space="preserve"> sobre el </w:t>
      </w:r>
      <w:r w:rsidRPr="00A85C99">
        <w:rPr>
          <w:rFonts w:ascii="inherit" w:eastAsia="Times New Roman" w:hAnsi="inherit" w:cs="Times New Roman"/>
          <w:color w:val="333333"/>
          <w:sz w:val="21"/>
          <w:szCs w:val="21"/>
          <w:lang w:eastAsia="es-VE"/>
        </w:rPr>
        <w:lastRenderedPageBreak/>
        <w:t>bien inmueble constituido por el apartamento distinguido con las letras: </w:t>
      </w:r>
      <w:r w:rsidRPr="00A85C99">
        <w:rPr>
          <w:rFonts w:ascii="inherit" w:eastAsia="Times New Roman" w:hAnsi="inherit" w:cs="Times New Roman"/>
          <w:b/>
          <w:bCs/>
          <w:color w:val="333333"/>
          <w:sz w:val="21"/>
          <w:szCs w:val="21"/>
          <w:lang w:eastAsia="es-VE"/>
        </w:rPr>
        <w:t>XXXXX</w:t>
      </w:r>
      <w:r w:rsidRPr="00A85C99">
        <w:rPr>
          <w:rFonts w:ascii="inherit" w:eastAsia="Times New Roman" w:hAnsi="inherit" w:cs="Times New Roman"/>
          <w:b/>
          <w:bCs/>
          <w:color w:val="333333"/>
          <w:sz w:val="21"/>
          <w:szCs w:val="21"/>
          <w:u w:val="single"/>
          <w:bdr w:val="none" w:sz="0" w:space="0" w:color="auto" w:frame="1"/>
          <w:lang w:eastAsia="es-VE"/>
        </w:rPr>
        <w:t>,</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b/>
          <w:bCs/>
          <w:color w:val="333333"/>
          <w:sz w:val="21"/>
          <w:szCs w:val="21"/>
          <w:u w:val="single"/>
          <w:bdr w:val="none" w:sz="0" w:space="0" w:color="auto" w:frame="1"/>
          <w:lang w:eastAsia="es-VE"/>
        </w:rPr>
        <w:t>situado en el piso DIEZ (16) del  EDIFICIO XXXXXXXX,  inmueble y condominio</w:t>
      </w:r>
      <w:r w:rsidRPr="00A85C99">
        <w:rPr>
          <w:rFonts w:ascii="inherit" w:eastAsia="Times New Roman" w:hAnsi="inherit" w:cs="Times New Roman"/>
          <w:color w:val="333333"/>
          <w:sz w:val="21"/>
          <w:szCs w:val="21"/>
          <w:lang w:eastAsia="es-VE"/>
        </w:rPr>
        <w:t>, ya arriba identificado; </w:t>
      </w:r>
      <w:r w:rsidRPr="00A85C99">
        <w:rPr>
          <w:rFonts w:ascii="inherit" w:eastAsia="Times New Roman" w:hAnsi="inherit" w:cs="Times New Roman"/>
          <w:b/>
          <w:bCs/>
          <w:color w:val="333333"/>
          <w:sz w:val="21"/>
          <w:szCs w:val="21"/>
          <w:lang w:eastAsia="es-VE"/>
        </w:rPr>
        <w:t>B) </w:t>
      </w:r>
      <w:r w:rsidRPr="00A85C99">
        <w:rPr>
          <w:rFonts w:ascii="inherit" w:eastAsia="Times New Roman" w:hAnsi="inherit" w:cs="Times New Roman"/>
          <w:b/>
          <w:bCs/>
          <w:color w:val="333333"/>
          <w:sz w:val="21"/>
          <w:szCs w:val="21"/>
          <w:u w:val="single"/>
          <w:bdr w:val="none" w:sz="0" w:space="0" w:color="auto" w:frame="1"/>
          <w:lang w:eastAsia="es-VE"/>
        </w:rPr>
        <w:t>Medida de Embargo de Bienes Muebles</w:t>
      </w:r>
      <w:r w:rsidRPr="00A85C99">
        <w:rPr>
          <w:rFonts w:ascii="inherit" w:eastAsia="Times New Roman" w:hAnsi="inherit" w:cs="Times New Roman"/>
          <w:color w:val="333333"/>
          <w:sz w:val="21"/>
          <w:szCs w:val="21"/>
          <w:lang w:eastAsia="es-VE"/>
        </w:rPr>
        <w:t> habidos en el inmueble así como cualquiera de su esfera patrimonial; y </w:t>
      </w:r>
      <w:r w:rsidRPr="00A85C99">
        <w:rPr>
          <w:rFonts w:ascii="inherit" w:eastAsia="Times New Roman" w:hAnsi="inherit" w:cs="Times New Roman"/>
          <w:b/>
          <w:bCs/>
          <w:color w:val="333333"/>
          <w:sz w:val="21"/>
          <w:szCs w:val="21"/>
          <w:lang w:eastAsia="es-VE"/>
        </w:rPr>
        <w:t>C) </w:t>
      </w:r>
      <w:r w:rsidRPr="00A85C99">
        <w:rPr>
          <w:rFonts w:ascii="inherit" w:eastAsia="Times New Roman" w:hAnsi="inherit" w:cs="Times New Roman"/>
          <w:b/>
          <w:bCs/>
          <w:color w:val="333333"/>
          <w:sz w:val="21"/>
          <w:szCs w:val="21"/>
          <w:u w:val="single"/>
          <w:bdr w:val="none" w:sz="0" w:space="0" w:color="auto" w:frame="1"/>
          <w:lang w:eastAsia="es-VE"/>
        </w:rPr>
        <w:t>Medida de Prohibición de Enajenar y Gravar</w:t>
      </w:r>
      <w:r w:rsidRPr="00A85C99">
        <w:rPr>
          <w:rFonts w:ascii="inherit" w:eastAsia="Times New Roman" w:hAnsi="inherit" w:cs="Times New Roman"/>
          <w:color w:val="333333"/>
          <w:sz w:val="21"/>
          <w:szCs w:val="21"/>
          <w:lang w:eastAsia="es-VE"/>
        </w:rPr>
        <w:t> sobre el apartamento antes identificado.</w:t>
      </w:r>
    </w:p>
    <w:p w:rsidR="00A85C99" w:rsidRPr="00A85C99" w:rsidRDefault="00A85C99" w:rsidP="00A85C99">
      <w:pPr>
        <w:shd w:val="clear" w:color="auto" w:fill="FFFFFF"/>
        <w:spacing w:after="343"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Según lo dispuesto en su artículo 340, se estima prudencialmente el valor de la demanda en la cantidad de </w:t>
      </w:r>
      <w:r w:rsidRPr="00A85C99">
        <w:rPr>
          <w:rFonts w:ascii="inherit" w:eastAsia="Times New Roman" w:hAnsi="inherit" w:cs="Times New Roman"/>
          <w:b/>
          <w:bCs/>
          <w:color w:val="333333"/>
          <w:sz w:val="21"/>
          <w:szCs w:val="21"/>
          <w:lang w:eastAsia="es-VE"/>
        </w:rPr>
        <w:t>VEINTE MIL DOSCIENTOS SEIS BOLÍVARES CON NOVENTA Y UN CÉNTIMOS (Bs. 20.206,91).</w:t>
      </w:r>
    </w:p>
    <w:p w:rsidR="00A85C99" w:rsidRPr="00A85C99" w:rsidRDefault="00A85C99" w:rsidP="00A85C99">
      <w:pPr>
        <w:shd w:val="clear" w:color="auto" w:fill="FFFFFF"/>
        <w:spacing w:after="0" w:line="420" w:lineRule="atLeast"/>
        <w:ind w:firstLine="708"/>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lang w:eastAsia="es-VE"/>
        </w:rPr>
        <w:t>8)</w:t>
      </w:r>
      <w:r w:rsidRPr="00A85C99">
        <w:rPr>
          <w:rFonts w:ascii="inherit" w:eastAsia="Times New Roman" w:hAnsi="inherit" w:cs="Times New Roman"/>
          <w:color w:val="333333"/>
          <w:sz w:val="21"/>
          <w:szCs w:val="21"/>
          <w:lang w:eastAsia="es-VE"/>
        </w:rPr>
        <w:t> </w:t>
      </w:r>
      <w:r w:rsidRPr="00A85C99">
        <w:rPr>
          <w:rFonts w:ascii="inherit" w:eastAsia="Times New Roman" w:hAnsi="inherit" w:cs="Times New Roman"/>
          <w:b/>
          <w:bCs/>
          <w:color w:val="333333"/>
          <w:sz w:val="21"/>
          <w:szCs w:val="21"/>
          <w:lang w:eastAsia="es-VE"/>
        </w:rPr>
        <w:t>Pido la citación de la parte demandada en la siguiente dirección: </w:t>
      </w:r>
      <w:r w:rsidRPr="00A85C99">
        <w:rPr>
          <w:rFonts w:ascii="inherit" w:eastAsia="Times New Roman" w:hAnsi="inherit" w:cs="Times New Roman"/>
          <w:b/>
          <w:bCs/>
          <w:color w:val="333333"/>
          <w:sz w:val="21"/>
          <w:szCs w:val="21"/>
          <w:u w:val="single"/>
          <w:bdr w:val="none" w:sz="0" w:space="0" w:color="auto" w:frame="1"/>
          <w:lang w:eastAsia="es-VE"/>
        </w:rPr>
        <w:t xml:space="preserve">inmueble distinguido con las letras y números: “XXXX” , situado en el piso “DIEZ  (10)” del </w:t>
      </w:r>
      <w:proofErr w:type="spellStart"/>
      <w:r w:rsidRPr="00A85C99">
        <w:rPr>
          <w:rFonts w:ascii="inherit" w:eastAsia="Times New Roman" w:hAnsi="inherit" w:cs="Times New Roman"/>
          <w:b/>
          <w:bCs/>
          <w:color w:val="333333"/>
          <w:sz w:val="21"/>
          <w:szCs w:val="21"/>
          <w:u w:val="single"/>
          <w:bdr w:val="none" w:sz="0" w:space="0" w:color="auto" w:frame="1"/>
          <w:lang w:eastAsia="es-VE"/>
        </w:rPr>
        <w:t>EdificioXXXXX</w:t>
      </w:r>
      <w:proofErr w:type="spellEnd"/>
      <w:r w:rsidRPr="00A85C99">
        <w:rPr>
          <w:rFonts w:ascii="inherit" w:eastAsia="Times New Roman" w:hAnsi="inherit" w:cs="Times New Roman"/>
          <w:b/>
          <w:bCs/>
          <w:color w:val="333333"/>
          <w:sz w:val="21"/>
          <w:szCs w:val="21"/>
          <w:u w:val="single"/>
          <w:bdr w:val="none" w:sz="0" w:space="0" w:color="auto" w:frame="1"/>
          <w:lang w:eastAsia="es-VE"/>
        </w:rPr>
        <w:t xml:space="preserve">,  inmueble ubicado entre las esquinas de </w:t>
      </w:r>
      <w:proofErr w:type="spellStart"/>
      <w:r w:rsidRPr="00A85C99">
        <w:rPr>
          <w:rFonts w:ascii="inherit" w:eastAsia="Times New Roman" w:hAnsi="inherit" w:cs="Times New Roman"/>
          <w:b/>
          <w:bCs/>
          <w:color w:val="333333"/>
          <w:sz w:val="21"/>
          <w:szCs w:val="21"/>
          <w:u w:val="single"/>
          <w:bdr w:val="none" w:sz="0" w:space="0" w:color="auto" w:frame="1"/>
          <w:lang w:eastAsia="es-VE"/>
        </w:rPr>
        <w:t>Ño</w:t>
      </w:r>
      <w:proofErr w:type="spellEnd"/>
      <w:r w:rsidRPr="00A85C99">
        <w:rPr>
          <w:rFonts w:ascii="inherit" w:eastAsia="Times New Roman" w:hAnsi="inherit" w:cs="Times New Roman"/>
          <w:b/>
          <w:bCs/>
          <w:color w:val="333333"/>
          <w:sz w:val="21"/>
          <w:szCs w:val="21"/>
          <w:u w:val="single"/>
          <w:bdr w:val="none" w:sz="0" w:space="0" w:color="auto" w:frame="1"/>
          <w:lang w:eastAsia="es-VE"/>
        </w:rPr>
        <w:t xml:space="preserve"> Pastor a Puente Victoria, Parroquia La Candelaria, Municipio Libertador del Distrito Capital, Área Metropolitana de Caracas.</w:t>
      </w:r>
    </w:p>
    <w:p w:rsidR="00A85C99" w:rsidRPr="00A85C99" w:rsidRDefault="00A85C99" w:rsidP="00A85C99">
      <w:pPr>
        <w:shd w:val="clear" w:color="auto" w:fill="FFFFFF"/>
        <w:spacing w:after="343" w:line="420" w:lineRule="atLeast"/>
        <w:ind w:firstLine="999"/>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En cumplimiento de lo establecido en el artículo 174 del Código de Procedimiento Civil, esta representación señala como su domicilio procesal el siguiente: </w:t>
      </w:r>
      <w:r w:rsidRPr="00A85C99">
        <w:rPr>
          <w:rFonts w:ascii="inherit" w:eastAsia="Times New Roman" w:hAnsi="inherit" w:cs="Times New Roman"/>
          <w:b/>
          <w:bCs/>
          <w:color w:val="333333"/>
          <w:sz w:val="21"/>
          <w:szCs w:val="21"/>
          <w:lang w:eastAsia="es-VE"/>
        </w:rPr>
        <w:t xml:space="preserve">“Oficina de Administración del Condominio, Torre “ZZZ”, </w:t>
      </w:r>
      <w:proofErr w:type="spellStart"/>
      <w:r w:rsidRPr="00A85C99">
        <w:rPr>
          <w:rFonts w:ascii="inherit" w:eastAsia="Times New Roman" w:hAnsi="inherit" w:cs="Times New Roman"/>
          <w:b/>
          <w:bCs/>
          <w:color w:val="333333"/>
          <w:sz w:val="21"/>
          <w:szCs w:val="21"/>
          <w:lang w:eastAsia="es-VE"/>
        </w:rPr>
        <w:t>Mezzanina</w:t>
      </w:r>
      <w:proofErr w:type="spellEnd"/>
      <w:r w:rsidRPr="00A85C99">
        <w:rPr>
          <w:rFonts w:ascii="inherit" w:eastAsia="Times New Roman" w:hAnsi="inherit" w:cs="Times New Roman"/>
          <w:b/>
          <w:bCs/>
          <w:color w:val="333333"/>
          <w:sz w:val="21"/>
          <w:szCs w:val="21"/>
          <w:lang w:eastAsia="es-VE"/>
        </w:rPr>
        <w:t xml:space="preserve"> 2; Edificio XXX; _________, Parroquia _________ del Municipio Libertador del Distrito Capital, Área Metropolitana de Caracas: (0212) 123.45.67.</w:t>
      </w:r>
    </w:p>
    <w:p w:rsidR="00A85C99" w:rsidRPr="00A85C99" w:rsidRDefault="00A85C99" w:rsidP="00A85C99">
      <w:pPr>
        <w:shd w:val="clear" w:color="auto" w:fill="FFFFFF"/>
        <w:spacing w:after="343" w:line="420" w:lineRule="atLeast"/>
        <w:ind w:firstLine="999"/>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Finalmente, pido al tribunal que esta demanda sea admitida y declarada con lugar en su sentencia definitiva. Es justicia que solicito en la ciudad de Caracas a los </w:t>
      </w:r>
      <w:r w:rsidRPr="00A85C99">
        <w:rPr>
          <w:rFonts w:ascii="inherit" w:eastAsia="Times New Roman" w:hAnsi="inherit" w:cs="Times New Roman"/>
          <w:b/>
          <w:bCs/>
          <w:color w:val="333333"/>
          <w:sz w:val="21"/>
          <w:szCs w:val="21"/>
          <w:lang w:eastAsia="es-VE"/>
        </w:rPr>
        <w:t>DOS (02)</w:t>
      </w:r>
      <w:r w:rsidRPr="00A85C99">
        <w:rPr>
          <w:rFonts w:ascii="inherit" w:eastAsia="Times New Roman" w:hAnsi="inherit" w:cs="Times New Roman"/>
          <w:color w:val="333333"/>
          <w:sz w:val="21"/>
          <w:szCs w:val="21"/>
          <w:lang w:eastAsia="es-VE"/>
        </w:rPr>
        <w:t> días del mes de </w:t>
      </w:r>
      <w:r w:rsidRPr="00A85C99">
        <w:rPr>
          <w:rFonts w:ascii="inherit" w:eastAsia="Times New Roman" w:hAnsi="inherit" w:cs="Times New Roman"/>
          <w:b/>
          <w:bCs/>
          <w:color w:val="333333"/>
          <w:sz w:val="21"/>
          <w:szCs w:val="21"/>
          <w:lang w:eastAsia="es-VE"/>
        </w:rPr>
        <w:t>DICIEMBRE del año DOS MIL TRECE (2013)</w:t>
      </w:r>
      <w:r w:rsidRPr="00A85C99">
        <w:rPr>
          <w:rFonts w:ascii="inherit" w:eastAsia="Times New Roman" w:hAnsi="inherit" w:cs="Times New Roman"/>
          <w:color w:val="333333"/>
          <w:sz w:val="21"/>
          <w:szCs w:val="21"/>
          <w:lang w:eastAsia="es-VE"/>
        </w:rPr>
        <w:t>.</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Firma conforme;</w:t>
      </w:r>
    </w:p>
    <w:p w:rsidR="00A85C99" w:rsidRPr="00A85C99" w:rsidRDefault="00A85C99" w:rsidP="00A85C99">
      <w:pPr>
        <w:shd w:val="clear" w:color="auto" w:fill="FFFFFF"/>
        <w:spacing w:after="343"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color w:val="333333"/>
          <w:sz w:val="21"/>
          <w:szCs w:val="21"/>
          <w:lang w:eastAsia="es-VE"/>
        </w:rPr>
        <w:t>El abogado apoderado de la parte demandante;</w:t>
      </w:r>
    </w:p>
    <w:p w:rsidR="00A85C99" w:rsidRPr="00A85C99" w:rsidRDefault="00A85C99" w:rsidP="00A85C99">
      <w:pPr>
        <w:shd w:val="clear" w:color="auto" w:fill="FFFFFF"/>
        <w:spacing w:after="0" w:line="420" w:lineRule="atLeast"/>
        <w:jc w:val="both"/>
        <w:textAlignment w:val="baseline"/>
        <w:rPr>
          <w:rFonts w:ascii="inherit" w:eastAsia="Times New Roman" w:hAnsi="inherit" w:cs="Times New Roman"/>
          <w:color w:val="333333"/>
          <w:sz w:val="21"/>
          <w:szCs w:val="21"/>
          <w:lang w:eastAsia="es-VE"/>
        </w:rPr>
      </w:pPr>
      <w:r w:rsidRPr="00A85C99">
        <w:rPr>
          <w:rFonts w:ascii="inherit" w:eastAsia="Times New Roman" w:hAnsi="inherit" w:cs="Times New Roman"/>
          <w:b/>
          <w:bCs/>
          <w:color w:val="333333"/>
          <w:sz w:val="21"/>
          <w:szCs w:val="21"/>
          <w:bdr w:val="none" w:sz="0" w:space="0" w:color="auto" w:frame="1"/>
          <w:lang w:eastAsia="es-VE"/>
        </w:rPr>
        <w:t xml:space="preserve">P.D.: SE PRESENTAN MONTOS FICTICIOS. LO IMPORTANTE ES SEÑALAR QUE LA DEUDA GENERA 3% ANUAL DE INTERESES DE ACUERDO AL ART. 1746 DEL CÓDIGO CIVIL VENEZOLANO (0,25% MENSUAL) Y QUE EL CÓMPUTO DEL MES VENCIDO COMIENZA EN EL MES SIGUIENTE AL INDICADO COMO MES DE EMISIÓN, YA QUE LA FACTURACIÓN SIEMPRE SE HACE POR MESES CAUSADOS, ES DECIR, LUEGO DE CONCLUIDO EL MES, POR LO QUE AL EMITIR LA FACTURA O PLANILLA DE </w:t>
      </w:r>
      <w:r w:rsidRPr="00A85C99">
        <w:rPr>
          <w:rFonts w:ascii="inherit" w:eastAsia="Times New Roman" w:hAnsi="inherit" w:cs="Times New Roman"/>
          <w:b/>
          <w:bCs/>
          <w:color w:val="333333"/>
          <w:sz w:val="21"/>
          <w:szCs w:val="21"/>
          <w:bdr w:val="none" w:sz="0" w:space="0" w:color="auto" w:frame="1"/>
          <w:lang w:eastAsia="es-VE"/>
        </w:rPr>
        <w:lastRenderedPageBreak/>
        <w:t>LIQUIDACIÓN DE GASTOS COMUNES, SE VENCERÁ A LOS 30 DÍAS LUEGO DE EMITIDA (CUANDO COMENZARÁ LA MORA) O EN EL TIEMPO QUE SEÑALE EL DOCUMENTO DE CONDOMINIO.</w:t>
      </w:r>
    </w:p>
    <w:p w:rsidR="003F694A" w:rsidRDefault="003F694A"/>
    <w:sectPr w:rsidR="003F69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06202"/>
    <w:multiLevelType w:val="multilevel"/>
    <w:tmpl w:val="58D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99"/>
    <w:rsid w:val="001A7EF9"/>
    <w:rsid w:val="00275267"/>
    <w:rsid w:val="003F694A"/>
    <w:rsid w:val="00A85C9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3EEA3-3C9B-4B47-BBC3-3F8CBFB2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5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3">
    <w:name w:val="heading 3"/>
    <w:basedOn w:val="Normal"/>
    <w:link w:val="Ttulo3Car"/>
    <w:uiPriority w:val="9"/>
    <w:qFormat/>
    <w:rsid w:val="00A85C99"/>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5C99"/>
    <w:rPr>
      <w:rFonts w:ascii="Times New Roman" w:eastAsia="Times New Roman" w:hAnsi="Times New Roman" w:cs="Times New Roman"/>
      <w:b/>
      <w:bCs/>
      <w:kern w:val="36"/>
      <w:sz w:val="48"/>
      <w:szCs w:val="48"/>
      <w:lang w:eastAsia="es-VE"/>
    </w:rPr>
  </w:style>
  <w:style w:type="character" w:customStyle="1" w:styleId="Ttulo3Car">
    <w:name w:val="Título 3 Car"/>
    <w:basedOn w:val="Fuentedeprrafopredeter"/>
    <w:link w:val="Ttulo3"/>
    <w:uiPriority w:val="9"/>
    <w:rsid w:val="00A85C99"/>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A85C99"/>
    <w:rPr>
      <w:color w:val="0000FF"/>
      <w:u w:val="single"/>
    </w:rPr>
  </w:style>
  <w:style w:type="character" w:styleId="Hipervnculovisitado">
    <w:name w:val="FollowedHyperlink"/>
    <w:basedOn w:val="Fuentedeprrafopredeter"/>
    <w:uiPriority w:val="99"/>
    <w:semiHidden/>
    <w:unhideWhenUsed/>
    <w:rsid w:val="00A85C99"/>
    <w:rPr>
      <w:color w:val="800080"/>
      <w:u w:val="single"/>
    </w:rPr>
  </w:style>
  <w:style w:type="paragraph" w:styleId="NormalWeb">
    <w:name w:val="Normal (Web)"/>
    <w:basedOn w:val="Normal"/>
    <w:uiPriority w:val="99"/>
    <w:semiHidden/>
    <w:unhideWhenUsed/>
    <w:rsid w:val="00A85C9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A85C99"/>
  </w:style>
  <w:style w:type="character" w:styleId="Textoennegrita">
    <w:name w:val="Strong"/>
    <w:basedOn w:val="Fuentedeprrafopredeter"/>
    <w:uiPriority w:val="22"/>
    <w:qFormat/>
    <w:rsid w:val="00A85C99"/>
    <w:rPr>
      <w:b/>
      <w:bCs/>
    </w:rPr>
  </w:style>
  <w:style w:type="paragraph" w:styleId="Sangradetextonormal">
    <w:name w:val="Body Text Indent"/>
    <w:basedOn w:val="Normal"/>
    <w:link w:val="SangradetextonormalCar"/>
    <w:uiPriority w:val="99"/>
    <w:semiHidden/>
    <w:unhideWhenUsed/>
    <w:rsid w:val="00A85C9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85C99"/>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A85C9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A85C99"/>
    <w:rPr>
      <w:rFonts w:ascii="Times New Roman" w:eastAsia="Times New Roman" w:hAnsi="Times New Roman" w:cs="Times New Roman"/>
      <w:sz w:val="24"/>
      <w:szCs w:val="24"/>
      <w:lang w:eastAsia="es-VE"/>
    </w:rPr>
  </w:style>
  <w:style w:type="paragraph" w:styleId="Sangra3detindependiente">
    <w:name w:val="Body Text Indent 3"/>
    <w:basedOn w:val="Normal"/>
    <w:link w:val="Sangra3detindependienteCar"/>
    <w:uiPriority w:val="99"/>
    <w:semiHidden/>
    <w:unhideWhenUsed/>
    <w:rsid w:val="00A85C9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3detindependienteCar">
    <w:name w:val="Sangría 3 de t. independiente Car"/>
    <w:basedOn w:val="Fuentedeprrafopredeter"/>
    <w:link w:val="Sangra3detindependiente"/>
    <w:uiPriority w:val="99"/>
    <w:semiHidden/>
    <w:rsid w:val="00A85C99"/>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04929">
      <w:bodyDiv w:val="1"/>
      <w:marLeft w:val="0"/>
      <w:marRight w:val="0"/>
      <w:marTop w:val="0"/>
      <w:marBottom w:val="0"/>
      <w:divBdr>
        <w:top w:val="none" w:sz="0" w:space="0" w:color="auto"/>
        <w:left w:val="none" w:sz="0" w:space="0" w:color="auto"/>
        <w:bottom w:val="none" w:sz="0" w:space="0" w:color="auto"/>
        <w:right w:val="none" w:sz="0" w:space="0" w:color="auto"/>
      </w:divBdr>
      <w:divsChild>
        <w:div w:id="880476341">
          <w:marLeft w:val="0"/>
          <w:marRight w:val="0"/>
          <w:marTop w:val="0"/>
          <w:marBottom w:val="0"/>
          <w:divBdr>
            <w:top w:val="none" w:sz="0" w:space="0" w:color="auto"/>
            <w:left w:val="none" w:sz="0" w:space="0" w:color="auto"/>
            <w:bottom w:val="none" w:sz="0" w:space="0" w:color="auto"/>
            <w:right w:val="none" w:sz="0" w:space="0" w:color="auto"/>
          </w:divBdr>
          <w:divsChild>
            <w:div w:id="1969429902">
              <w:marLeft w:val="0"/>
              <w:marRight w:val="0"/>
              <w:marTop w:val="0"/>
              <w:marBottom w:val="0"/>
              <w:divBdr>
                <w:top w:val="none" w:sz="0" w:space="0" w:color="auto"/>
                <w:left w:val="none" w:sz="0" w:space="0" w:color="auto"/>
                <w:bottom w:val="none" w:sz="0" w:space="0" w:color="auto"/>
                <w:right w:val="none" w:sz="0" w:space="0" w:color="auto"/>
              </w:divBdr>
              <w:divsChild>
                <w:div w:id="734083489">
                  <w:marLeft w:val="0"/>
                  <w:marRight w:val="0"/>
                  <w:marTop w:val="0"/>
                  <w:marBottom w:val="0"/>
                  <w:divBdr>
                    <w:top w:val="none" w:sz="0" w:space="0" w:color="auto"/>
                    <w:left w:val="none" w:sz="0" w:space="0" w:color="auto"/>
                    <w:bottom w:val="none" w:sz="0" w:space="0" w:color="auto"/>
                    <w:right w:val="none" w:sz="0" w:space="0" w:color="auto"/>
                  </w:divBdr>
                  <w:divsChild>
                    <w:div w:id="364983324">
                      <w:marLeft w:val="0"/>
                      <w:marRight w:val="15"/>
                      <w:marTop w:val="0"/>
                      <w:marBottom w:val="0"/>
                      <w:divBdr>
                        <w:top w:val="none" w:sz="0" w:space="0" w:color="auto"/>
                        <w:left w:val="none" w:sz="0" w:space="0" w:color="auto"/>
                        <w:bottom w:val="none" w:sz="0" w:space="0" w:color="auto"/>
                        <w:right w:val="none" w:sz="0" w:space="0" w:color="auto"/>
                      </w:divBdr>
                    </w:div>
                    <w:div w:id="585573959">
                      <w:marLeft w:val="0"/>
                      <w:marRight w:val="15"/>
                      <w:marTop w:val="0"/>
                      <w:marBottom w:val="0"/>
                      <w:divBdr>
                        <w:top w:val="none" w:sz="0" w:space="0" w:color="auto"/>
                        <w:left w:val="none" w:sz="0" w:space="0" w:color="auto"/>
                        <w:bottom w:val="none" w:sz="0" w:space="0" w:color="auto"/>
                        <w:right w:val="none" w:sz="0" w:space="0" w:color="auto"/>
                      </w:divBdr>
                    </w:div>
                    <w:div w:id="50081561">
                      <w:marLeft w:val="0"/>
                      <w:marRight w:val="15"/>
                      <w:marTop w:val="0"/>
                      <w:marBottom w:val="0"/>
                      <w:divBdr>
                        <w:top w:val="none" w:sz="0" w:space="0" w:color="auto"/>
                        <w:left w:val="none" w:sz="0" w:space="0" w:color="auto"/>
                        <w:bottom w:val="none" w:sz="0" w:space="0" w:color="auto"/>
                        <w:right w:val="none" w:sz="0" w:space="0" w:color="auto"/>
                      </w:divBdr>
                    </w:div>
                    <w:div w:id="1999993147">
                      <w:marLeft w:val="0"/>
                      <w:marRight w:val="15"/>
                      <w:marTop w:val="0"/>
                      <w:marBottom w:val="0"/>
                      <w:divBdr>
                        <w:top w:val="none" w:sz="0" w:space="0" w:color="auto"/>
                        <w:left w:val="none" w:sz="0" w:space="0" w:color="auto"/>
                        <w:bottom w:val="none" w:sz="0" w:space="0" w:color="auto"/>
                        <w:right w:val="none" w:sz="0" w:space="0" w:color="auto"/>
                      </w:divBdr>
                    </w:div>
                    <w:div w:id="180986198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3065</Words>
  <Characters>16859</Characters>
  <Application>Microsoft Office Word</Application>
  <DocSecurity>0</DocSecurity>
  <Lines>140</Lines>
  <Paragraphs>39</Paragraphs>
  <ScaleCrop>false</ScaleCrop>
  <Company/>
  <LinksUpToDate>false</LinksUpToDate>
  <CharactersWithSpaces>19885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2015-11-24T22:55:00Z</dcterms:created>
  <dcterms:modified xsi:type="dcterms:W3CDTF">2015-11-24T23:00:00Z</dcterms:modified>
</cp:coreProperties>
</file>