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bookmarkStart w:id="0" w:name="_GoBack"/>
      <w:r w:rsidRPr="004E0F30">
        <w:rPr>
          <w:rFonts w:ascii="Trebuchet MS" w:eastAsia="Times New Roman" w:hAnsi="Trebuchet MS" w:cs="Times New Roman"/>
          <w:sz w:val="20"/>
          <w:szCs w:val="20"/>
          <w:lang w:eastAsia="es-ES"/>
        </w:rPr>
        <w:t>Solicitud Autorización Judicial Para Vender Inmueble de Persona Entredicha</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CIUDADANO</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JUEZ  DE PRIMERA INSTANCIA EN LO CIVIL DE    </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SU DESPACHO</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Yo       mayor de edad, de este domicilio, de nacionalidad     de profesión     , de estado civil     , titular de la Cédula de Identidad No     , en mi carácter de Tutor Interino del ciudadano    , según se evidencia del nombramiento decretado por ese Des</w:t>
      </w:r>
      <w:r w:rsidRPr="004E0F30">
        <w:rPr>
          <w:rFonts w:ascii="Trebuchet MS" w:eastAsia="Times New Roman" w:hAnsi="Trebuchet MS" w:cs="Times New Roman"/>
          <w:sz w:val="20"/>
          <w:szCs w:val="20"/>
          <w:lang w:eastAsia="es-ES"/>
        </w:rPr>
        <w:softHyphen/>
        <w:t>pacho, en fecha       ante usted, con la venia de estilo, ocurro para solicitar se me autorice suficientemente para representar al prenombra</w:t>
      </w:r>
      <w:r w:rsidRPr="004E0F30">
        <w:rPr>
          <w:rFonts w:ascii="Trebuchet MS" w:eastAsia="Times New Roman" w:hAnsi="Trebuchet MS" w:cs="Times New Roman"/>
          <w:sz w:val="20"/>
          <w:szCs w:val="20"/>
          <w:lang w:eastAsia="es-ES"/>
        </w:rPr>
        <w:softHyphen/>
        <w:t xml:space="preserve">do ciudadano      , en la venta de un inmueble ubicado en     del cual mi pupilo es </w:t>
      </w:r>
      <w:proofErr w:type="spellStart"/>
      <w:r w:rsidRPr="004E0F30">
        <w:rPr>
          <w:rFonts w:ascii="Trebuchet MS" w:eastAsia="Times New Roman" w:hAnsi="Trebuchet MS" w:cs="Times New Roman"/>
          <w:sz w:val="20"/>
          <w:szCs w:val="20"/>
          <w:lang w:eastAsia="es-ES"/>
        </w:rPr>
        <w:t>co</w:t>
      </w:r>
      <w:proofErr w:type="spellEnd"/>
      <w:r w:rsidRPr="004E0F30">
        <w:rPr>
          <w:rFonts w:ascii="Trebuchet MS" w:eastAsia="Times New Roman" w:hAnsi="Trebuchet MS" w:cs="Times New Roman"/>
          <w:sz w:val="20"/>
          <w:szCs w:val="20"/>
          <w:lang w:eastAsia="es-ES"/>
        </w:rPr>
        <w:t>-propietario. Acompaño marcada “A” copia certificada del documento del inmueble en cuestión en donde están pormenorizados todos los detalles de dicho inmueble tales como sus linderos, medidas, etc. Es Justicia que solicito y espero en la ciudad de      al tenor del artículo 397 del Código Civil Vigente, en concor</w:t>
      </w:r>
      <w:r w:rsidRPr="004E0F30">
        <w:rPr>
          <w:rFonts w:ascii="Trebuchet MS" w:eastAsia="Times New Roman" w:hAnsi="Trebuchet MS" w:cs="Times New Roman"/>
          <w:sz w:val="20"/>
          <w:szCs w:val="20"/>
          <w:lang w:eastAsia="es-ES"/>
        </w:rPr>
        <w:softHyphen/>
        <w:t>dancia con el artículo 365 ejusdem, a los      días del mes de     </w:t>
      </w:r>
      <w:proofErr w:type="spellStart"/>
      <w:r w:rsidRPr="004E0F30">
        <w:rPr>
          <w:rFonts w:ascii="Trebuchet MS" w:eastAsia="Times New Roman" w:hAnsi="Trebuchet MS" w:cs="Times New Roman"/>
          <w:sz w:val="20"/>
          <w:szCs w:val="20"/>
          <w:lang w:eastAsia="es-ES"/>
        </w:rPr>
        <w:t>de</w:t>
      </w:r>
      <w:proofErr w:type="spellEnd"/>
      <w:r w:rsidRPr="004E0F30">
        <w:rPr>
          <w:rFonts w:ascii="Trebuchet MS" w:eastAsia="Times New Roman" w:hAnsi="Trebuchet MS" w:cs="Times New Roman"/>
          <w:sz w:val="20"/>
          <w:szCs w:val="20"/>
          <w:lang w:eastAsia="es-ES"/>
        </w:rPr>
        <w:t xml:space="preserve">  </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Firma del solicitante,</w:t>
      </w:r>
    </w:p>
    <w:p w:rsidR="004E0F30" w:rsidRPr="004E0F30" w:rsidRDefault="004E0F30" w:rsidP="004E0F30">
      <w:pPr>
        <w:spacing w:after="0" w:line="240" w:lineRule="auto"/>
        <w:rPr>
          <w:rFonts w:ascii="Times New Roman" w:eastAsia="Times New Roman" w:hAnsi="Times New Roman" w:cs="Times New Roman"/>
          <w:sz w:val="24"/>
          <w:szCs w:val="24"/>
          <w:lang w:eastAsia="es-ES"/>
        </w:rPr>
      </w:pPr>
      <w:r w:rsidRPr="004E0F30">
        <w:rPr>
          <w:rFonts w:ascii="Trebuchet MS" w:eastAsia="Times New Roman" w:hAnsi="Trebuchet MS" w:cs="Times New Roman"/>
          <w:sz w:val="24"/>
          <w:szCs w:val="24"/>
          <w:shd w:val="clear" w:color="auto" w:fill="FFFFFF"/>
          <w:lang w:eastAsia="es-ES"/>
        </w:rPr>
        <w:br w:type="page"/>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lastRenderedPageBreak/>
        <w:t>NOTA:           Artículos 397 del Código Civil Vigente y 365 ejusdem.</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Artículo 397 del Código Civil. El entredicho queda bajo tutela y las deposiciones relativas a la tutela de los menores son comunes a la de los entredichos, en cuanto sean adaptables a la natu</w:t>
      </w:r>
      <w:r w:rsidRPr="004E0F30">
        <w:rPr>
          <w:rFonts w:ascii="Trebuchet MS" w:eastAsia="Times New Roman" w:hAnsi="Trebuchet MS" w:cs="Times New Roman"/>
          <w:sz w:val="20"/>
          <w:szCs w:val="20"/>
          <w:lang w:eastAsia="es-ES"/>
        </w:rPr>
        <w:softHyphen/>
        <w:t>raleza de ésta.</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Artículo 365 ejusdem. El tutor no puede, sin autorización judicial tomar dinero a préstamo en ningún caso ni darlo sin garantía; dar prendas o hipotecas; enajenar ni gravar los bienes inmue</w:t>
      </w:r>
      <w:r w:rsidRPr="004E0F30">
        <w:rPr>
          <w:rFonts w:ascii="Trebuchet MS" w:eastAsia="Times New Roman" w:hAnsi="Trebuchet MS" w:cs="Times New Roman"/>
          <w:sz w:val="20"/>
          <w:szCs w:val="20"/>
          <w:lang w:eastAsia="es-ES"/>
        </w:rPr>
        <w:softHyphen/>
        <w:t xml:space="preserve">bles o muebles, </w:t>
      </w:r>
      <w:proofErr w:type="spellStart"/>
      <w:r w:rsidRPr="004E0F30">
        <w:rPr>
          <w:rFonts w:ascii="Trebuchet MS" w:eastAsia="Times New Roman" w:hAnsi="Trebuchet MS" w:cs="Times New Roman"/>
          <w:sz w:val="20"/>
          <w:szCs w:val="20"/>
          <w:lang w:eastAsia="es-ES"/>
        </w:rPr>
        <w:t>cualesquiera</w:t>
      </w:r>
      <w:proofErr w:type="spellEnd"/>
      <w:r w:rsidRPr="004E0F30">
        <w:rPr>
          <w:rFonts w:ascii="Trebuchet MS" w:eastAsia="Times New Roman" w:hAnsi="Trebuchet MS" w:cs="Times New Roman"/>
          <w:sz w:val="20"/>
          <w:szCs w:val="20"/>
          <w:lang w:eastAsia="es-ES"/>
        </w:rPr>
        <w:t xml:space="preserve"> que sea su valor, ceder o traspasar créditos o documentos de cré</w:t>
      </w:r>
      <w:r w:rsidRPr="004E0F30">
        <w:rPr>
          <w:rFonts w:ascii="Trebuchet MS" w:eastAsia="Times New Roman" w:hAnsi="Trebuchet MS" w:cs="Times New Roman"/>
          <w:sz w:val="20"/>
          <w:szCs w:val="20"/>
          <w:lang w:eastAsia="es-ES"/>
        </w:rPr>
        <w:softHyphen/>
        <w:t>ditos, adquirir bienes inmuebles, excepto para los objetos necesarios a la economía doméstica o a la administración del patrimonio; dar ni tomar en arrendamiento bienes raíces por tiempo determinado; obligarse a hacer ni a pagar mejoras; repudiar herencia; aceptar donaciones o le</w:t>
      </w:r>
      <w:r w:rsidRPr="004E0F30">
        <w:rPr>
          <w:rFonts w:ascii="Trebuchet MS" w:eastAsia="Times New Roman" w:hAnsi="Trebuchet MS" w:cs="Times New Roman"/>
          <w:sz w:val="20"/>
          <w:szCs w:val="20"/>
          <w:lang w:eastAsia="es-ES"/>
        </w:rPr>
        <w:softHyphen/>
        <w:t>gados sujetos o gravámenes o condiciones, someter a árbitros los pleitos ni transigirlos, conve</w:t>
      </w:r>
      <w:r w:rsidRPr="004E0F30">
        <w:rPr>
          <w:rFonts w:ascii="Trebuchet MS" w:eastAsia="Times New Roman" w:hAnsi="Trebuchet MS" w:cs="Times New Roman"/>
          <w:sz w:val="20"/>
          <w:szCs w:val="20"/>
          <w:lang w:eastAsia="es-ES"/>
        </w:rPr>
        <w:softHyphen/>
        <w:t>nir en las demandas ni desistir de ellas, ni llevar a cabo particiones.</w:t>
      </w: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p>
    <w:p w:rsidR="004E0F30" w:rsidRPr="004E0F30" w:rsidRDefault="004E0F30" w:rsidP="004E0F30">
      <w:pPr>
        <w:shd w:val="clear" w:color="auto" w:fill="FFFFFF"/>
        <w:spacing w:after="0" w:line="277" w:lineRule="atLeast"/>
        <w:rPr>
          <w:rFonts w:ascii="Trebuchet MS" w:eastAsia="Times New Roman" w:hAnsi="Trebuchet MS" w:cs="Times New Roman"/>
          <w:sz w:val="20"/>
          <w:szCs w:val="20"/>
          <w:lang w:eastAsia="es-ES"/>
        </w:rPr>
      </w:pPr>
      <w:r w:rsidRPr="004E0F30">
        <w:rPr>
          <w:rFonts w:ascii="Trebuchet MS" w:eastAsia="Times New Roman" w:hAnsi="Trebuchet MS" w:cs="Times New Roman"/>
          <w:sz w:val="20"/>
          <w:szCs w:val="20"/>
          <w:lang w:eastAsia="es-ES"/>
        </w:rPr>
        <w:t>Son aplicables las disposiciones del artículo 267 a la promoción, sustanciación y despacho de las autorizaciones judiciales necesarias a los tutores.</w:t>
      </w:r>
    </w:p>
    <w:bookmarkEnd w:id="0"/>
    <w:p w:rsidR="004A5F04" w:rsidRPr="004E0F30" w:rsidRDefault="004A5F04"/>
    <w:sectPr w:rsidR="004A5F04" w:rsidRPr="004E0F3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F30"/>
    <w:rsid w:val="004A5F04"/>
    <w:rsid w:val="004E0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5404819">
      <w:bodyDiv w:val="1"/>
      <w:marLeft w:val="0"/>
      <w:marRight w:val="0"/>
      <w:marTop w:val="0"/>
      <w:marBottom w:val="0"/>
      <w:divBdr>
        <w:top w:val="none" w:sz="0" w:space="0" w:color="auto"/>
        <w:left w:val="none" w:sz="0" w:space="0" w:color="auto"/>
        <w:bottom w:val="none" w:sz="0" w:space="0" w:color="auto"/>
        <w:right w:val="none" w:sz="0" w:space="0" w:color="auto"/>
      </w:divBdr>
      <w:divsChild>
        <w:div w:id="723984958">
          <w:marLeft w:val="0"/>
          <w:marRight w:val="0"/>
          <w:marTop w:val="0"/>
          <w:marBottom w:val="0"/>
          <w:divBdr>
            <w:top w:val="none" w:sz="0" w:space="0" w:color="auto"/>
            <w:left w:val="none" w:sz="0" w:space="0" w:color="auto"/>
            <w:bottom w:val="none" w:sz="0" w:space="0" w:color="auto"/>
            <w:right w:val="none" w:sz="0" w:space="0" w:color="auto"/>
          </w:divBdr>
          <w:divsChild>
            <w:div w:id="158426354">
              <w:marLeft w:val="0"/>
              <w:marRight w:val="0"/>
              <w:marTop w:val="0"/>
              <w:marBottom w:val="0"/>
              <w:divBdr>
                <w:top w:val="none" w:sz="0" w:space="0" w:color="auto"/>
                <w:left w:val="none" w:sz="0" w:space="0" w:color="auto"/>
                <w:bottom w:val="none" w:sz="0" w:space="0" w:color="auto"/>
                <w:right w:val="none" w:sz="0" w:space="0" w:color="auto"/>
              </w:divBdr>
            </w:div>
            <w:div w:id="898246204">
              <w:marLeft w:val="0"/>
              <w:marRight w:val="0"/>
              <w:marTop w:val="0"/>
              <w:marBottom w:val="0"/>
              <w:divBdr>
                <w:top w:val="none" w:sz="0" w:space="0" w:color="auto"/>
                <w:left w:val="none" w:sz="0" w:space="0" w:color="auto"/>
                <w:bottom w:val="none" w:sz="0" w:space="0" w:color="auto"/>
                <w:right w:val="none" w:sz="0" w:space="0" w:color="auto"/>
              </w:divBdr>
            </w:div>
            <w:div w:id="1432622628">
              <w:marLeft w:val="0"/>
              <w:marRight w:val="0"/>
              <w:marTop w:val="0"/>
              <w:marBottom w:val="0"/>
              <w:divBdr>
                <w:top w:val="none" w:sz="0" w:space="0" w:color="auto"/>
                <w:left w:val="none" w:sz="0" w:space="0" w:color="auto"/>
                <w:bottom w:val="none" w:sz="0" w:space="0" w:color="auto"/>
                <w:right w:val="none" w:sz="0" w:space="0" w:color="auto"/>
              </w:divBdr>
            </w:div>
            <w:div w:id="47073475">
              <w:marLeft w:val="0"/>
              <w:marRight w:val="0"/>
              <w:marTop w:val="0"/>
              <w:marBottom w:val="0"/>
              <w:divBdr>
                <w:top w:val="none" w:sz="0" w:space="0" w:color="auto"/>
                <w:left w:val="none" w:sz="0" w:space="0" w:color="auto"/>
                <w:bottom w:val="none" w:sz="0" w:space="0" w:color="auto"/>
                <w:right w:val="none" w:sz="0" w:space="0" w:color="auto"/>
              </w:divBdr>
            </w:div>
            <w:div w:id="1938367518">
              <w:marLeft w:val="0"/>
              <w:marRight w:val="0"/>
              <w:marTop w:val="0"/>
              <w:marBottom w:val="0"/>
              <w:divBdr>
                <w:top w:val="none" w:sz="0" w:space="0" w:color="auto"/>
                <w:left w:val="none" w:sz="0" w:space="0" w:color="auto"/>
                <w:bottom w:val="none" w:sz="0" w:space="0" w:color="auto"/>
                <w:right w:val="none" w:sz="0" w:space="0" w:color="auto"/>
              </w:divBdr>
            </w:div>
            <w:div w:id="680085182">
              <w:marLeft w:val="0"/>
              <w:marRight w:val="0"/>
              <w:marTop w:val="0"/>
              <w:marBottom w:val="0"/>
              <w:divBdr>
                <w:top w:val="none" w:sz="0" w:space="0" w:color="auto"/>
                <w:left w:val="none" w:sz="0" w:space="0" w:color="auto"/>
                <w:bottom w:val="none" w:sz="0" w:space="0" w:color="auto"/>
                <w:right w:val="none" w:sz="0" w:space="0" w:color="auto"/>
              </w:divBdr>
            </w:div>
            <w:div w:id="90274813">
              <w:marLeft w:val="0"/>
              <w:marRight w:val="0"/>
              <w:marTop w:val="0"/>
              <w:marBottom w:val="0"/>
              <w:divBdr>
                <w:top w:val="none" w:sz="0" w:space="0" w:color="auto"/>
                <w:left w:val="none" w:sz="0" w:space="0" w:color="auto"/>
                <w:bottom w:val="none" w:sz="0" w:space="0" w:color="auto"/>
                <w:right w:val="none" w:sz="0" w:space="0" w:color="auto"/>
              </w:divBdr>
            </w:div>
            <w:div w:id="1109468292">
              <w:marLeft w:val="0"/>
              <w:marRight w:val="0"/>
              <w:marTop w:val="0"/>
              <w:marBottom w:val="0"/>
              <w:divBdr>
                <w:top w:val="none" w:sz="0" w:space="0" w:color="auto"/>
                <w:left w:val="none" w:sz="0" w:space="0" w:color="auto"/>
                <w:bottom w:val="none" w:sz="0" w:space="0" w:color="auto"/>
                <w:right w:val="none" w:sz="0" w:space="0" w:color="auto"/>
              </w:divBdr>
            </w:div>
            <w:div w:id="2062095402">
              <w:marLeft w:val="0"/>
              <w:marRight w:val="0"/>
              <w:marTop w:val="0"/>
              <w:marBottom w:val="0"/>
              <w:divBdr>
                <w:top w:val="none" w:sz="0" w:space="0" w:color="auto"/>
                <w:left w:val="none" w:sz="0" w:space="0" w:color="auto"/>
                <w:bottom w:val="none" w:sz="0" w:space="0" w:color="auto"/>
                <w:right w:val="none" w:sz="0" w:space="0" w:color="auto"/>
              </w:divBdr>
            </w:div>
          </w:divsChild>
        </w:div>
        <w:div w:id="955216888">
          <w:marLeft w:val="0"/>
          <w:marRight w:val="0"/>
          <w:marTop w:val="0"/>
          <w:marBottom w:val="0"/>
          <w:divBdr>
            <w:top w:val="none" w:sz="0" w:space="0" w:color="auto"/>
            <w:left w:val="none" w:sz="0" w:space="0" w:color="auto"/>
            <w:bottom w:val="none" w:sz="0" w:space="0" w:color="auto"/>
            <w:right w:val="none" w:sz="0" w:space="0" w:color="auto"/>
          </w:divBdr>
        </w:div>
        <w:div w:id="294533001">
          <w:marLeft w:val="0"/>
          <w:marRight w:val="0"/>
          <w:marTop w:val="0"/>
          <w:marBottom w:val="0"/>
          <w:divBdr>
            <w:top w:val="none" w:sz="0" w:space="0" w:color="auto"/>
            <w:left w:val="none" w:sz="0" w:space="0" w:color="auto"/>
            <w:bottom w:val="none" w:sz="0" w:space="0" w:color="auto"/>
            <w:right w:val="none" w:sz="0" w:space="0" w:color="auto"/>
          </w:divBdr>
        </w:div>
        <w:div w:id="220098961">
          <w:marLeft w:val="0"/>
          <w:marRight w:val="0"/>
          <w:marTop w:val="0"/>
          <w:marBottom w:val="0"/>
          <w:divBdr>
            <w:top w:val="none" w:sz="0" w:space="0" w:color="auto"/>
            <w:left w:val="none" w:sz="0" w:space="0" w:color="auto"/>
            <w:bottom w:val="none" w:sz="0" w:space="0" w:color="auto"/>
            <w:right w:val="none" w:sz="0" w:space="0" w:color="auto"/>
          </w:divBdr>
        </w:div>
        <w:div w:id="1634671058">
          <w:marLeft w:val="0"/>
          <w:marRight w:val="0"/>
          <w:marTop w:val="0"/>
          <w:marBottom w:val="0"/>
          <w:divBdr>
            <w:top w:val="none" w:sz="0" w:space="0" w:color="auto"/>
            <w:left w:val="none" w:sz="0" w:space="0" w:color="auto"/>
            <w:bottom w:val="none" w:sz="0" w:space="0" w:color="auto"/>
            <w:right w:val="none" w:sz="0" w:space="0" w:color="auto"/>
          </w:divBdr>
        </w:div>
        <w:div w:id="437455877">
          <w:marLeft w:val="0"/>
          <w:marRight w:val="0"/>
          <w:marTop w:val="0"/>
          <w:marBottom w:val="0"/>
          <w:divBdr>
            <w:top w:val="none" w:sz="0" w:space="0" w:color="auto"/>
            <w:left w:val="none" w:sz="0" w:space="0" w:color="auto"/>
            <w:bottom w:val="none" w:sz="0" w:space="0" w:color="auto"/>
            <w:right w:val="none" w:sz="0" w:space="0" w:color="auto"/>
          </w:divBdr>
        </w:div>
        <w:div w:id="830485624">
          <w:marLeft w:val="0"/>
          <w:marRight w:val="0"/>
          <w:marTop w:val="0"/>
          <w:marBottom w:val="0"/>
          <w:divBdr>
            <w:top w:val="none" w:sz="0" w:space="0" w:color="auto"/>
            <w:left w:val="none" w:sz="0" w:space="0" w:color="auto"/>
            <w:bottom w:val="none" w:sz="0" w:space="0" w:color="auto"/>
            <w:right w:val="none" w:sz="0" w:space="0" w:color="auto"/>
          </w:divBdr>
        </w:div>
        <w:div w:id="12729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339</Words>
  <Characters>1868</Characters>
  <Application>Microsoft Office Word</Application>
  <DocSecurity>0</DocSecurity>
  <Lines>15</Lines>
  <Paragraphs>4</Paragraphs>
  <ScaleCrop>false</ScaleCrop>
  <Company/>
  <LinksUpToDate>false</LinksUpToDate>
  <CharactersWithSpaces>2203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1</cp:revision>
  <dcterms:created xsi:type="dcterms:W3CDTF">2015-09-13T15:36:00Z</dcterms:created>
  <dcterms:modified xsi:type="dcterms:W3CDTF">2015-09-13T15:38:00Z</dcterms:modified>
</cp:coreProperties>
</file>