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8B" w:rsidRPr="00B6268B" w:rsidRDefault="00B6268B" w:rsidP="00B6268B">
      <w:pPr>
        <w:keepNext/>
        <w:spacing w:after="0" w:line="500" w:lineRule="exact"/>
        <w:jc w:val="center"/>
        <w:outlineLvl w:val="2"/>
        <w:rPr>
          <w:rFonts w:ascii="Tahoma" w:eastAsia="Times New Roman" w:hAnsi="Tahoma" w:cs="Tahoma"/>
          <w:b/>
          <w:bCs/>
          <w:sz w:val="24"/>
          <w:szCs w:val="20"/>
          <w:lang w:eastAsia="es-ES"/>
        </w:rPr>
      </w:pPr>
      <w:r w:rsidRPr="00B6268B">
        <w:rPr>
          <w:rFonts w:ascii="Tahoma" w:eastAsia="Times New Roman" w:hAnsi="Tahoma" w:cs="Tahoma"/>
          <w:b/>
          <w:bCs/>
          <w:sz w:val="24"/>
          <w:szCs w:val="20"/>
          <w:lang w:eastAsia="es-ES"/>
        </w:rPr>
        <w:t>CONTRATO DE PRENDA MERCANTIL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ab/>
        <w:t xml:space="preserve">Entre Sociedad Financiera                                 , C.A.  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     , Instituto de Crédito domiciliado</w:t>
      </w:r>
      <w:bookmarkStart w:id="0" w:name="_GoBack"/>
      <w:bookmarkEnd w:id="0"/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en                    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e inscrito en el Registro Mercantil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de la circunscripción Judicial del                    del                de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de                    , bajo el Nº            , Tomo           Segundo, representada en este acto por su Presidente                                , venezolano, mayor de edad, de este domicilio, con cédula de identidad Nº                   , suficientemente autorizada para este otorgamiento, que en lo sucesivo y a los fines del presente contrato se denominará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por una parte y por la otra la empresa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           S.R.L., empresa domiciliada en                                   , inscrita en el Registro Mercantil de la Circunscripción Judicial del               Estado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el día                 de                  de                   , bajo el Nº              , Tomo                  , representada en este acto por su Presidente señor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             , mayor de edad, de este domicilio, soltero, titular de la Cédula de Identidad Nº            , suficientemente autorizado para este acto por los estatutos sociales de su representada, que en lo sucesivo y a los fines del presente documento se denominará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se ha convenido en celebrar un contrato de préstamo que se regirá con las cláusulas siguientes: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Primera: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Naturaleza del Contrato: 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le ha otorgado a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>,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quien recibe en este acto en dinero efectivo a entera satisfacción, la cantidad de </w:t>
      </w:r>
    </w:p>
    <w:p w:rsidR="00B6268B" w:rsidRPr="00B6268B" w:rsidRDefault="00B6268B" w:rsidP="00B6268B">
      <w:pPr>
        <w:spacing w:after="0" w:line="500" w:lineRule="exact"/>
        <w:jc w:val="both"/>
        <w:rPr>
          <w:rFonts w:ascii="Tahoma" w:eastAsia="Times New Roman" w:hAnsi="Tahoma" w:cs="Tahoma"/>
          <w:sz w:val="24"/>
          <w:szCs w:val="20"/>
          <w:lang w:val="es-ES_tradnl" w:eastAsia="es-ES"/>
        </w:rPr>
      </w:pP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                        Bolívares (Bs.              ). 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Segundo: Intereses Compensatorios: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Este préstamo devengará intereses compensatorios a la tasa del                         por ciento (     %) anual.  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Tercera: Intereses Moratorios: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En caso de mora los intereses se computarán a razón del            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lastRenderedPageBreak/>
        <w:t xml:space="preserve">por ciento (   %) anual sobre la tasa pactada, o en todo caso, a la tasa máxima permitida por el Banco Central de Venezuela.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Cuarta: Revisabilidad de las Tasas de Interés: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“La Financiera”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queda plenamente facultada para ajustar los intereses compensatorios y moratorios, siguiendo los lineamientos del mercado financiero y/o de los Organismos Oficiales, sin que el ajuste tenga que ser notificado a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a cuyos efectos esta queda comprometida a verificar lo conducente en la Oficina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 Quinta: Control de Inversión: “La Financiera”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queda investida con facultades plenas de control sobre la aplicación de los fondos objeto de este préstamo, con el fin de comprobar la debida utilización del mismo conforme a la destinada convenida.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Sexta: Lugar de Pago: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Todos los pagos que deba hacer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“La Financiada”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serán efectuados en las oficinas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ubicadas en                                      , sin que la recepción de pagos en cualquier otro lugar se pueda considerar como un cambio en el régimen aquí previsto.  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Séptima: Duración y Forma de Pago: 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se compromete a restituir a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“La Financiera” 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el capital prestado más los intereses compensatorios, en moneda de curso legal en el país, dentro del plazo de                         (       ) días, contados a partir de la fecha de autenticación del presente documento, mediante el abono de las alícuotas correspondientes por cada liberación de mercancía.  Igualmente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conviene que los intereses sean calculados sobre saldos deudores y se compromete a cancelarlos a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, en cada oportunidad en que se efectúen libraciones parciales de mercancía.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Octava: Gastos: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Todos los gastos que se causaren con ocasión de este negocio, incluyéndose traslados de funcionarios notariales, serán por cuenta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Novena: Domiciliación: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Para todos los efectos derivados de este contrato, se elige como domicilio especial a la ciudad de                       , quedando sometidas las partes contratantes a la jurisdicción de sus Tribunales.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Décima: Incumplimiento: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Si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“La Financiada”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incumpliere total o parcialmente con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lastRenderedPageBreak/>
        <w:t xml:space="preserve">las obligaciones legales o contractuales que asume en razón de este contrato, aún las no expresamente previstas pero que resulten de su interpretación especialmente: 1.- Si incumpliere con el pago de la obligación en la forma prevista; 2.- La solicitud de atraso o quiebra introducida por ella ante los Tribunales de la República o la declaratoria de quiebra o atraso cuando la solicitud ha sido hecha por terceros acreedores; 3.- Si destinare la cantidad recibida en préstamo a usos distintos de los que expresamente se ha convenido.; 4.- Si se interfiere en cualquier forma en el ejercicio del derecho de fiscalización y control por parte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; 5.- Si fuere objeto de demandas judiciales por parte de terceros; 6.- La notificación del cambio de beneficiario del seguro, 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podrá proceder y accionar como en caso de plazo vencido y exigir su cancelación total o inmediata o bien ejecutar las garantías que en este documento se constituyen a su favor, sin menoscabo de sus derechos a seguir reclamando o ejercer acciones contra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“La Financiada”. Décima Primera: Póliza de Seguro: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Las mercancías depositadas en                                   , estarán amparadas por una póliza de seguros, mientras que permanezcan en éstos siendo entendido que mientras esté vigente el presente contrato, la beneficiaria de las pólizas que las amparen será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hasta tanto se de cumplimiento a todas y cada una de las obligaciones establecidas en este documento.  A tal Efecto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notificará por escrito tal circunstancia a los                             .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 xml:space="preserve">Décima Segunda: Garantía: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>A los fines de garantizar la devolución del préstamo concedido, “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endosa a favor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el Bono de Prenda Nº         y el Certificado de Depósito Nº            , emitidos por                 , el             de                , el cual será renovado por                 (              ) meses a partir de su vencimiento, por concepto de recepción y custodia de               (    ) bultos de                 contentivos de materiales               de control, depositados en los citados almacenes.   Con el endoso (bono de prenda y 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lastRenderedPageBreak/>
        <w:t xml:space="preserve">certificado de depósito) y la entrega de los mismos se considera suficiente como constitutivo de la garantía de acuerdo a lo pautado en el Artículo 14 de la Ley de Almacenes Generales de Depósito.  Asimismo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Financiera”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podrá proceder a la venta judicial de las mercancías en caso de que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incumpliera con una cualesquiera de las obligaciones que asume en razón de este contrato: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Décima Tercera: Garantía Fianza: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 xml:space="preserve"> Nosotros                        , ya identificado al comienzo de este documento, actuando ahora en nombre propio y por mi propio derecho y                                 , venezolano, mayor de edad, casado, comerciante, de este domicilio, titular de la cédula de identidad Nº           , debidamente facultado para este acto por mi cónyuge                       , mayor de edad, de este domicilio, titular de la cédula de identidad Nº           , según consta de instrumento poder otorgado por ante la Notaria Pública                 de          el día              de               de                  , anotado bajo el Nº           , Tomo      de los Libros de Registro de Poderes, declaramos:  Que nos constituimos en fiadores solidarios y principales pagaderos por cuenta de </w:t>
      </w:r>
      <w:r w:rsidRPr="00B6268B">
        <w:rPr>
          <w:rFonts w:ascii="Tahoma" w:eastAsia="Times New Roman" w:hAnsi="Tahoma" w:cs="Tahoma"/>
          <w:b/>
          <w:bCs/>
          <w:sz w:val="24"/>
          <w:szCs w:val="20"/>
          <w:lang w:val="es-ES_tradnl" w:eastAsia="es-ES"/>
        </w:rPr>
        <w:t>“La Financiada”</w:t>
      </w:r>
      <w:r w:rsidRPr="00B6268B">
        <w:rPr>
          <w:rFonts w:ascii="Tahoma" w:eastAsia="Times New Roman" w:hAnsi="Tahoma" w:cs="Tahoma"/>
          <w:sz w:val="24"/>
          <w:szCs w:val="20"/>
          <w:lang w:val="es-ES_tradnl" w:eastAsia="es-ES"/>
        </w:rPr>
        <w:t>, renunciando a los beneficios de excusión y de división y al contemplado en el artículo 1815 del Código Civil.  Esta fianza permanecerá en vigencia durante todo el tiempo que duren las obligaciones garantizadas.</w:t>
      </w:r>
    </w:p>
    <w:p w:rsidR="00C94BDE" w:rsidRDefault="00C94BDE"/>
    <w:sectPr w:rsidR="00C94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8B"/>
    <w:rsid w:val="00B6268B"/>
    <w:rsid w:val="00C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1187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2015-09-29T20:30:00Z</dcterms:created>
  <dcterms:modified xsi:type="dcterms:W3CDTF">2015-09-29T20:30:00Z</dcterms:modified>
</cp:coreProperties>
</file>