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>INVENTARIO SOLEMNE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>DE LOS BIENES HEREDITARIOS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Cs/>
          <w:sz w:val="24"/>
          <w:szCs w:val="24"/>
          <w:lang w:val="es-MX" w:eastAsia="es-ES"/>
        </w:rPr>
        <w:t>En</w:t>
      </w: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la audiencia de hoy     , siendo las     </w:t>
      </w:r>
      <w:r w:rsidRPr="00961373">
        <w:rPr>
          <w:rFonts w:ascii="Arial" w:eastAsia="Times New Roman" w:hAnsi="Arial" w:cs="Arial"/>
          <w:bCs/>
          <w:sz w:val="24"/>
          <w:szCs w:val="24"/>
          <w:lang w:val="es-MX" w:eastAsia="es-ES"/>
        </w:rPr>
        <w:t>de la</w:t>
      </w: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mañana, día y hora fijados por el Tribunal para dar comienzo al Inventario Solemne de los Bienes que constituyen la herencia del finado     , se 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anunció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el acto en la forma de Ley, nombrándose testigos del mismo a las Se-floras      y    , mayores de edad, y de este domicilio, portadoras de las Cédulas de Identidad Nos       y        respectivamente, comparecieron: El Señor     , Curador especia</w:t>
      </w:r>
      <w:r>
        <w:rPr>
          <w:rFonts w:ascii="Arial" w:eastAsia="Times New Roman" w:hAnsi="Arial" w:cs="Arial"/>
          <w:sz w:val="24"/>
          <w:szCs w:val="24"/>
          <w:lang w:val="es-MX" w:eastAsia="es-ES"/>
        </w:rPr>
        <w:t>l del niño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     la Señora        viuda del De-cujus, seguidamente se dio comienzo al acto y previa información de los interesados, el Tribunal procede a practicar el mencionado inventario con el siguiente resultado: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>INMUEBLES: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primera: Una casa-quinta situada en jurisdicción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y cuyos linderos y medidas son los siguientes: Norte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Sur       Este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y Oeste.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>MUEBLES: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segunda: Los que se encuentran en la casa quinta pormenoriza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da en la partida primera que componen el mobiliario normal de un ho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gar de clase media y los cuales están valorados en la cantidad de     bolívares (Bs. 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tercera: Una colección de cinco cuadros del conocido pintor venezolano valorada en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cuarta: Un equipo de cine parlante valorado en la cantidad de      bolívares (Bs. ), una máquina de pasar diapositivas, una ma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quina profesional de tomar diapositivas y fotografías, marca.      y dos máquinas de tomar películas marcas        y        lo cual tiene un valor de       bolívares (Bs. 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quinta: Un piano de concierto cuyo valor actual es de     bolívares (Bs. 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sexta: Un escritorio chino antiguo tallado a mano valorado en la cantidad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lastRenderedPageBreak/>
        <w:t>Partida séptima: Una vajilla de oro blanco para 12 personas y un estu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che de cubiertos de plata para 12 personas cuyos valores son de      bolívares (Bs.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) y bolívares (Bs.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octava: Un juego de vasos, copas y jarras de cristal de roca cuyo valor actual es de    , bolívares (Bs. 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novena: Un juego de té de porcelana de sevre cuyo valor actual es de bolívares (Bs. 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Partida décima: Un juego de bandejas y payres de plata cuyo valor 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actual es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undécima: Un automóvil marca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modelo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placa     , puestos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serial del motor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serial de carrocería    , color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cuyo valor actual es de bolívares (Bs.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>VALORES: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duodécima: La cantidad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(Bs. ), existen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 en la cuenta corriente No        del Banco       Sucursal     de esta ciudad.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Partida décima tercera: La ‘cantidad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 xml:space="preserve">bolívares (Bs. invertidos en el Banco       Sucursal       de esta ciudad en dos cédulas hipotecarias Nos        y      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CRÉDITO: 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La cantidad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garantizados por un Pa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garé a favor del De-cujus, según documento autenticado el día     bajo el No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folio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, Tomo Protocolo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y del cual es deudor el ciudadano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(identificarlo con sus seis carac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terísticas).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>DEUDAS:</w:t>
      </w: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  <w:t>bolívares (Bs.</w:t>
      </w: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tab/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), que se adeuda al Señor      hermano de la viuda (identificarlo con sus seis características) por el pa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go que hizo a la clínica     , de los gastos ocasionados por la últi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ma enfermedad del De-cujus, y la cantidad de      bolívares (Bs. ) que pagó el Señor       hermano de la viuda a la Funeraria por los gastos de entierro Del de-cujus.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sz w:val="24"/>
          <w:szCs w:val="24"/>
          <w:lang w:val="es-MX" w:eastAsia="es-ES"/>
        </w:rPr>
        <w:lastRenderedPageBreak/>
        <w:t>LIBROS Y ESCRITURAS, ETC.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Primero: Título de propiedad de la casa-quinta pormenorizada en la partida primera.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Segundo: Documento de propiedad del automóvil pormenorizado en la partida duodécima.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Tercero: Chequera de la cuenta corriente No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del Banco         Agencia        de esta ciudad, anotada en la partida duodé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cima.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Cuarto: Dos cédulas hipotecarias por valor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bolívares cada una, las cuales se enumeraron en la cláusula decimatercera.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Quinto: Documento constitutivo del Pagaré que se enumeró en la par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tida decimacuarta y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Sexto: Copia certificada del documento autenticado por ante      en donde consta la obligación a que se refiere la partida relativa a las deudas.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No hubo otra cosa que inventariar y los interesados manifestaron que durante la sociedad conyugal ninguno de los cónyuges adquirió bienes por ningún título que le diera carácter de patrimoniales, ni aportaron cosa alguna al matrimonio y se hace constar que por mutuo acuerdo de los interesados, los bienes, libros y documentos inventariados se de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jan en poder y bajo cuidado del Señor       (identificarlo con sus seis características). Terminó, se leyó y conformes firman.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El </w:t>
      </w:r>
      <w:r w:rsidRPr="00961373">
        <w:rPr>
          <w:rFonts w:ascii="Arial" w:eastAsia="Times New Roman" w:hAnsi="Arial" w:cs="Arial"/>
          <w:i/>
          <w:sz w:val="24"/>
          <w:szCs w:val="24"/>
          <w:lang w:val="es-MX" w:eastAsia="es-ES"/>
        </w:rPr>
        <w:t>juez,</w:t>
      </w:r>
      <w:r w:rsidRPr="00961373">
        <w:rPr>
          <w:rFonts w:ascii="Arial" w:eastAsia="Times New Roman" w:hAnsi="Arial" w:cs="Arial"/>
          <w:i/>
          <w:sz w:val="24"/>
          <w:szCs w:val="24"/>
          <w:lang w:val="es-MX" w:eastAsia="es-ES"/>
        </w:rPr>
        <w:tab/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El Secretario,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br/>
        <w:t>y los Interesados,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ab/>
        <w:t>Los dos ‘Testigos,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rPr>
          <w:rFonts w:ascii="Arial" w:eastAsia="Times New Roman" w:hAnsi="Arial" w:cs="Arial"/>
          <w:sz w:val="24"/>
          <w:szCs w:val="24"/>
          <w:lang w:val="es-MX" w:eastAsia="es-ES"/>
        </w:rPr>
      </w:pP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NOTA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:  Artículo 922 dcl Código de Procedimiento Civil -</w:t>
      </w:r>
    </w:p>
    <w:p w:rsidR="00961373" w:rsidRPr="00961373" w:rsidRDefault="00961373" w:rsidP="00961373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t>Artículo 922 dcl Código dc Procedimiento Civil: “El inventario se formará describiendo con exactitud los bienes y firmará el acta el Juez, cl Secretario y dos testigos. Los interesados fir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marán también ci inventario y si no supieren o no pudieren hacerlo, se expresará esta circuns</w:t>
      </w:r>
      <w:r w:rsidRPr="00961373">
        <w:rPr>
          <w:rFonts w:ascii="Arial" w:eastAsia="Times New Roman" w:hAnsi="Arial" w:cs="Arial"/>
          <w:sz w:val="24"/>
          <w:szCs w:val="24"/>
          <w:lang w:val="es-MX" w:eastAsia="es-ES"/>
        </w:rPr>
        <w:softHyphen/>
        <w:t>tancia”.</w:t>
      </w:r>
    </w:p>
    <w:p w:rsidR="00174E03" w:rsidRPr="00961373" w:rsidRDefault="00174E03">
      <w:pPr>
        <w:rPr>
          <w:rFonts w:ascii="Arial" w:hAnsi="Arial" w:cs="Arial"/>
          <w:sz w:val="24"/>
          <w:szCs w:val="24"/>
        </w:rPr>
      </w:pPr>
    </w:p>
    <w:sectPr w:rsidR="00174E03" w:rsidRPr="0096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73"/>
    <w:rsid w:val="00174E03"/>
    <w:rsid w:val="009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743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2015-09-24T21:01:00Z</dcterms:created>
  <dcterms:modified xsi:type="dcterms:W3CDTF">2015-09-24T21:02:00Z</dcterms:modified>
</cp:coreProperties>
</file>