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  <w:t>ESTUDO TÉCNICO PRELIMINAR</w:t>
      </w:r>
    </w:p>
    <w:p>
      <w:pPr>
        <w:pStyle w:val="Normal"/>
        <w:jc w:val="center"/>
        <w:rPr>
          <w:rFonts w:ascii="Arial" w:hAnsi="Arial" w:eastAsia="Times New Roman" w:cs="Arial"/>
          <w:b/>
          <w:i/>
          <w:i/>
          <w:sz w:val="20"/>
          <w:szCs w:val="20"/>
        </w:rPr>
      </w:pPr>
      <w:r>
        <w:rPr>
          <w:rFonts w:eastAsia="Times New Roman" w:cs="Arial" w:ascii="Arial" w:hAnsi="Arial"/>
          <w:b/>
          <w:i/>
          <w:sz w:val="20"/>
          <w:szCs w:val="20"/>
        </w:rPr>
        <w:t>SECRETARIA MUNICIPAL DE CULTURA E TURISMO</w:t>
      </w:r>
    </w:p>
    <w:p>
      <w:pPr>
        <w:pStyle w:val="Normal"/>
        <w:spacing w:lineRule="auto" w:line="312" w:before="120" w:after="288"/>
        <w:ind w:left="-142" w:right="0"/>
        <w:jc w:val="center"/>
        <w:rPr/>
      </w:pPr>
      <w:r>
        <w:rPr>
          <w:rFonts w:cs="Arial" w:ascii="Arial" w:hAnsi="Arial"/>
          <w:sz w:val="20"/>
          <w:szCs w:val="20"/>
        </w:rPr>
        <w:t>(Processo Administrativo n</w:t>
      </w:r>
      <w:r>
        <w:rPr>
          <w:rFonts w:cs="Arial" w:ascii="Arial" w:hAnsi="Arial"/>
          <w:bCs/>
          <w:sz w:val="20"/>
          <w:szCs w:val="20"/>
        </w:rPr>
        <w:t>° 21674/2026)</w:t>
      </w:r>
    </w:p>
    <w:p>
      <w:pPr>
        <w:pStyle w:val="PargrafodaLista"/>
        <w:numPr>
          <w:ilvl w:val="0"/>
          <w:numId w:val="4"/>
        </w:numPr>
        <w:spacing w:lineRule="auto" w:line="240" w:before="240" w:after="160"/>
        <w:ind w:hanging="0" w:left="0" w:right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DESCRIÇÃO DA NECESSIDADE DA CONTRATAÇÃO – art. 18, I c/c §1º, I 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 Município de Sumaré, por meio da Secretaria Municipal de Cultura e Turismo, pretende realizar o evento denominado “Natal para Jesus”, com caráter festivo, cívico e religioso, voltado à população do município. Para conferir qualidade e reconhecimento ao evento, identificou-se a necessidade de contratação de artista de renome nacional no segmento gospel para a atração principal.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cantora Gabriela Rocha é uma das maiores referências da música gospel brasileira, detentora de vasta discografia, múltiplos prêmios nacionais e internacionais (incluindo o Grammy Latino), e de considerável audiência em plataformas digitais, com dezenas de milhões de seguidores e ouvintes mensais. Sua participação no evento “Natal para Jesus” atende plenamente ao objetivo de proporcionar à população sumarense um espetáculo de elevada qualidade artística e de forte impacto cultural.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contratação enquadra-se na hipótese de inexigibilidade de licitação prevista no art. 74, inciso III, alínea “d”, da Lei Federal n.º 14.133/2021, visto que se trata de serviço de natureza singular — apresentação artística ao vivo — por profissional cujo trabalho é consagrado pela crítica especializada e reconhecido pela sociedade, inviabilizando a competição entre artistas.</w:t>
      </w:r>
    </w:p>
    <w:p>
      <w:pPr>
        <w:pStyle w:val="PargrafodaLista"/>
        <w:numPr>
          <w:ilvl w:val="0"/>
          <w:numId w:val="4"/>
        </w:numPr>
        <w:spacing w:lineRule="auto" w:line="240" w:before="240" w:after="160"/>
        <w:ind w:hanging="0" w:left="0" w:right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PREVISÃO DA CONTRATAÇÃO NO PLANO DE CONTRATAÇÕES ANUAL, SE HOUVER - art. 18, I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presente contratação está prevista no Plano de Contratações Anual (PCA) do exercício corrente, em conformidade com o planejamento da Secretaria Municipal de Cultura e Turismo para a realização de eventos públicos de grande porte no segundo semestre.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 w:before="240" w:after="160"/>
        <w:ind w:hanging="0" w:left="0" w:right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REQUISITOS DA CONTRATAÇÃO - art. 18, III</w:t>
      </w:r>
    </w:p>
    <w:p>
      <w:pPr>
        <w:pStyle w:val="PargrafodaLista"/>
        <w:spacing w:lineRule="auto" w:line="240" w:before="240" w:after="160"/>
        <w:ind w:left="0" w:right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PargrafodaLista"/>
        <w:spacing w:lineRule="auto" w:line="240"/>
        <w:ind w:left="0" w:right="0"/>
        <w:rPr/>
      </w:pPr>
      <w:r>
        <w:rPr>
          <w:rFonts w:cs="Arial" w:ascii="Arial" w:hAnsi="Arial"/>
          <w:sz w:val="20"/>
          <w:szCs w:val="20"/>
        </w:rPr>
        <w:t>3.1 Os requisitos da contratação serão pormenorizados em tópico específico do Termo de Referência.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ESTIMATIVA DA QUANTIDADE – art. 18, IV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Os requisitos da contratação serão pormenorizados em tópico específico do Termo de Referência, instrumento que acompanha e complementa o presente ETP.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LEVANTAMENTO DE MERCADO – art. 18, V 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Realizou-se pesquisa de mercado junto ao escritório de representação artística da cantora Gabriela Rocha, bem como consulta a valores praticados em contratações similares por outros entes públicos, obtidos por meio de pesquisa em plataformas de transparência (Portal da Transparência) e contatos com assessorias artísticas.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Em razão da singularidade da prestação — trata-se de artista específica, cuja obra e identidade artística não admitem substituição por outro profissional sem prejuízo ao propósito do evento —, não há alternativa de mercado equivalente que possa suprir a mesma necessidade. O levantamento de mercado destinou-se, portanto, à estimativa do valor da contratação e não à comparação de propostas concorrentes.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ESTIMATIVA DO VALOR DA CONTRATAÇÃO – art. 18, VI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Com base nas pesquisas realizadas junto ao escritório de representação artística e em contratações similares realizadas por outros entes públicos, estima-se o custo total da contratação em R$ 300.000,00 (Trezentos mil reais),  incluindo cachê artístico, despesas de deslocamento, hospedagem e rider técnico, conforme memória de cálculo que acompanha o presente ETP.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 valor estimado é compatível com os praticados no mercado para apresentações da artista em eventos de grande porte, sendo proporcional ao alcance e à relevância do evento para a comunidade sumarense.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DESCRIÇÃO DA SOLUÇÃO – art. 18, VII 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solução consiste na realização de show ao vivo da cantora Gabriela Rocha durante o evento “Natal para Jesus”, previsto para ocorrer no município de Sumaré/SP. A apresentação contempla:</w:t>
      </w:r>
    </w:p>
    <w:p>
      <w:pPr>
        <w:pStyle w:val="PargrafodaLista"/>
        <w:numPr>
          <w:ilvl w:val="0"/>
          <w:numId w:val="5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Performance vocal e musical ao vivo, com duração mínima de 60 (sessenta) minutos;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Banda e equipe técnica própria da artista;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Atendimento ao rider técnico (sonorização, iluminação, palco e camarim), a ser providenciado pelo Município;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Estrutura logística de deslocamento e hospedagem da equipe artística, conforme acordado com a assessoria.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solução foi escolhida por ser a única forma de satisfazer plenamente o interesse público, dado o caráter singular e insubstituível da artista no contexto do evento planejado.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i/>
          <w:i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JUSTIFICATIVAS PARA O PARCELAMENTO OU NÃO DA CONTRATAÇÃO – art. 18, VIII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i/>
          <w:i/>
          <w:sz w:val="20"/>
          <w:szCs w:val="20"/>
        </w:rPr>
      </w:pPr>
      <w:r>
        <w:rPr>
          <w:rFonts w:cs="Arial" w:ascii="Arial" w:hAnsi="Arial"/>
          <w:b/>
          <w:i/>
          <w:sz w:val="20"/>
          <w:szCs w:val="20"/>
        </w:rPr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 objeto da contratação é indivisível por natureza, pois consiste em uma única apresentação artística ao vivo. O parcelamento da contratação não é aplicável ao caso, uma vez que o serviço constitui obrigação de resultado único e não pode ser fracionado sem desvirtuar sua essência. Assim, a contratação é realizada de forma integral, com um único fornecedor — o representante legal da artista —, assegurando a unidade e a qualidade do espetáculo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RESULTADOS PRETENDIDOS – art. 18, IX </w:t>
      </w:r>
    </w:p>
    <w:p>
      <w:pPr>
        <w:pStyle w:val="PargrafodaLista"/>
        <w:spacing w:lineRule="auto" w:line="24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Com a realização do evento “Natal para Jesus” e a contratação da cantora Gabriela Rocha, a Administração Municipal pretende alcançar os seguintes resultados: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Promoção de evento cultural de grande porte, com ampla participação popular;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Valorização da cultura e da espiritualidade no contexto natalino, em conformidade com a tradição local;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Fortalecimento da imagem do Município de Sumaré como polo de eventos culturais de referência regional;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Impacto positivo no comércio e na economia local decorrente do fluxo de pessoas ao evento;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Atendimento ao interesse público de lazer, cultura e integração comunitária.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PROVIDÊNCIAS A SEREM ADOTADAS PELA ADMINISTRAÇÃO PREVIAMENTE AO CONTRATO– art. 18, X 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Previamente à celebração do contrato, a Administração deverá adotar as seguintes providências: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Definição e reserva do espaço físico para a realização do evento;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Elaboração e aprovação do Projeto Básico de infraestrutura do evento (palco, sonorização, iluminação, segurança e logística);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Designação de servidor como gestor e fiscal do contrato;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Emissão de nota de empenho com cobertura orçamentária adequada;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Obtenção de autorizações e alvarsá necessários à realização do evento junto aos órgãos competentes.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CONTRATAÇÕES CORRELATAS / INTERDEPENDENTES – art. 18, XI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realização do evento “Natal para Jesus” demanda, além da presente contratação, as seguintes contratações correlatas ou interdependentes: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Locação e montagem de palco, sonorização e iluminação;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Serviços de segurança e controle de acesso;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Contratação de serviços de limpeza e sanitários móveis;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Serviços de comunicação e divulgação do evento.</w:t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Tais contratações deverão ser realizadas em consonância com os prazos definidos para o evento, observando os procedimentos licitátórios cabíveis.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IMPACTOS AMBIENTAIS E TRATAMENTOS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 evento poderá gerar resíduos sólidos em função da concentração de pessoas. Como medidas mitigadoras, recomenda-se: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Disponibilização de coletores seletivos de resíduos no local do evento;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Contratação de serviço de limpeza pós-evento;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Adoção de materiais de comunicação e divulgação com menor impacto ambiental, priorizando o meio digital.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VIABILIDADE DA CONTRATAÇÃO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80" w:after="80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Diante do exposto, conclui-se pela VIABILIDADE da contratação direta por inexigibilidade de licitação, com fundamento no art. 74, inciso III, alínea “d”, da Lei Federal n.º 14.133/2021, considerando que: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cantora Gabriela Rocha é profissional de notória especialização no segmento de música gospel, consagrada pela crítica especializada e reconhecida pelo público nacional e internacional;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natureza singular do serviço — apresentação artística ao vivo — torna inviável a competição entre artistas, uma vez que cada artista possui identidade, obra e público próprios e distintos;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O valor estimado da contratação é compatível com os praticados no mercado, conforme pesquisa realizada;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Há previsão orçamentária e dotação disponível para a despesa;</w:t>
      </w:r>
    </w:p>
    <w:p>
      <w:pPr>
        <w:pStyle w:val="PargrafodaLista"/>
        <w:numPr>
          <w:ilvl w:val="0"/>
          <w:numId w:val="2"/>
        </w:numPr>
        <w:spacing w:lineRule="auto" w:line="240" w:before="60" w:after="60"/>
        <w:contextualSpacing w:val="false"/>
        <w:jc w:val="both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contratação atende ao interesse público, promovendo cultura, lazer e integração da comunidade sumarense.</w:t>
      </w:r>
    </w:p>
    <w:p>
      <w:pPr>
        <w:pStyle w:val="PargrafodaLista"/>
        <w:spacing w:lineRule="auto" w:line="240"/>
        <w:ind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PargrafodaLista"/>
        <w:numPr>
          <w:ilvl w:val="0"/>
          <w:numId w:val="4"/>
        </w:numPr>
        <w:spacing w:lineRule="auto" w:line="240"/>
        <w:ind w:hanging="0" w:left="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CLASSIFICAÇÃO DA INFORMAÇÃO</w:t>
      </w:r>
    </w:p>
    <w:p>
      <w:pPr>
        <w:pStyle w:val="Normal"/>
        <w:spacing w:lineRule="auto" w:line="360"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14.1. Conforme disposto no artigo 11 do Decreto Municipal 12.053 de 22 de dezembro de 2023, não há a necessidade de classificar o Estudo Técnico Preliminar nos termos da Lei 12.527, pois o mesmo deve ser amplamente divulgado e não possui informações consideradas de caráter sigiloso ou pessoal.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  <w:t>Sumaré, 15 de Maio de 2026.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Assinatura: __________________________________________________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Agente responsável pela elaboração do Estudo Técnico Preliminar _ ETP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Nome: Dayara Cristina Marques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Matrícula: 17802</w:t>
      </w:r>
    </w:p>
    <w:p>
      <w:pPr>
        <w:pStyle w:val="PargrafodaLista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TERMO DE APROVAÇÂO DE ESTUDO TÉCNICO PRELIMINAR</w:t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both"/>
        <w:rPr/>
      </w:pPr>
      <w:r>
        <w:rPr>
          <w:rFonts w:eastAsia="Arial"/>
        </w:rPr>
        <w:t xml:space="preserve">Nos termos do Decreto Municipal n. 12053/2023, artigo 11, </w:t>
      </w:r>
      <w:r>
        <w:rPr>
          <w:rFonts w:eastAsia="Arial"/>
          <w:b/>
        </w:rPr>
        <w:t xml:space="preserve">APROVO </w:t>
      </w:r>
      <w:r>
        <w:rPr>
          <w:rFonts w:eastAsia="Arial"/>
        </w:rPr>
        <w:t>e</w:t>
      </w:r>
      <w:r>
        <w:rPr>
          <w:rFonts w:eastAsia="Arial"/>
          <w:b/>
        </w:rPr>
        <w:t xml:space="preserve"> FIRMO</w:t>
      </w:r>
      <w:r>
        <w:rPr>
          <w:rFonts w:eastAsia="Arial"/>
        </w:rPr>
        <w:t xml:space="preserve"> o respectivo Estudo Técnico Preliminar – ETP, uma vez que, a solução apresentada é apta para satisfazer o interesse público.</w:t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both"/>
        <w:rPr>
          <w:rFonts w:eastAsia="Arial"/>
        </w:rPr>
      </w:pPr>
      <w:r>
        <w:rPr>
          <w:rFonts w:eastAsia="Arial"/>
        </w:rPr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rFonts w:eastAsia="Arial"/>
        </w:rPr>
      </w:pPr>
      <w:r>
        <w:rPr>
          <w:rFonts w:eastAsia="Arial"/>
        </w:rPr>
        <w:t>Sumaré, 15 de Maio de 2026</w:t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rFonts w:eastAsia="Arial"/>
        </w:rPr>
      </w:pPr>
      <w:r>
        <w:rPr>
          <w:rFonts w:eastAsia="Arial"/>
        </w:rPr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rFonts w:eastAsia="Arial"/>
        </w:rPr>
      </w:pPr>
      <w:r>
        <w:rPr>
          <w:rFonts w:eastAsia="Arial"/>
        </w:rPr>
        <w:t>Assinatura_____________________________________</w:t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rFonts w:eastAsia="Arial"/>
        </w:rPr>
      </w:pPr>
      <w:r>
        <w:rPr>
          <w:rFonts w:eastAsia="Arial"/>
        </w:rPr>
        <w:t>CECILIA SOUSA TEIXEIRA</w:t>
      </w:r>
    </w:p>
    <w:p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0"/>
        <w:jc w:val="center"/>
        <w:rPr>
          <w:rFonts w:eastAsia="Arial"/>
        </w:rPr>
      </w:pPr>
      <w:r>
        <w:rPr>
          <w:rFonts w:eastAsia="Arial"/>
        </w:rPr>
        <w:t>Secretário Municipal de  Sumaré</w:t>
      </w:r>
    </w:p>
    <w:p>
      <w:pPr>
        <w:pStyle w:val="PargrafodaLista"/>
        <w:spacing w:lineRule="auto" w:line="2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849" w:gutter="0" w:header="708" w:top="1985" w:footer="218" w:bottom="567"/>
          <w:pgNumType w:fmt="decimal"/>
          <w:formProt w:val="false"/>
          <w:textDirection w:val="lrTb"/>
          <w:docGrid w:type="default" w:linePitch="360" w:charSpace="0"/>
        </w:sectPr>
        <w:pStyle w:val="PargrafodaLista"/>
        <w:spacing w:lineRule="auto" w:line="24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PargrafodaLista"/>
        <w:spacing w:lineRule="auto" w:line="24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PargrafodaLista"/>
        <w:ind w:left="0" w:right="0"/>
        <w:rPr>
          <w:b/>
          <w:sz w:val="24"/>
          <w:szCs w:val="24"/>
        </w:rPr>
      </w:pPr>
      <w:r>
        <w:rPr>
          <w:b/>
          <w:sz w:val="24"/>
          <w:szCs w:val="24"/>
        </w:rPr>
        <w:t>REFERÊNCIAS:</w:t>
      </w:r>
    </w:p>
    <w:p>
      <w:pPr>
        <w:pStyle w:val="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Base legal: Lei 14.133/ 2021</w:t>
      </w:r>
    </w:p>
    <w:p>
      <w:pPr>
        <w:pStyle w:val="Normal"/>
        <w:tabs>
          <w:tab w:val="clear" w:pos="708"/>
          <w:tab w:val="left" w:pos="0" w:leader="none"/>
        </w:tabs>
        <w:rPr>
          <w:sz w:val="24"/>
          <w:szCs w:val="24"/>
        </w:rPr>
      </w:pPr>
      <w:r>
        <w:rPr>
          <w:rFonts w:cs="Arial" w:ascii="Arial" w:hAnsi="Arial"/>
          <w:sz w:val="20"/>
          <w:szCs w:val="20"/>
        </w:rPr>
        <w:t xml:space="preserve">Art. 6º,  XX </w:t>
      </w:r>
      <w:r>
        <w:rPr>
          <w:rFonts w:cs="Arial" w:ascii="Arial" w:hAnsi="Arial"/>
          <w:b/>
          <w:sz w:val="20"/>
          <w:szCs w:val="20"/>
        </w:rPr>
        <w:t>- estudo técnico preliminar</w:t>
      </w:r>
      <w:r>
        <w:rPr>
          <w:rFonts w:cs="Arial" w:ascii="Arial" w:hAnsi="Arial"/>
          <w:sz w:val="20"/>
          <w:szCs w:val="20"/>
        </w:rPr>
        <w:t>: documento constitutivo da primeira etapa do planejamento de uma contratação que caracteriza o interesse público envolvido e a sua melhor solução e dá base ao anteprojeto, ao termo de referência ou ao projeto básico a serem elaborados caso se conclua pela viabilidade da contratação;</w:t>
      </w:r>
    </w:p>
    <w:p>
      <w:pPr>
        <w:pStyle w:val="NormalWeb"/>
        <w:tabs>
          <w:tab w:val="clear" w:pos="708"/>
          <w:tab w:val="left" w:pos="0" w:leader="none"/>
        </w:tabs>
        <w:spacing w:before="225" w:after="225"/>
        <w:jc w:val="both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>art. 18. A fase preparatória do processo licitatório é caracterizada pelo planejamento e deve compatibilizar-se com o plano de contratações anual de que trata o </w:t>
      </w:r>
      <w:r>
        <w:fldChar w:fldCharType="begin"/>
      </w:r>
      <w:r>
        <w:rPr>
          <w:rStyle w:val="Hyperlink"/>
          <w:sz w:val="20"/>
          <w:szCs w:val="20"/>
          <w:rFonts w:cs="Arial" w:ascii="Arial" w:hAnsi="Arial"/>
          <w:color w:val="000000"/>
        </w:rPr>
        <w:instrText xml:space="preserve"> HYPERLINK "https://www.planalto.gov.br/ccivil_03/_ato2019-2022/2021/lei/l14133.htm" \l "art12vii"</w:instrText>
      </w:r>
      <w:r>
        <w:rPr>
          <w:rStyle w:val="Hyperlink"/>
          <w:sz w:val="20"/>
          <w:szCs w:val="20"/>
          <w:rFonts w:cs="Arial" w:ascii="Arial" w:hAnsi="Arial"/>
          <w:color w:val="000000"/>
        </w:rPr>
        <w:fldChar w:fldCharType="separate"/>
      </w:r>
      <w:r>
        <w:rPr>
          <w:rStyle w:val="Hyperlink"/>
          <w:rFonts w:cs="Arial" w:ascii="Arial" w:hAnsi="Arial"/>
          <w:color w:val="000000"/>
          <w:sz w:val="20"/>
          <w:szCs w:val="20"/>
        </w:rPr>
        <w:t>inciso VII do </w:t>
      </w:r>
      <w:r>
        <w:rPr>
          <w:rStyle w:val="Hyperlink"/>
          <w:sz w:val="20"/>
          <w:szCs w:val="20"/>
          <w:rFonts w:cs="Arial" w:ascii="Arial" w:hAnsi="Arial"/>
          <w:color w:val="000000"/>
        </w:rPr>
        <w:fldChar w:fldCharType="end"/>
      </w:r>
      <w:r>
        <w:rPr>
          <w:rStyle w:val="Hyperlink"/>
          <w:rFonts w:cs="Arial" w:ascii="Arial" w:hAnsi="Arial"/>
          <w:b/>
          <w:bCs/>
          <w:color w:val="000000"/>
          <w:sz w:val="20"/>
          <w:szCs w:val="20"/>
        </w:rPr>
        <w:t>caput</w:t>
      </w:r>
      <w:r>
        <w:rPr>
          <w:rStyle w:val="Hyperlink"/>
          <w:rFonts w:cs="Arial" w:ascii="Arial" w:hAnsi="Arial"/>
          <w:color w:val="000000"/>
          <w:sz w:val="20"/>
          <w:szCs w:val="20"/>
        </w:rPr>
        <w:t> do art. 12 desta Lei</w:t>
      </w:r>
      <w:r>
        <w:rPr>
          <w:rFonts w:cs="Arial" w:ascii="Arial" w:hAnsi="Arial"/>
          <w:sz w:val="20"/>
          <w:szCs w:val="20"/>
        </w:rPr>
        <w:t>, sempre que elaborado, e com as leis orçamentárias, bem como abordar todas as considerações técnicas, mercadológicas e de gestão que podem interferir na contratação, compreendidos: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0" w:name="art18i"/>
      <w:bookmarkEnd w:id="0"/>
      <w:r>
        <w:rPr>
          <w:rFonts w:cs="Arial" w:ascii="Arial" w:hAnsi="Arial"/>
          <w:sz w:val="20"/>
          <w:szCs w:val="20"/>
        </w:rPr>
        <w:t xml:space="preserve">I - a descrição da necessidade da contratação fundamentada em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 xml:space="preserve"> que caracterize o interesse público envolvido;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 xml:space="preserve">§ 1º O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 xml:space="preserve"> a que se refere o inciso I do </w:t>
      </w:r>
      <w:r>
        <w:rPr>
          <w:rFonts w:cs="Arial" w:ascii="Arial" w:hAnsi="Arial"/>
          <w:b/>
          <w:bCs/>
          <w:sz w:val="20"/>
          <w:szCs w:val="20"/>
        </w:rPr>
        <w:t>caput</w:t>
      </w:r>
      <w:r>
        <w:rPr>
          <w:rFonts w:cs="Arial" w:ascii="Arial" w:hAnsi="Arial"/>
          <w:sz w:val="20"/>
          <w:szCs w:val="20"/>
        </w:rPr>
        <w:t> deste artigo deverá evidenciar o problema a ser resolvido e a sua melhor solução, de modo a permitir a avaliação da viabilidade técnica e econômica da contratação, e conterá os seguintes elementos: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>I - descrição da necessidade da contratação, considerado o problema a ser resolvido sob a perspectiva do interesse público;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1" w:name="art18§1ii"/>
      <w:bookmarkEnd w:id="1"/>
      <w:r>
        <w:rPr>
          <w:rFonts w:cs="Arial" w:ascii="Arial" w:hAnsi="Arial"/>
          <w:sz w:val="20"/>
          <w:szCs w:val="20"/>
        </w:rPr>
        <w:t>II - demonstração da previsão da contratação no plano de contratações anual, sempre que elaborado, de modo a indicar o seu alinhamento com o planejamento da Administração;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2" w:name="art18§1iii"/>
      <w:bookmarkEnd w:id="2"/>
      <w:r>
        <w:rPr>
          <w:rFonts w:cs="Arial" w:ascii="Arial" w:hAnsi="Arial"/>
          <w:sz w:val="20"/>
          <w:szCs w:val="20"/>
        </w:rPr>
        <w:t>III - requisitos da contratação;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3" w:name="art18§1iv"/>
      <w:bookmarkEnd w:id="3"/>
      <w:r>
        <w:rPr>
          <w:rFonts w:cs="Arial" w:ascii="Arial" w:hAnsi="Arial"/>
          <w:sz w:val="20"/>
          <w:szCs w:val="20"/>
        </w:rPr>
        <w:t>IV - estimativas das quantidades para a contratação, acompanhadas das memórias de cálculo e dos documentos que lhes dão suporte, que considerem interdependências com outras contratações, de modo a possibilitar economia de escala;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4" w:name="art18§1v"/>
      <w:bookmarkEnd w:id="4"/>
      <w:r>
        <w:rPr>
          <w:rFonts w:cs="Arial" w:ascii="Arial" w:hAnsi="Arial"/>
          <w:sz w:val="20"/>
          <w:szCs w:val="20"/>
        </w:rPr>
        <w:t>V - levantamento de mercado, que consiste na análise das alternativas possíveis, e justificativa técnica e econômica da escolha do tipo de solução a contratar;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5" w:name="art18§1vi"/>
      <w:bookmarkEnd w:id="5"/>
      <w:r>
        <w:rPr>
          <w:rFonts w:cs="Arial" w:ascii="Arial" w:hAnsi="Arial"/>
          <w:sz w:val="20"/>
          <w:szCs w:val="20"/>
        </w:rPr>
        <w:t>VI - 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6" w:name="art18§1vii"/>
      <w:bookmarkEnd w:id="6"/>
      <w:r>
        <w:rPr>
          <w:rFonts w:cs="Arial" w:ascii="Arial" w:hAnsi="Arial"/>
          <w:sz w:val="20"/>
          <w:szCs w:val="20"/>
        </w:rPr>
        <w:t>VII - descrição da solução como um todo, inclusive das exigências relacionadas à manutenção e à assistência técnica, quando for o caso;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7" w:name="art18§1viii"/>
      <w:bookmarkEnd w:id="7"/>
      <w:r>
        <w:rPr>
          <w:rFonts w:cs="Arial" w:ascii="Arial" w:hAnsi="Arial"/>
          <w:sz w:val="20"/>
          <w:szCs w:val="20"/>
        </w:rPr>
        <w:t>VIII - justificativas para o parcelamento ou não da contratação;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8" w:name="art18§1ix"/>
      <w:bookmarkEnd w:id="8"/>
      <w:r>
        <w:rPr>
          <w:rFonts w:cs="Arial" w:ascii="Arial" w:hAnsi="Arial"/>
          <w:sz w:val="20"/>
          <w:szCs w:val="20"/>
        </w:rPr>
        <w:t>IX - demonstrativo dos resultados pretendidos em termos de economicidade e de melhor aproveitamento dos recursos humanos, materiais e financeiros disponíveis;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9" w:name="art18§1x"/>
      <w:bookmarkEnd w:id="9"/>
      <w:r>
        <w:rPr>
          <w:rFonts w:cs="Arial" w:ascii="Arial" w:hAnsi="Arial"/>
          <w:sz w:val="20"/>
          <w:szCs w:val="20"/>
        </w:rPr>
        <w:t>X - providências a serem adotadas pela Administração previamente à celebração do contrato, inclusive quanto à capacitação de servidores ou de empregados para fiscalização e gestão contratual;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10" w:name="art18§1xi"/>
      <w:bookmarkEnd w:id="10"/>
      <w:r>
        <w:rPr>
          <w:rFonts w:cs="Arial" w:ascii="Arial" w:hAnsi="Arial"/>
          <w:sz w:val="20"/>
          <w:szCs w:val="20"/>
        </w:rPr>
        <w:t>XI - contratações correlatas e/ou interdependentes;</w:t>
      </w:r>
    </w:p>
    <w:p>
      <w:pPr>
        <w:pStyle w:val="NormalWeb"/>
        <w:spacing w:before="225" w:after="225"/>
        <w:ind w:left="426" w:right="0"/>
        <w:jc w:val="both"/>
        <w:rPr>
          <w:sz w:val="27"/>
          <w:szCs w:val="27"/>
        </w:rPr>
      </w:pPr>
      <w:bookmarkStart w:id="11" w:name="art18§1xii"/>
      <w:bookmarkEnd w:id="11"/>
      <w:r>
        <w:rPr>
          <w:rFonts w:cs="Arial" w:ascii="Arial" w:hAnsi="Arial"/>
          <w:sz w:val="20"/>
          <w:szCs w:val="20"/>
        </w:rPr>
        <w:t>XII - descrição de possíveis impactos ambientais e respectivas medidas mitigadoras, incluídos requisitos de baixo consumo de energia e de outros recursos, bem como logística reversa para desfazimento e reciclagem de bens e refugos, quando aplicável;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 xml:space="preserve">§ 2º O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 xml:space="preserve"> deverá conter ao menos os elementos previstos nos incisos I, IV, VI, VIII e XIII do § 1º deste artigo e, quando não contemplar os demais elementos previstos no referido parágrafo, apresentar as devidas justificativas.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 xml:space="preserve">§ 3º Em se tratando de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 xml:space="preserve"> para contratação de obras e serviços comuns de engenharia, se demonstrada a inexistência de prejuízo para a aferição dos padrões de desempenho e qualidade almejados, a especificação do objeto poderá ser realizada apenas em termo de referência ou em projeto básico, dispensada a elaboração de projetos.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>Art. 21.</w:t>
      </w:r>
      <w:r>
        <w:rPr>
          <w:rFonts w:cs="Arial" w:ascii="Arial" w:hAnsi="Arial"/>
          <w:b/>
          <w:bCs/>
          <w:sz w:val="20"/>
          <w:szCs w:val="20"/>
        </w:rPr>
        <w:t> </w:t>
      </w:r>
      <w:r>
        <w:rPr>
          <w:rFonts w:cs="Arial" w:ascii="Arial" w:hAnsi="Arial"/>
          <w:sz w:val="20"/>
          <w:szCs w:val="20"/>
        </w:rPr>
        <w:t xml:space="preserve">A Administração poderá convocar, com antecedência mínima de 8 (oito) dias úteis, audiência pública, presencial ou a distância, na forma eletrônica, sobre licitação que pretenda realizar, com disponibilização prévia de informações pertinentes, inclusive </w:t>
      </w:r>
      <w:r>
        <w:rPr>
          <w:rFonts w:cs="Arial" w:ascii="Arial" w:hAnsi="Arial"/>
          <w:b/>
          <w:sz w:val="20"/>
          <w:szCs w:val="20"/>
        </w:rPr>
        <w:t>de estudo técnico preliminar</w:t>
      </w:r>
      <w:r>
        <w:rPr>
          <w:rFonts w:cs="Arial" w:ascii="Arial" w:hAnsi="Arial"/>
          <w:sz w:val="20"/>
          <w:szCs w:val="20"/>
        </w:rPr>
        <w:t xml:space="preserve"> e elementos do edital de licitação, e com possibilidade de manifestação de todos os interessados.</w:t>
      </w:r>
    </w:p>
    <w:p>
      <w:pPr>
        <w:pStyle w:val="NormalWeb"/>
        <w:spacing w:before="225" w:after="225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>Art. 25.</w:t>
      </w:r>
      <w:r>
        <w:rPr>
          <w:rFonts w:cs="Arial" w:ascii="Arial" w:hAnsi="Arial"/>
          <w:b/>
          <w:bCs/>
          <w:sz w:val="20"/>
          <w:szCs w:val="20"/>
        </w:rPr>
        <w:t> </w:t>
      </w:r>
      <w:r>
        <w:rPr>
          <w:rFonts w:cs="Arial" w:ascii="Arial" w:hAnsi="Arial"/>
          <w:sz w:val="20"/>
          <w:szCs w:val="20"/>
        </w:rPr>
        <w:t>O edital deverá conter o objeto da licitação e as regras relativas à convocação, ao julgamento, à habilitação, aos recursos e às penalidades da licitação, à fiscalização e à gestão do contrato, à entrega do objeto e às condições de pagamento.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bookmarkStart w:id="12" w:name="art25§2"/>
      <w:bookmarkStart w:id="13" w:name="art25§1"/>
      <w:bookmarkEnd w:id="12"/>
      <w:bookmarkEnd w:id="13"/>
      <w:r>
        <w:rPr>
          <w:rFonts w:cs="Arial" w:ascii="Arial" w:hAnsi="Arial"/>
          <w:sz w:val="20"/>
          <w:szCs w:val="20"/>
        </w:rPr>
        <w:t xml:space="preserve">§ 2º Desde que, conforme demonstrado em </w:t>
      </w:r>
      <w:r>
        <w:rPr>
          <w:rFonts w:cs="Arial" w:ascii="Arial" w:hAnsi="Arial"/>
          <w:b/>
          <w:sz w:val="20"/>
          <w:szCs w:val="20"/>
        </w:rPr>
        <w:t>estudo técnico preliminar,</w:t>
      </w:r>
      <w:r>
        <w:rPr>
          <w:rFonts w:cs="Arial" w:ascii="Arial" w:hAnsi="Arial"/>
          <w:sz w:val="20"/>
          <w:szCs w:val="20"/>
        </w:rPr>
        <w:t xml:space="preserve"> não sejam causados prejuízos à competitividade do processo licitatório e à eficiência do respectivo contrato, o edital poderá prever a utilização de mão de obra, materiais, tecnologias e matérias-primas existentes no local da execução, conservação e operação do bem, serviço ou obra.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>Art. 36. O julgamento por técnica e preço considerará a maior pontuação obtida a partir da ponderação, segundo fatores objetivos previstos no edital, das notas atribuídas aos aspectos de técnica e de preço da proposta.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bookmarkStart w:id="14" w:name="art36§1"/>
      <w:bookmarkEnd w:id="14"/>
      <w:r>
        <w:rPr>
          <w:rFonts w:cs="Arial" w:ascii="Arial" w:hAnsi="Arial"/>
          <w:sz w:val="20"/>
          <w:szCs w:val="20"/>
        </w:rPr>
        <w:t>§ 1º O critério de julgamento de que trata o </w:t>
      </w:r>
      <w:r>
        <w:rPr>
          <w:rFonts w:cs="Arial" w:ascii="Arial" w:hAnsi="Arial"/>
          <w:b/>
          <w:bCs/>
          <w:sz w:val="20"/>
          <w:szCs w:val="20"/>
        </w:rPr>
        <w:t>caput</w:t>
      </w:r>
      <w:r>
        <w:rPr>
          <w:rFonts w:cs="Arial" w:ascii="Arial" w:hAnsi="Arial"/>
          <w:sz w:val="20"/>
          <w:szCs w:val="20"/>
        </w:rPr>
        <w:t xml:space="preserve"> deste artigo será escolhido quando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 xml:space="preserve"> demonstrar que a avaliação e a ponderação da qualidade técnica das propostas que superarem os requisitos mínimos estabelecidos no edital forem relevantes aos fins pretendidos pela Administração nas licitações para contratação de: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Art. 40. O planejamento de compras deverá considerar a expectativa de consumo anual e observar o seguinte: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 xml:space="preserve">§ 4º Em relação à informação de que trata o inciso III do § 1º deste artigo, desde que fundamentada em </w:t>
      </w:r>
      <w:r>
        <w:rPr>
          <w:rFonts w:cs="Arial" w:ascii="Arial" w:hAnsi="Arial"/>
          <w:b/>
          <w:sz w:val="20"/>
          <w:szCs w:val="20"/>
        </w:rPr>
        <w:t>estudo técnico preliminar</w:t>
      </w:r>
      <w:r>
        <w:rPr>
          <w:rFonts w:cs="Arial" w:ascii="Arial" w:hAnsi="Arial"/>
          <w:sz w:val="20"/>
          <w:szCs w:val="20"/>
        </w:rPr>
        <w:t>, a Administração poderá exigir que os serviços de manutenção e assistência técnica sejam prestados mediante deslocamento de técnico ou disponibilizados em unidade de prestação de serviços localizada em distância compatível com suas necessidades.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 xml:space="preserve">Art. 44. Quando houver a possibilidade de compra ou de locação de bens, </w:t>
      </w:r>
      <w:r>
        <w:rPr>
          <w:rFonts w:cs="Arial" w:ascii="Arial" w:hAnsi="Arial"/>
          <w:b/>
          <w:sz w:val="20"/>
          <w:szCs w:val="20"/>
        </w:rPr>
        <w:t>o estudo técnico preliminar</w:t>
      </w:r>
      <w:r>
        <w:rPr>
          <w:rFonts w:cs="Arial" w:ascii="Arial" w:hAnsi="Arial"/>
          <w:sz w:val="20"/>
          <w:szCs w:val="20"/>
        </w:rPr>
        <w:t xml:space="preserve"> deverá considerar os custos e os benefícios de cada opção, com indicação da alternativa mais vantajosa.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r>
        <w:rPr>
          <w:rFonts w:cs="Arial" w:ascii="Arial" w:hAnsi="Arial"/>
          <w:sz w:val="20"/>
          <w:szCs w:val="20"/>
        </w:rPr>
        <w:t>Art. 72. O processo de contratação direta, que compreende os casos de inexigibilidade e de dispensa de licitação, deverá ser instruído com os seguintes documentos:</w:t>
      </w:r>
    </w:p>
    <w:p>
      <w:pPr>
        <w:pStyle w:val="NormalWeb"/>
        <w:spacing w:before="225" w:after="225"/>
        <w:jc w:val="both"/>
        <w:rPr>
          <w:sz w:val="27"/>
          <w:szCs w:val="27"/>
        </w:rPr>
      </w:pPr>
      <w:bookmarkStart w:id="15" w:name="art72i"/>
      <w:bookmarkEnd w:id="15"/>
      <w:r>
        <w:rPr>
          <w:rFonts w:cs="Arial" w:ascii="Arial" w:hAnsi="Arial"/>
          <w:sz w:val="20"/>
          <w:szCs w:val="20"/>
        </w:rPr>
        <w:t xml:space="preserve">I - documento de formalização de demanda e, </w:t>
      </w:r>
      <w:r>
        <w:rPr>
          <w:rFonts w:cs="Arial" w:ascii="Arial" w:hAnsi="Arial"/>
          <w:b/>
          <w:sz w:val="20"/>
          <w:szCs w:val="20"/>
          <w:u w:val="single"/>
        </w:rPr>
        <w:t>se for o caso</w:t>
      </w:r>
      <w:r>
        <w:rPr>
          <w:rFonts w:cs="Arial" w:ascii="Arial" w:hAnsi="Arial"/>
          <w:sz w:val="20"/>
          <w:szCs w:val="20"/>
        </w:rPr>
        <w:t xml:space="preserve">, </w:t>
      </w:r>
      <w:r>
        <w:rPr>
          <w:rFonts w:cs="Arial" w:ascii="Arial" w:hAnsi="Arial"/>
          <w:b/>
          <w:sz w:val="20"/>
          <w:szCs w:val="20"/>
        </w:rPr>
        <w:t>estudo técnico preliminar,</w:t>
      </w:r>
      <w:r>
        <w:rPr>
          <w:rFonts w:cs="Arial" w:ascii="Arial" w:hAnsi="Arial"/>
          <w:sz w:val="20"/>
          <w:szCs w:val="20"/>
        </w:rPr>
        <w:t xml:space="preserve"> análise de riscos, termo de referência, projeto básico ou projeto executivo;</w:t>
      </w:r>
    </w:p>
    <w:p>
      <w:pPr>
        <w:pStyle w:val="Normal"/>
        <w:rPr>
          <w:b/>
          <w:sz w:val="27"/>
          <w:szCs w:val="27"/>
        </w:rPr>
      </w:pPr>
      <w:r>
        <w:rPr>
          <w:b/>
          <w:sz w:val="27"/>
          <w:szCs w:val="27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849" w:gutter="0" w:header="708" w:top="764" w:footer="218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00"/>
        <w:sz w:val="18"/>
        <w:szCs w:val="18"/>
      </w:rPr>
    </w:pPr>
    <w:r>
      <w:rPr>
        <w:rFonts w:cs="Arial" w:ascii="Arial" w:hAnsi="Arial"/>
        <w:color w:val="808080"/>
        <w:sz w:val="16"/>
        <w:szCs w:val="16"/>
      </w:rPr>
      <w:tab/>
      <w:tab/>
    </w:r>
    <w:r>
      <w:rPr>
        <w:rFonts w:cs="Arial" w:ascii="Arial" w:hAnsi="Arial"/>
        <w:color w:val="000000"/>
        <w:spacing w:val="60"/>
        <w:sz w:val="18"/>
        <w:szCs w:val="18"/>
      </w:rPr>
      <w:t>Página</w:t>
    </w:r>
    <w:r>
      <w:rPr>
        <w:rFonts w:cs="Arial" w:ascii="Arial" w:hAnsi="Arial"/>
        <w:color w:val="000000"/>
        <w:sz w:val="18"/>
        <w:szCs w:val="18"/>
      </w:rPr>
      <w:t xml:space="preserve">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PAGE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4</w:t>
    </w:r>
    <w:r>
      <w:rPr>
        <w:sz w:val="18"/>
        <w:szCs w:val="18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8"/>
        <w:szCs w:val="18"/>
      </w:rPr>
      <w:t xml:space="preserve"> |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NUMPAGES \* ARABIC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6</w:t>
    </w:r>
    <w:r>
      <w:rPr>
        <w:sz w:val="18"/>
        <w:szCs w:val="18"/>
        <w:rFonts w:cs="Arial" w:ascii="Arial" w:hAnsi="Arial"/>
        <w:color w:val="000000"/>
      </w:rPr>
      <w:fldChar w:fldCharType="end"/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  <w:t>Estudo Técnico Preliminar</w:t>
    </w:r>
  </w:p>
  <w:p>
    <w:pPr>
      <w:pStyle w:val="Footer"/>
      <w:rPr>
        <w:color w:val="808080"/>
      </w:rPr>
    </w:pPr>
    <w:r>
      <w:rPr>
        <w:rFonts w:cs="Arial" w:ascii="Arial" w:hAnsi="Arial"/>
        <w:color w:val="808080"/>
        <w:sz w:val="16"/>
        <w:szCs w:val="16"/>
      </w:rPr>
      <w:t>atualização: novembro/2023 v.01</w:t>
    </w:r>
  </w:p>
  <w:p>
    <w:pPr>
      <w:pStyle w:val="Footer"/>
      <w:rPr>
        <w:color w:val="808080"/>
      </w:rPr>
    </w:pPr>
    <w:r>
      <w:rPr>
        <w:color w:val="80808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color w:val="808080"/>
        <w:sz w:val="16"/>
        <w:szCs w:val="16"/>
      </w:rPr>
      <w:tab/>
      <w:tab/>
    </w:r>
    <w:r>
      <w:rPr>
        <w:rFonts w:cs="Arial" w:ascii="Arial" w:hAnsi="Arial"/>
        <w:color w:val="000000"/>
        <w:spacing w:val="60"/>
        <w:sz w:val="18"/>
        <w:szCs w:val="18"/>
      </w:rPr>
      <w:t>Página</w:t>
    </w:r>
    <w:r>
      <w:rPr>
        <w:rFonts w:cs="Arial" w:ascii="Arial" w:hAnsi="Arial"/>
        <w:color w:val="000000"/>
        <w:sz w:val="18"/>
        <w:szCs w:val="18"/>
      </w:rPr>
      <w:t xml:space="preserve">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PAGE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6</w:t>
    </w:r>
    <w:r>
      <w:rPr>
        <w:sz w:val="18"/>
        <w:szCs w:val="18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8"/>
        <w:szCs w:val="18"/>
      </w:rPr>
      <w:t xml:space="preserve"> |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NUMPAGES \* ARABIC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6</w:t>
    </w:r>
    <w:r>
      <w:rPr>
        <w:sz w:val="18"/>
        <w:szCs w:val="18"/>
        <w:rFonts w:cs="Arial" w:ascii="Arial" w:hAnsi="Arial"/>
        <w:color w:val="000000"/>
      </w:rPr>
      <w:fldChar w:fldCharType="end"/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  <w:t>Estudo Técnico Preliminar</w:t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  <w:t>atualização: novembro/2023 v.01</w:t>
    </w:r>
  </w:p>
  <w:p>
    <w:pPr>
      <w:pStyle w:val="Footer"/>
      <w:rPr>
        <w:color w:val="808080"/>
      </w:rPr>
    </w:pPr>
    <w:r>
      <w:rPr>
        <w:color w:val="80808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114300" distB="114300" distL="114935" distR="114935" simplePos="0" locked="0" layoutInCell="0" allowOverlap="1" relativeHeight="5">
          <wp:simplePos x="0" y="0"/>
          <wp:positionH relativeFrom="margin">
            <wp:posOffset>1091565</wp:posOffset>
          </wp:positionH>
          <wp:positionV relativeFrom="paragraph">
            <wp:posOffset>-152400</wp:posOffset>
          </wp:positionV>
          <wp:extent cx="4295775" cy="75247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56" r="35403" b="-5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4491990"/>
          <wp:effectExtent l="0" t="0" r="0" b="0"/>
          <wp:wrapNone/>
          <wp:docPr id="2" name="WordPictureWatermark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" r="-7" b="-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49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pBdr>
        <w:bottom w:val="single" w:sz="4" w:space="1" w:color="000000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114300" distB="114300" distL="114935" distR="114935" simplePos="0" locked="0" layoutInCell="0" allowOverlap="1" relativeHeight="11">
          <wp:simplePos x="0" y="0"/>
          <wp:positionH relativeFrom="margin">
            <wp:posOffset>1091565</wp:posOffset>
          </wp:positionH>
          <wp:positionV relativeFrom="paragraph">
            <wp:posOffset>-152400</wp:posOffset>
          </wp:positionV>
          <wp:extent cx="4295775" cy="752475"/>
          <wp:effectExtent l="0" t="0" r="0" b="0"/>
          <wp:wrapNone/>
          <wp:docPr id="3" name="image2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56" r="35403" b="-5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1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4491990"/>
          <wp:effectExtent l="0" t="0" r="0" b="0"/>
          <wp:wrapNone/>
          <wp:docPr id="4" name="WordPictureWatermark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 Copy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" r="-7" b="-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49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pBdr>
        <w:bottom w:val="single" w:sz="4" w:space="1" w:color="000000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999" w:hanging="432"/>
      </w:pPr>
      <w:rPr>
        <w:dstrike w:val="false"/>
        <w:strike w:val="false"/>
        <w:sz w:val="20"/>
        <w:i w:val="false"/>
        <w:u w:val="none"/>
        <w:b w:val="false"/>
        <w:szCs w:val="2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98" w:hanging="504"/>
      </w:pPr>
      <w:rPr>
        <w:dstrike w:val="false"/>
        <w:strike w:val="false"/>
        <w:sz w:val="20"/>
        <w:i w:val="false"/>
        <w:b w:val="false"/>
        <w:szCs w:val="20"/>
        <w:rFonts w:ascii="Arial" w:hAnsi="Arial" w:cs="Arial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91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69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778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127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836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318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894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243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952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WW8Num2z0">
    <w:name w:val="WW8Num2z0"/>
    <w:qFormat/>
    <w:rPr>
      <w:b/>
    </w:rPr>
  </w:style>
  <w:style w:type="character" w:styleId="WW8Num2z1">
    <w:name w:val="WW8Num2z1"/>
    <w:qFormat/>
    <w:rPr>
      <w:b w:val="false"/>
      <w:i w:val="false"/>
      <w:strike w:val="false"/>
      <w:dstrike w:val="false"/>
      <w:color w:val="000000"/>
      <w:sz w:val="20"/>
      <w:szCs w:val="20"/>
      <w:u w:val="none"/>
    </w:rPr>
  </w:style>
  <w:style w:type="character" w:styleId="WW8Num2z2">
    <w:name w:val="WW8Num2z2"/>
    <w:qFormat/>
    <w:rPr>
      <w:rFonts w:ascii="Arial" w:hAnsi="Arial" w:cs="Arial"/>
      <w:b w:val="false"/>
      <w:i w:val="false"/>
      <w:strike w:val="false"/>
      <w:dstrike w:val="false"/>
      <w:color w:val="000000"/>
      <w:sz w:val="20"/>
      <w:szCs w:val="20"/>
    </w:rPr>
  </w:style>
  <w:style w:type="character" w:styleId="WW8Num3z0">
    <w:name w:val="WW8Num3z0"/>
    <w:qFormat/>
    <w:rPr>
      <w:sz w:val="20"/>
    </w:rPr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sz w:val="20"/>
      <w:szCs w:val="20"/>
    </w:rPr>
  </w:style>
  <w:style w:type="character" w:styleId="AssuntodocomentrioChar">
    <w:name w:val="Assunto do comentário Char"/>
    <w:qFormat/>
    <w:rPr>
      <w:b/>
      <w:bCs/>
      <w:sz w:val="20"/>
      <w:szCs w:val="20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Nivel2Char">
    <w:name w:val="Nivel 2 Char"/>
    <w:qFormat/>
    <w:rPr>
      <w:rFonts w:ascii="Arial" w:hAnsi="Arial" w:eastAsia="Times New Roman" w:cs="Arial"/>
      <w:color w:val="000000"/>
      <w:sz w:val="20"/>
      <w:szCs w:val="20"/>
    </w:rPr>
  </w:style>
  <w:style w:type="character" w:styleId="Ttulo1Char">
    <w:name w:val="Título 1 Char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Nivel01Char">
    <w:name w:val="Nivel 01 Char"/>
    <w:qFormat/>
    <w:rPr>
      <w:rFonts w:ascii="Arial" w:hAnsi="Arial" w:eastAsia="Times New Roman" w:cs="Arial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rgrafodaLista">
    <w:name w:val="Parágrafo da Lista"/>
    <w:basedOn w:val="Normal"/>
    <w:qFormat/>
    <w:pPr>
      <w:spacing w:before="0" w:after="160"/>
      <w:ind w:hanging="0" w:left="720" w:right="0"/>
      <w:contextualSpacing/>
    </w:pPr>
    <w:rPr/>
  </w:style>
  <w:style w:type="paragraph" w:styleId="Textodecomentrio">
    <w:name w:val="Texto de comentário"/>
    <w:basedOn w:val="Normal"/>
    <w:qFormat/>
    <w:pPr>
      <w:spacing w:lineRule="auto" w:line="240"/>
    </w:pPr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ivel01">
    <w:name w:val="Nivel 01"/>
    <w:basedOn w:val="Heading1"/>
    <w:next w:val="Normal"/>
    <w:qFormat/>
    <w:pPr>
      <w:numPr>
        <w:ilvl w:val="0"/>
        <w:numId w:val="3"/>
      </w:numPr>
      <w:spacing w:lineRule="auto" w:line="240"/>
      <w:ind w:hanging="0" w:left="720" w:right="0"/>
      <w:jc w:val="both"/>
      <w:outlineLvl w:val="9"/>
    </w:pPr>
    <w:rPr>
      <w:rFonts w:ascii="Arial" w:hAnsi="Arial" w:cs="Arial"/>
      <w:b/>
      <w:bCs/>
      <w:color w:val="000000"/>
      <w:sz w:val="20"/>
      <w:szCs w:val="20"/>
    </w:rPr>
  </w:style>
  <w:style w:type="paragraph" w:styleId="Nivel2">
    <w:name w:val="Nivel 2"/>
    <w:basedOn w:val="Normal"/>
    <w:qFormat/>
    <w:pPr>
      <w:numPr>
        <w:ilvl w:val="0"/>
        <w:numId w:val="3"/>
      </w:numPr>
      <w:spacing w:lineRule="auto" w:line="276" w:before="120" w:after="120"/>
      <w:ind w:hanging="0" w:left="0" w:right="0"/>
      <w:jc w:val="both"/>
    </w:pPr>
    <w:rPr>
      <w:rFonts w:ascii="Arial" w:hAnsi="Arial" w:eastAsia="Times New Roman" w:cs="Arial"/>
      <w:color w:val="000000"/>
      <w:sz w:val="20"/>
      <w:szCs w:val="20"/>
    </w:rPr>
  </w:style>
  <w:style w:type="paragraph" w:styleId="Nivel3">
    <w:name w:val="Nivel 3"/>
    <w:basedOn w:val="Normal"/>
    <w:qFormat/>
    <w:pPr>
      <w:numPr>
        <w:ilvl w:val="0"/>
        <w:numId w:val="3"/>
      </w:numPr>
      <w:spacing w:lineRule="auto" w:line="276" w:before="120" w:after="120"/>
      <w:ind w:hanging="0" w:left="425" w:right="0"/>
      <w:jc w:val="both"/>
    </w:pPr>
    <w:rPr>
      <w:rFonts w:ascii="Arial" w:hAnsi="Arial" w:eastAsia="Times New Roman" w:cs="Arial"/>
      <w:color w:val="000000"/>
      <w:sz w:val="20"/>
      <w:szCs w:val="20"/>
    </w:rPr>
  </w:style>
  <w:style w:type="paragraph" w:styleId="Nivel4">
    <w:name w:val="Nivel 4"/>
    <w:basedOn w:val="Nivel3"/>
    <w:qFormat/>
    <w:pPr>
      <w:ind w:hanging="0" w:left="851" w:right="0"/>
    </w:pPr>
    <w:rPr>
      <w:color w:val="000000"/>
    </w:rPr>
  </w:style>
  <w:style w:type="paragraph" w:styleId="Nivel5">
    <w:name w:val="Nivel 5"/>
    <w:basedOn w:val="Nivel4"/>
    <w:qFormat/>
    <w:pPr>
      <w:ind w:hanging="0" w:left="1276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2026-05-29T17:04:00Z</dcterms:created>
  <dc:creator>Paulo</dc:creator>
  <dc:description/>
  <cp:keywords/>
  <dc:language>en-US</dc:language>
  <cp:lastModifiedBy>Dayara Marques</cp:lastModifiedBy>
  <cp:lastPrinted>2026-05-29T14:02:00Z</cp:lastPrinted>
  <dcterms:modified xsi:type="dcterms:W3CDTF">2026-05-29T18:59:00Z</dcterms:modified>
  <cp:revision>3</cp:revision>
  <dc:subject/>
  <dc:title/>
</cp:coreProperties>
</file>