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keepNext/>
        <w:spacing w:line="259" w:lineRule="auto" w:after="160" w:before="0"/>
        <w:jc w:val="center"/>
      </w:pPr>
      <w:r>
        <w:rPr>
          <w:rFonts w:ascii="Arial" w:hAnsi="Arial" w:eastAsia="Arial"/>
          <w:b/>
          <w:sz w:val="24"/>
        </w:rPr>
        <w:t>ESTUDO TÉCNICO PRELIMINAR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SECRETARIA MUNICIPAL DE CULTURA E TURISMO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(Processo Administrativo n° 23837/2026)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1. DESCRIÇÃO DA NECESSIDADE DA CONTRATAÇÃO – art. 18, I c/c §1º, 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O Município de Sumaré, por meio da Secretaria Municipal de Cultura e Turismo, pretende realizar o evento denominado “Aniversário da Cidade”, voltado à população do Município, identificando a necessidade de contratação de apresentação artística ao vivo para compor sua programação principal.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contratação da cantora Sarah Farias deve ser analisada sob a perspectiva do interesse público cultural, da adequação da atração ao perfil do evento, da motivação administrativa, da demonstração de consagração pela crítica especializada ou pela opinião pública e da comprovação da inviabilidade de competição nos termos do art. 74, inciso II, da Lei Federal nº 14.133/2021.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necessidade pública não se resume à mera realização de show, mas à viabilização de programação cultural planejada, com acesso da população a atividade artística de relevância, observada a adequada instrução processual, a disponibilidade orçamentária e a fiscalização da execução.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2. PREVISÃO DA CONTRATAÇÃO NO PLANO DE CONTRATAÇÕES ANUAL, SE HOUVER - art. 18, 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unidade requisitante deverá certificar a previsão da contratação no Plano de Contratações Anual, calendário oficial de eventos, planejamento setorial ou instrumento equivalente. Na hipótese de ausência de previsão específica, deverá justificar a inclusão da demanda, demonstrando interesse público, oportunidade administrativa, compatibilidade orçamentária e aderência às finalidades da Secretaria.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3. REQUISITOS DA CONTRATAÇÃO - art. 18, III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3.1. Os requisitos da contratação serão pormenorizados no Termo de Referência, sem prejuízo dos requisitos mínimos identificados neste Estudo Técnico Preliminar: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demonstração da necessidade pública e da pertinência da atração com o evento;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comprovação de contratação direta da artista ou de representação por empresário exclusivo;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comprovação de consagração pela crítica especializada ou pela opinião pública;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justificativa de preço com parâmetros de compatibilidade e documentos de suporte;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regularidade jurídica, fiscal, social e trabalhista da futura contratada, conforme aplicável;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definição de data, local, horário, condições de execução, gestor e fiscal;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verificação das contratações correlatas necessárias à execução segura e adequada do evento.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4. ESTIMATIVA DA QUANTIDADE – art. 18, IV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Estima-se a contratação de 01 (uma) apresentação artística/show, por se tratar de execução única vinculada ao evento “Aniversário da Cidade”. A quantidade decorre da própria natureza da prestação pretendida, não havendo demanda por quantitativos recorrentes ou fornecimento continuado.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5. LEVANTAMENTO DE MERCADO – art. 18, V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O levantamento de mercado, em contratações artísticas por inexigibilidade, não tem por finalidade comparar artistas como se fossem bens ou serviços comuns substituíveis. A análise deve verificar se a contratação de artista determinada encontra respaldo na consagração pública ou crítica especializada, na exclusividade de representação e na compatibilidade do preço com contratações anteriores ou similares.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Conforme documentação de exclusividade juntada aos autos (CONTRATO EXCLUSIVIDADE SARAH FARIAS 2026 REGISTRADO.pdf), a contratação deve ser analisada sob a perspectiva da inviabilidade de competição própria das apresentações artísticas, pois a Administração não busca serviço artístico genérico, mas apresentação de artista determinada. A validade dessa premissa exige conferência da autenticidade, vigência, abrangência territorial e temporal, identificação da artista, identificação da empresa representante e poderes de quem subscreve o documento.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Os documentos de consagração pública ou crítica especializada juntados aos autos (6. RELEASE SARAH FARIAS.pdf) devem ser considerados para demonstrar que a artista Sarah Farias possui reconhecimento compatível com o porte e a finalidade do evento. A análise deve recair sobre elementos objetivos, tais como histórico artístico, registros de mídia, agenda de apresentações, alcance público, material de divulgação, repercussão no segmento musical e aderência entre o perfil artístico e o público-alvo do evento.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6. ESTIMATIVA DO VALOR DA CONTRATAÇÃO – art. 18, VI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O valor estimado da contratação é de R$ 200.000,00 (duzentos mil reais), tendo como referência Requisição ao Compras. A justificativa de preço deve ser aferida a partir dos documentos constantes dos autos, especialmente Composição: requisição Sara Farias.pdf + PROPOSTA SARAH FARIAS SUMARÉ (1).pdf + NF 200K SARAH FARIAS OURO PRETO.pdf, observando-se que notas fiscais, contratos anteriores e contratações similares não substituem a proposta atual nem a requisição do processo, mas servem como parâmetros de controle de razoabilidade. A análise deve considerar data da contratação similar, ente contratante, localidade, objeto executado, porte do evento, condições de deslocamento, escopo assumido pela contratada e eventuais diferenças materiais entre as contratações comparadas.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7. DESCRIÇÃO DA SOLUÇÃO – art. 18, VII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solução consiste na realização de apresentação artística ao vivo da cantora Sarah Farias durante o evento “Aniversário da Cidade”, no Município de Sumaré/SP, conforme condições a serem definidas no Termo de Referência, na proposta e nos demais documentos de instrução.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apresentação artística ao vivo, com duração mínima a ser definida no Termo de Referência ou proposta;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equipe artística e técnica própria da contratada, quando aplicável;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observância ao rider técnico, camarim, logística e demais condições pactuadas;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estrutura de palco, sonorização, iluminação, segurança e demais itens de apoio a cargo do Município ou de contratações correlatas, salvo disposição expressa em sentido diverso.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8. JUSTIFICATIVAS PARA O PARCELAMENTO OU NÃO DA CONTRATAÇÃO – art. 18, VIII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O objeto da contratação artística principal é indivisível por natureza, pois consiste em apresentação única de artista determinada. O parcelamento da apresentação descaracterizaria a finalidade pública e a identidade artística pretendida. Serviços acessórios e autônomos necessários à execução do evento poderão ser objeto de contratações próprias, quando técnica e administrativamente cabível.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9. RESULTADOS PRETENDIDOS – art. 18, IX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Com a realização do evento “Aniversário da Cidade”, a Administração pretende promover evento cultural de interesse público, ampliar o acesso da população a atividade artística, fortalecer o calendário municipal, fomentar a economia local de forma indireta e assegurar melhor aproveitamento dos recursos públicos empregados na programação, mediante contratação previamente planejada, motivada e fiscalizada.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10. PROVIDÊNCIAS A SEREM ADOTADAS PELA ADMINISTRAÇÃO PREVIAMENTE AO CONTRATO– art. 18, X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confirmar data, horário e local do evento;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verificar disponibilidade orçamentária e fonte de recurso;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validar documento de exclusividade quanto à autenticidade, vigência, abrangência e poderes de representação;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conferir documentos de consagração pública ou crítica especializada;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consolidar justificativa de preço com documentos comparativos;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designar gestor e fiscal do contrato;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verificar infraestrutura, segurança, acessibilidade, licenças, alvarás, camarim, logística e demais condições operacionais;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submeter a instrução à análise jurídica e à autorização da autoridade competente.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11. CONTRATAÇÕES CORRELATAS / INTERDEPENDENTES – art. 18, XI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execução do evento poderá exigir contratações correlatas ou providências administrativas autônomas, tais como locação e montagem de palco, sonorização, iluminação, gerador, segurança, controle de acesso, limpeza, sanitários móveis, ambulância, brigada, camarim, comunicação institucional, autorizações e demais serviços de apoio. Tais providências deverão observar os procedimentos próprios e os prazos compatíveis com a realização do evento.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12. IMPACTOS AMBIENTAIS E TRATAMENTOS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contratação artística principal não apresenta, isoladamente, impacto ambiental significativo. A realização do evento, contudo, poderá gerar resíduos, ruído e fluxo intensificado de pessoas, recomendando-se medidas de limpeza, organização do espaço, controle de resíduos, comunicação preferencialmente digital quando possível e observância das normas de segurança, acessibilidade e proteção do patrimônio público.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13. VIABILIDADE DA CONTRATAÇÃO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Diante dos elementos analisados, conclui-se pela viabilidade condicionada da contratação direta por inexigibilidade de licitação, com fundamento no art. 74, inciso II, da Lei Federal nº 14.133/2021, desde que, antes da formalização final, estejam comprovados nos autos: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razão da escolha da artista e sua pertinência com o evento;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contratação direta ou representação por empresário exclusivo;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consagração pela crítica especializada ou pela opinião pública;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justificativa de preço com parâmetros idôneos;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disponibilidade orçamentária;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regularidade documental da futura contratada;</w:t>
      </w:r>
    </w:p>
    <w:p>
      <w:pPr>
        <w:spacing w:line="259" w:lineRule="auto" w:after="40" w:before="0"/>
        <w:ind w:left="340" w:hanging="142"/>
        <w:jc w:val="both"/>
      </w:pPr>
      <w:r>
        <w:rPr>
          <w:rFonts w:ascii="Arial" w:hAnsi="Arial" w:eastAsia="Arial"/>
          <w:sz w:val="22"/>
        </w:rPr>
        <w:t>· a definição das condições de execução, gestão e fiscalização.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14. CLASSIFICAÇÃO DA INFORMAÇÃO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14.1. Conforme disposto no Decreto Municipal aplicável, não se identifica, nesta minuta, conteúdo que demande classificação de sigilo, sem prejuízo da avaliação pela unidade competente quanto à existência de dados pessoais, informações estratégicas ou anexos que eventualmente exijam tratamento específico.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Sumaré, 17 de Junho de 2026.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_______________________________________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CRISTIAN MARCELO SCHIBELSKY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Mat. 22019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Agente responsável pela elaboração do Estudo Técnico Preliminar - ETP</w:t>
      </w:r>
    </w:p>
    <w:p>
      <w:pPr>
        <w:spacing w:line="259" w:lineRule="auto" w:after="60" w:before="0"/>
        <w:jc w:val="left"/>
      </w:pPr>
      <w:r>
        <w:rPr>
          <w:rFonts w:ascii="Arial" w:hAnsi="Arial" w:eastAsia="Arial"/>
          <w:sz w:val="22"/>
        </w:rPr>
        <w:br w:type="page"/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TERMO DE APROVAÇÃO DE ESTUDO TÉCNICO PRELIMINAR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Nos termos do Decreto Municipal nº 12.053/2023, APROVO e FIRMO o respectivo Estudo Técnico Preliminar - ETP, uma vez que a solução apresentada, observadas as condições e complementações indicadas, mostra-se apta a satisfazer o interesse público.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Sumaré, 17 de Junho de 2026.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_______________________________________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CECILIA SOUSA TEIXEIRA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Secretária Municipal de Cultura e Turismo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REFERÊNCIAS: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Base legal: Lei Federal nº 14.133/2021, especialmente arts. 6º, XX; 18; 72; 74, inciso II; e demais dispositivos aplicáveis à fase preparatória e à contratação direta.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Decretos Municipais aplicáveis à fase preparatória, designação de agentes, elaboração e aprovação do Estudo Técnico Preliminar e classificação da informação.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304" w:right="1134" w:gutter="0" w:header="567" w:top="181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00"/>
        <w:sz w:val="18"/>
        <w:szCs w:val="18"/>
      </w:rPr>
    </w:pPr>
    <w:r>
      <w:rPr>
        <w:rFonts w:cs="Arial" w:ascii="Arial" w:hAnsi="Arial"/>
        <w:color w:val="808080"/>
        <w:sz w:val="16"/>
        <w:szCs w:val="16"/>
      </w:rPr>
      <w:tab/>
      <w:tab/>
    </w:r>
    <w:r>
      <w:rPr>
        <w:rFonts w:cs="Arial" w:ascii="Arial" w:hAnsi="Arial"/>
        <w:color w:val="000000"/>
        <w:spacing w:val="60"/>
        <w:sz w:val="18"/>
        <w:szCs w:val="18"/>
      </w:rPr>
      <w:t>Página</w:t>
    </w:r>
    <w:r>
      <w:rPr>
        <w:rFonts w:cs="Arial" w:ascii="Arial" w:hAnsi="Arial"/>
        <w:color w:val="000000"/>
        <w:sz w:val="18"/>
        <w:szCs w:val="18"/>
      </w:rPr>
      <w:t xml:space="preserve">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PAGE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4</w:t>
    </w:r>
    <w:r>
      <w:rPr>
        <w:sz w:val="18"/>
        <w:szCs w:val="18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8"/>
        <w:szCs w:val="18"/>
      </w:rPr>
      <w:t xml:space="preserve"> | </w:t>
    </w:r>
    <w:r>
      <w:rPr>
        <w:rFonts w:cs="Arial" w:ascii="Arial" w:hAnsi="Arial"/>
        <w:color w:val="000000"/>
        <w:sz w:val="18"/>
        <w:szCs w:val="18"/>
      </w:rPr>
      <w:fldChar w:fldCharType="begin"/>
    </w:r>
    <w:r>
      <w:rPr>
        <w:sz w:val="18"/>
        <w:szCs w:val="18"/>
        <w:rFonts w:cs="Arial" w:ascii="Arial" w:hAnsi="Arial"/>
        <w:color w:val="000000"/>
      </w:rPr>
      <w:instrText xml:space="preserve"> NUMPAGES \* ARABIC </w:instrText>
    </w:r>
    <w:r>
      <w:rPr>
        <w:sz w:val="18"/>
        <w:szCs w:val="18"/>
        <w:rFonts w:cs="Arial" w:ascii="Arial" w:hAnsi="Arial"/>
        <w:color w:val="000000"/>
      </w:rPr>
      <w:fldChar w:fldCharType="separate"/>
    </w:r>
    <w:r>
      <w:rPr>
        <w:sz w:val="18"/>
        <w:szCs w:val="18"/>
        <w:rFonts w:cs="Arial" w:ascii="Arial" w:hAnsi="Arial"/>
        <w:color w:val="000000"/>
      </w:rPr>
      <w:t>6</w:t>
    </w:r>
    <w:r>
      <w:rPr>
        <w:sz w:val="18"/>
        <w:szCs w:val="18"/>
        <w:rFonts w:cs="Arial" w:ascii="Arial" w:hAnsi="Arial"/>
        <w:color w:val="000000"/>
      </w:rPr>
      <w:fldChar w:fldCharType="end"/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</w:r>
  </w:p>
  <w:p>
    <w:pPr>
      <w:pStyle w:val="Footer"/>
      <w:rPr>
        <w:rFonts w:ascii="Arial" w:hAnsi="Arial" w:cs="Arial"/>
        <w:color w:val="808080"/>
        <w:sz w:val="16"/>
        <w:szCs w:val="16"/>
      </w:rPr>
    </w:pPr>
    <w:r>
      <w:rPr>
        <w:rFonts w:cs="Arial" w:ascii="Arial" w:hAnsi="Arial"/>
        <w:color w:val="808080"/>
        <w:sz w:val="16"/>
        <w:szCs w:val="16"/>
      </w:rPr>
      <w:t>Estudo Técnico Preliminar</w:t>
    </w:r>
  </w:p>
  <w:p>
    <w:pPr>
      <w:pStyle w:val="Footer"/>
      <w:rPr>
        <w:color w:val="808080"/>
      </w:rPr>
    </w:pPr>
    <w:r>
      <w:rPr>
        <w:rFonts w:cs="Arial" w:ascii="Arial" w:hAnsi="Arial"/>
        <w:color w:val="808080"/>
        <w:sz w:val="16"/>
        <w:szCs w:val="16"/>
      </w:rPr>
      <w:t>atualização: novembro/2023 v.01</w:t>
    </w:r>
  </w:p>
  <w:p>
    <w:pPr>
      <w:pStyle w:val="Footer"/>
      <w:rPr>
        <w:color w:val="808080"/>
      </w:rPr>
    </w:pPr>
    <w:r>
      <w:rPr>
        <w:color w:val="80808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 xml:space="preserve">Página </w:t>
    </w:r>
    <w:r>
      <w:rPr>
        <w:rFonts w:ascii="Arial" w:hAnsi="Arial" w:eastAsia="Arial"/>
        <w:sz w:val="16"/>
      </w:rPr>
      <w:fldChar w:fldCharType="begin"/>
    </w:r>
    <w:r>
      <w:rPr>
        <w:rFonts w:ascii="Arial" w:hAnsi="Arial" w:eastAsia="Arial"/>
        <w:sz w:val="16"/>
      </w:rPr>
      <w:instrText xml:space="preserve"> PAGE </w:instrText>
    </w:r>
    <w:r>
      <w:rPr>
        <w:rFonts w:ascii="Arial" w:hAnsi="Arial" w:eastAsia="Arial"/>
        <w:sz w:val="16"/>
      </w:rPr>
      <w:fldChar w:fldCharType="separate"/>
    </w:r>
    <w:r>
      <w:rPr>
        <w:rFonts w:ascii="Arial" w:hAnsi="Arial" w:eastAsia="Arial"/>
        <w:sz w:val="16"/>
      </w:rPr>
      <w:t>1</w:t>
    </w:r>
    <w:r>
      <w:rPr>
        <w:rFonts w:ascii="Arial" w:hAnsi="Arial" w:eastAsia="Arial"/>
        <w:sz w:val="16"/>
      </w:rPr>
      <w:fldChar w:fldCharType="end"/>
    </w:r>
    <w:r>
      <w:rPr>
        <w:rFonts w:ascii="Arial" w:hAnsi="Arial" w:eastAsia="Arial"/>
        <w:sz w:val="16"/>
      </w:rPr>
      <w:t xml:space="preserve"> | </w:t>
    </w:r>
    <w:r>
      <w:rPr>
        <w:rFonts w:ascii="Arial" w:hAnsi="Arial" w:eastAsia="Arial"/>
        <w:sz w:val="16"/>
      </w:rPr>
      <w:fldChar w:fldCharType="begin"/>
    </w:r>
    <w:r>
      <w:rPr>
        <w:rFonts w:ascii="Arial" w:hAnsi="Arial" w:eastAsia="Arial"/>
        <w:sz w:val="16"/>
      </w:rPr>
      <w:instrText xml:space="preserve"> NUMPAGES </w:instrText>
    </w:r>
    <w:r>
      <w:rPr>
        <w:rFonts w:ascii="Arial" w:hAnsi="Arial" w:eastAsia="Arial"/>
        <w:sz w:val="16"/>
      </w:rPr>
      <w:fldChar w:fldCharType="separate"/>
    </w:r>
    <w:r>
      <w:rPr>
        <w:rFonts w:ascii="Arial" w:hAnsi="Arial" w:eastAsia="Arial"/>
        <w:sz w:val="16"/>
      </w:rPr>
      <w:t>1</w:t>
    </w:r>
    <w:r>
      <w:rPr>
        <w:rFonts w:ascii="Arial" w:hAnsi="Arial" w:eastAsia="Arial"/>
        <w:sz w:val="16"/>
      </w:rPr>
      <w:fldChar w:fldCharType="end"/>
    </w:r>
  </w:p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>Estudo Técnico Preliminar</w:t>
    </w:r>
  </w:p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>atualização: novembro/2023 v.01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114300" distB="114300" distL="114935" distR="114935" simplePos="0" locked="0" layoutInCell="0" allowOverlap="1" relativeHeight="5">
          <wp:simplePos x="0" y="0"/>
          <wp:positionH relativeFrom="margin">
            <wp:posOffset>1091565</wp:posOffset>
          </wp:positionH>
          <wp:positionV relativeFrom="paragraph">
            <wp:posOffset>-152400</wp:posOffset>
          </wp:positionV>
          <wp:extent cx="4295775" cy="752475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56" r="35403" b="-5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4491990"/>
          <wp:effectExtent l="0" t="0" r="0" b="0"/>
          <wp:wrapNone/>
          <wp:docPr id="2" name="WordPictureWatermark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" r="-7" b="-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49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pBdr>
        <w:bottom w:val="single" w:sz="4" w:space="1" w:color="000000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114300" distB="114300" distL="114935" distR="114935" simplePos="0" locked="0" layoutInCell="0" allowOverlap="1" relativeHeight="11">
          <wp:simplePos x="0" y="0"/>
          <wp:positionH relativeFrom="margin">
            <wp:posOffset>1091565</wp:posOffset>
          </wp:positionH>
          <wp:positionV relativeFrom="paragraph">
            <wp:posOffset>-152400</wp:posOffset>
          </wp:positionV>
          <wp:extent cx="4295775" cy="752475"/>
          <wp:effectExtent l="0" t="0" r="0" b="0"/>
          <wp:wrapNone/>
          <wp:docPr id="3" name="image2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56" r="35403" b="-5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1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4491990"/>
          <wp:effectExtent l="0" t="0" r="0" b="0"/>
          <wp:wrapNone/>
          <wp:docPr id="4" name="WordPictureWatermark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 Copy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7" t="-9" r="-7" b="-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491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pBdr>
        <w:bottom w:val="single" w:sz="4" w:space="1" w:color="000000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999" w:hanging="432"/>
      </w:pPr>
      <w:rPr>
        <w:dstrike w:val="false"/>
        <w:strike w:val="false"/>
        <w:sz w:val="20"/>
        <w:i w:val="false"/>
        <w:u w:val="none"/>
        <w:b w:val="false"/>
        <w:szCs w:val="2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98" w:hanging="504"/>
      </w:pPr>
      <w:rPr>
        <w:dstrike w:val="false"/>
        <w:strike w:val="false"/>
        <w:sz w:val="20"/>
        <w:i w:val="false"/>
        <w:b w:val="false"/>
        <w:szCs w:val="20"/>
        <w:rFonts w:ascii="Arial" w:hAnsi="Arial" w:cs="Arial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91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69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778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127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836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318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894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243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952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20"/>
    </w:pPr>
    <w:rPr>
      <w:rFonts w:ascii="Arial" w:hAnsi="Arial" w:eastAsia="Arial" w:cs="Times New Roman"/>
      <w:color w:val="auto"/>
      <w:sz w:val="22"/>
      <w:szCs w:val="22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WW8Num2z0">
    <w:name w:val="WW8Num2z0"/>
    <w:qFormat/>
    <w:rPr>
      <w:b/>
    </w:rPr>
  </w:style>
  <w:style w:type="character" w:styleId="WW8Num2z1">
    <w:name w:val="WW8Num2z1"/>
    <w:qFormat/>
    <w:rPr>
      <w:b w:val="false"/>
      <w:i w:val="false"/>
      <w:strike w:val="false"/>
      <w:dstrike w:val="false"/>
      <w:color w:val="000000"/>
      <w:sz w:val="20"/>
      <w:szCs w:val="20"/>
      <w:u w:val="none"/>
    </w:rPr>
  </w:style>
  <w:style w:type="character" w:styleId="WW8Num2z2">
    <w:name w:val="WW8Num2z2"/>
    <w:qFormat/>
    <w:rPr>
      <w:rFonts w:ascii="Arial" w:hAnsi="Arial" w:cs="Arial"/>
      <w:b w:val="false"/>
      <w:i w:val="false"/>
      <w:strike w:val="false"/>
      <w:dstrike w:val="false"/>
      <w:color w:val="000000"/>
      <w:sz w:val="20"/>
      <w:szCs w:val="20"/>
    </w:rPr>
  </w:style>
  <w:style w:type="character" w:styleId="WW8Num3z0">
    <w:name w:val="WW8Num3z0"/>
    <w:qFormat/>
    <w:rPr>
      <w:sz w:val="20"/>
    </w:rPr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sz w:val="20"/>
      <w:szCs w:val="20"/>
    </w:rPr>
  </w:style>
  <w:style w:type="character" w:styleId="AssuntodocomentrioChar">
    <w:name w:val="Assunto do comentário Char"/>
    <w:qFormat/>
    <w:rPr>
      <w:b/>
      <w:bCs/>
      <w:sz w:val="20"/>
      <w:szCs w:val="20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Nivel2Char">
    <w:name w:val="Nivel 2 Char"/>
    <w:qFormat/>
    <w:rPr>
      <w:rFonts w:ascii="Arial" w:hAnsi="Arial" w:eastAsia="Times New Roman" w:cs="Arial"/>
      <w:color w:val="000000"/>
      <w:sz w:val="20"/>
      <w:szCs w:val="20"/>
    </w:rPr>
  </w:style>
  <w:style w:type="character" w:styleId="Ttulo1Char">
    <w:name w:val="Título 1 Char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Nivel01Char">
    <w:name w:val="Nivel 01 Char"/>
    <w:qFormat/>
    <w:rPr>
      <w:rFonts w:ascii="Arial" w:hAnsi="Arial" w:eastAsia="Times New Roman" w:cs="Arial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rgrafodaLista">
    <w:name w:val="Parágrafo da Lista"/>
    <w:basedOn w:val="Normal"/>
    <w:qFormat/>
    <w:pPr>
      <w:spacing w:before="0" w:after="160"/>
      <w:ind w:hanging="0" w:left="720" w:right="0"/>
      <w:contextualSpacing/>
    </w:pPr>
    <w:rPr/>
  </w:style>
  <w:style w:type="paragraph" w:styleId="Textodecomentrio">
    <w:name w:val="Texto de comentário"/>
    <w:basedOn w:val="Normal"/>
    <w:qFormat/>
    <w:pPr>
      <w:spacing w:lineRule="auto" w:line="240"/>
    </w:pPr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ivel01">
    <w:name w:val="Nivel 01"/>
    <w:basedOn w:val="Heading1"/>
    <w:next w:val="Normal"/>
    <w:qFormat/>
    <w:pPr>
      <w:numPr>
        <w:ilvl w:val="0"/>
        <w:numId w:val="3"/>
      </w:numPr>
      <w:spacing w:lineRule="auto" w:line="240"/>
      <w:ind w:hanging="0" w:left="720" w:right="0"/>
      <w:jc w:val="both"/>
      <w:outlineLvl w:val="9"/>
    </w:pPr>
    <w:rPr>
      <w:rFonts w:ascii="Arial" w:hAnsi="Arial" w:cs="Arial"/>
      <w:b/>
      <w:bCs/>
      <w:color w:val="000000"/>
      <w:sz w:val="20"/>
      <w:szCs w:val="20"/>
    </w:rPr>
  </w:style>
  <w:style w:type="paragraph" w:styleId="Nivel2">
    <w:name w:val="Nivel 2"/>
    <w:basedOn w:val="Normal"/>
    <w:qFormat/>
    <w:pPr>
      <w:numPr>
        <w:ilvl w:val="0"/>
        <w:numId w:val="3"/>
      </w:numPr>
      <w:spacing w:lineRule="auto" w:line="276" w:before="120" w:after="120"/>
      <w:ind w:hanging="0" w:left="0" w:right="0"/>
      <w:jc w:val="both"/>
    </w:pPr>
    <w:rPr>
      <w:rFonts w:ascii="Arial" w:hAnsi="Arial" w:eastAsia="Times New Roman" w:cs="Arial"/>
      <w:color w:val="000000"/>
      <w:sz w:val="20"/>
      <w:szCs w:val="20"/>
    </w:rPr>
  </w:style>
  <w:style w:type="paragraph" w:styleId="Nivel3">
    <w:name w:val="Nivel 3"/>
    <w:basedOn w:val="Normal"/>
    <w:qFormat/>
    <w:pPr>
      <w:numPr>
        <w:ilvl w:val="0"/>
        <w:numId w:val="3"/>
      </w:numPr>
      <w:spacing w:lineRule="auto" w:line="276" w:before="120" w:after="120"/>
      <w:ind w:hanging="0" w:left="425" w:right="0"/>
      <w:jc w:val="both"/>
    </w:pPr>
    <w:rPr>
      <w:rFonts w:ascii="Arial" w:hAnsi="Arial" w:eastAsia="Times New Roman" w:cs="Arial"/>
      <w:color w:val="000000"/>
      <w:sz w:val="20"/>
      <w:szCs w:val="20"/>
    </w:rPr>
  </w:style>
  <w:style w:type="paragraph" w:styleId="Nivel4">
    <w:name w:val="Nivel 4"/>
    <w:basedOn w:val="Nivel3"/>
    <w:qFormat/>
    <w:pPr>
      <w:ind w:hanging="0" w:left="851" w:right="0"/>
    </w:pPr>
    <w:rPr>
      <w:color w:val="000000"/>
    </w:rPr>
  </w:style>
  <w:style w:type="paragraph" w:styleId="Nivel5">
    <w:name w:val="Nivel 5"/>
    <w:basedOn w:val="Nivel4"/>
    <w:qFormat/>
    <w:pPr>
      <w:ind w:hanging="0" w:left="1276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2026-05-29T17:04:00Z</dcterms:created>
  <dc:creator>Paulo</dc:creator>
  <dc:description/>
  <cp:keywords/>
  <dc:language>en-US</dc:language>
  <cp:lastModifiedBy>Dayara Marques</cp:lastModifiedBy>
  <cp:lastPrinted>2026-05-29T14:02:00Z</cp:lastPrinted>
  <dcterms:modified xsi:type="dcterms:W3CDTF">2026-05-29T18:59:00Z</dcterms:modified>
  <cp:revision>3</cp:revision>
  <dc:subject/>
  <dc:title/>
</cp:coreProperties>
</file>