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Metrics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As a service consumer, I want "context" about the transaction to be captured along with the logged request, so that I can easily compare infrastructure resource utilization, latency and traffic patterns so I can provide analysis that contributes to providing the optimal service offering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Neustar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to its customers.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Acceptance Criteria: 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part of the operational platform design considerations, please come up with a standard way of measuring and recording resource utilization metrics (CPU, memory, I/O, connections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fields logged should include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Infrastructure utilized to serve the request, including but not limited to: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center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Application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Database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server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Preferably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reference to something that can be looked up in Service Now.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Key/Value pairs that can provide application-specific logging of information, such as: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Duration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off-host portion for serving the response (database, external call,…)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request (if pertinent)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  <w:sz w:val="20"/>
          <w:szCs w:val="20"/>
        </w:rPr>
        <w:t>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applicable, whether the response was served from a cache</w:t>
      </w:r>
      <w:bookmarkStart w:id="0" w:name="_GoBack"/>
      <w:bookmarkEnd w:id="0"/>
    </w:p>
    <w:sectPr w:rsidR="00A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D7"/>
    <w:rsid w:val="005E716E"/>
    <w:rsid w:val="00AA27D7"/>
    <w:rsid w:val="00B06791"/>
    <w:rsid w:val="00F63200"/>
    <w:rsid w:val="00F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Schmackpfeffer</dc:creator>
  <cp:lastModifiedBy>Craig Schmackpfeffer</cp:lastModifiedBy>
  <cp:revision>2</cp:revision>
  <cp:lastPrinted>2012-03-13T17:58:00Z</cp:lastPrinted>
  <dcterms:created xsi:type="dcterms:W3CDTF">2012-03-13T17:56:00Z</dcterms:created>
  <dcterms:modified xsi:type="dcterms:W3CDTF">2012-03-14T14:12:00Z</dcterms:modified>
</cp:coreProperties>
</file>