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5F1" w:rsidRDefault="000765F1">
      <w:pPr>
        <w:widowControl w:val="0"/>
        <w:pBdr>
          <w:top w:val="nil"/>
          <w:left w:val="nil"/>
          <w:bottom w:val="nil"/>
          <w:right w:val="nil"/>
          <w:between w:val="nil"/>
        </w:pBdr>
        <w:spacing w:line="276" w:lineRule="auto"/>
        <w:rPr>
          <w:color w:val="000000"/>
          <w:sz w:val="22"/>
          <w:szCs w:val="22"/>
        </w:rPr>
      </w:pPr>
    </w:p>
    <w:tbl>
      <w:tblPr>
        <w:tblStyle w:val="a"/>
        <w:tblW w:w="10620" w:type="dxa"/>
        <w:tblInd w:w="198" w:type="dxa"/>
        <w:tblLayout w:type="fixed"/>
        <w:tblLook w:val="0000" w:firstRow="0" w:lastRow="0" w:firstColumn="0" w:lastColumn="0" w:noHBand="0" w:noVBand="0"/>
      </w:tblPr>
      <w:tblGrid>
        <w:gridCol w:w="7650"/>
        <w:gridCol w:w="2970"/>
      </w:tblGrid>
      <w:tr w:rsidR="000765F1">
        <w:trPr>
          <w:trHeight w:val="620"/>
        </w:trPr>
        <w:tc>
          <w:tcPr>
            <w:tcW w:w="7650" w:type="dxa"/>
            <w:tcBorders>
              <w:top w:val="nil"/>
              <w:left w:val="nil"/>
              <w:bottom w:val="nil"/>
              <w:right w:val="nil"/>
            </w:tcBorders>
          </w:tcPr>
          <w:p w:rsidR="000765F1" w:rsidRDefault="001A2961">
            <w:pPr>
              <w:rPr>
                <w:sz w:val="18"/>
                <w:szCs w:val="18"/>
              </w:rPr>
            </w:pPr>
            <w:r>
              <w:rPr>
                <w:noProof/>
                <w:lang w:val="en-US"/>
              </w:rPr>
              <w:drawing>
                <wp:inline distT="0" distB="0" distL="114300" distR="114300">
                  <wp:extent cx="3296920" cy="603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6920" cy="603250"/>
                          </a:xfrm>
                          <a:prstGeom prst="rect">
                            <a:avLst/>
                          </a:prstGeom>
                          <a:ln/>
                        </pic:spPr>
                      </pic:pic>
                    </a:graphicData>
                  </a:graphic>
                </wp:inline>
              </w:drawing>
            </w:r>
          </w:p>
        </w:tc>
        <w:tc>
          <w:tcPr>
            <w:tcW w:w="2970" w:type="dxa"/>
            <w:vMerge w:val="restart"/>
            <w:tcBorders>
              <w:top w:val="nil"/>
              <w:left w:val="nil"/>
              <w:bottom w:val="single" w:sz="4" w:space="0" w:color="FFFFFF"/>
              <w:right w:val="nil"/>
            </w:tcBorders>
          </w:tcPr>
          <w:p w:rsidR="000765F1" w:rsidRDefault="001A2961">
            <w:pPr>
              <w:rPr>
                <w:sz w:val="16"/>
                <w:szCs w:val="16"/>
              </w:rPr>
            </w:pPr>
            <w:r>
              <w:rPr>
                <w:b/>
                <w:sz w:val="16"/>
                <w:szCs w:val="16"/>
              </w:rPr>
              <w:t>Fish and Wildlife Policy</w:t>
            </w:r>
          </w:p>
          <w:p w:rsidR="000765F1" w:rsidRDefault="001A2961">
            <w:pPr>
              <w:rPr>
                <w:sz w:val="16"/>
                <w:szCs w:val="16"/>
              </w:rPr>
            </w:pPr>
            <w:r>
              <w:rPr>
                <w:sz w:val="16"/>
                <w:szCs w:val="16"/>
              </w:rPr>
              <w:t>2</w:t>
            </w:r>
            <w:r>
              <w:rPr>
                <w:sz w:val="16"/>
                <w:szCs w:val="16"/>
                <w:vertAlign w:val="superscript"/>
              </w:rPr>
              <w:t>nd</w:t>
            </w:r>
            <w:r>
              <w:rPr>
                <w:sz w:val="16"/>
                <w:szCs w:val="16"/>
              </w:rPr>
              <w:t xml:space="preserve"> floor, Provincial Building</w:t>
            </w:r>
          </w:p>
          <w:p w:rsidR="000765F1" w:rsidRDefault="001A2961">
            <w:pPr>
              <w:rPr>
                <w:sz w:val="16"/>
                <w:szCs w:val="16"/>
              </w:rPr>
            </w:pPr>
            <w:r>
              <w:rPr>
                <w:sz w:val="16"/>
                <w:szCs w:val="16"/>
              </w:rPr>
              <w:t>213-1 St. W</w:t>
            </w:r>
          </w:p>
          <w:p w:rsidR="000765F1" w:rsidRDefault="001A2961">
            <w:pPr>
              <w:rPr>
                <w:sz w:val="16"/>
                <w:szCs w:val="16"/>
              </w:rPr>
            </w:pPr>
            <w:r>
              <w:rPr>
                <w:sz w:val="16"/>
                <w:szCs w:val="16"/>
              </w:rPr>
              <w:t xml:space="preserve">Cochrane, Alberta </w:t>
            </w:r>
          </w:p>
          <w:p w:rsidR="000765F1" w:rsidRDefault="001A2961">
            <w:pPr>
              <w:rPr>
                <w:sz w:val="16"/>
                <w:szCs w:val="16"/>
              </w:rPr>
            </w:pPr>
            <w:r>
              <w:rPr>
                <w:sz w:val="16"/>
                <w:szCs w:val="16"/>
              </w:rPr>
              <w:t>T4C 1A5</w:t>
            </w:r>
          </w:p>
          <w:p w:rsidR="000765F1" w:rsidRDefault="001A2961">
            <w:pPr>
              <w:rPr>
                <w:sz w:val="16"/>
                <w:szCs w:val="16"/>
              </w:rPr>
            </w:pPr>
            <w:r>
              <w:rPr>
                <w:sz w:val="16"/>
                <w:szCs w:val="16"/>
              </w:rPr>
              <w:t>Canada</w:t>
            </w:r>
          </w:p>
          <w:p w:rsidR="000765F1" w:rsidRDefault="001A2961">
            <w:pPr>
              <w:rPr>
                <w:sz w:val="16"/>
                <w:szCs w:val="16"/>
              </w:rPr>
            </w:pPr>
            <w:r>
              <w:rPr>
                <w:sz w:val="16"/>
                <w:szCs w:val="16"/>
              </w:rPr>
              <w:t>Telephone:403-851-2200</w:t>
            </w:r>
          </w:p>
          <w:p w:rsidR="000765F1" w:rsidRDefault="000979B4">
            <w:pPr>
              <w:rPr>
                <w:sz w:val="16"/>
                <w:szCs w:val="16"/>
              </w:rPr>
            </w:pPr>
            <w:hyperlink r:id="rId8">
              <w:r w:rsidR="001A2961">
                <w:rPr>
                  <w:color w:val="0000FF"/>
                  <w:sz w:val="16"/>
                  <w:szCs w:val="16"/>
                  <w:u w:val="single"/>
                </w:rPr>
                <w:t>www.alberta.ca</w:t>
              </w:r>
            </w:hyperlink>
          </w:p>
        </w:tc>
      </w:tr>
      <w:tr w:rsidR="000765F1">
        <w:trPr>
          <w:trHeight w:val="720"/>
        </w:trPr>
        <w:tc>
          <w:tcPr>
            <w:tcW w:w="7650" w:type="dxa"/>
            <w:tcBorders>
              <w:top w:val="nil"/>
              <w:left w:val="nil"/>
              <w:bottom w:val="nil"/>
              <w:right w:val="nil"/>
            </w:tcBorders>
            <w:tcMar>
              <w:left w:w="72" w:type="dxa"/>
            </w:tcMar>
          </w:tcPr>
          <w:p w:rsidR="000765F1" w:rsidRDefault="000765F1">
            <w:pPr>
              <w:spacing w:before="280"/>
              <w:rPr>
                <w:sz w:val="40"/>
                <w:szCs w:val="40"/>
              </w:rPr>
            </w:pPr>
          </w:p>
        </w:tc>
        <w:tc>
          <w:tcPr>
            <w:tcW w:w="2970" w:type="dxa"/>
            <w:vMerge/>
            <w:tcBorders>
              <w:top w:val="nil"/>
              <w:left w:val="nil"/>
              <w:bottom w:val="single" w:sz="4" w:space="0" w:color="FFFFFF"/>
              <w:right w:val="nil"/>
            </w:tcBorders>
          </w:tcPr>
          <w:p w:rsidR="000765F1" w:rsidRDefault="000765F1">
            <w:pPr>
              <w:widowControl w:val="0"/>
              <w:pBdr>
                <w:top w:val="nil"/>
                <w:left w:val="nil"/>
                <w:bottom w:val="nil"/>
                <w:right w:val="nil"/>
                <w:between w:val="nil"/>
              </w:pBdr>
              <w:spacing w:line="276" w:lineRule="auto"/>
              <w:rPr>
                <w:sz w:val="40"/>
                <w:szCs w:val="40"/>
              </w:rPr>
            </w:pPr>
          </w:p>
        </w:tc>
      </w:tr>
    </w:tbl>
    <w:p w:rsidR="000765F1" w:rsidRDefault="000979B4">
      <w:pPr>
        <w:rPr>
          <w:sz w:val="20"/>
          <w:szCs w:val="20"/>
        </w:rPr>
      </w:pPr>
      <w:r>
        <w:rPr>
          <w:noProof/>
        </w:rPr>
        <w:pict>
          <v:rect id="_x0000_i1025" alt="" style="width:80pt;height:.05pt;mso-width-percent:0;mso-height-percent:0;mso-width-percent:0;mso-height-percent:0" o:hralign="center" o:hrstd="t" o:hr="t" fillcolor="#a0a0a0" stroked="f"/>
        </w:pict>
      </w:r>
    </w:p>
    <w:p w:rsidR="000765F1" w:rsidRDefault="000765F1">
      <w:pPr>
        <w:rPr>
          <w:sz w:val="20"/>
          <w:szCs w:val="20"/>
        </w:rPr>
        <w:sectPr w:rsidR="000765F1">
          <w:headerReference w:type="even" r:id="rId9"/>
          <w:headerReference w:type="default" r:id="rId10"/>
          <w:footerReference w:type="even" r:id="rId11"/>
          <w:footerReference w:type="default" r:id="rId12"/>
          <w:headerReference w:type="first" r:id="rId13"/>
          <w:footerReference w:type="first" r:id="rId14"/>
          <w:pgSz w:w="12240" w:h="15840"/>
          <w:pgMar w:top="720" w:right="720" w:bottom="1872" w:left="864" w:header="720" w:footer="576" w:gutter="0"/>
          <w:pgNumType w:start="1"/>
          <w:cols w:space="720"/>
        </w:sectPr>
      </w:pPr>
    </w:p>
    <w:p w:rsidR="000765F1" w:rsidRDefault="000765F1">
      <w:pPr>
        <w:rPr>
          <w:sz w:val="22"/>
          <w:szCs w:val="22"/>
        </w:rPr>
      </w:pPr>
    </w:p>
    <w:tbl>
      <w:tblPr>
        <w:tblStyle w:val="a0"/>
        <w:tblW w:w="10185" w:type="dxa"/>
        <w:tblInd w:w="12" w:type="dxa"/>
        <w:tblLayout w:type="fixed"/>
        <w:tblLook w:val="0000" w:firstRow="0" w:lastRow="0" w:firstColumn="0" w:lastColumn="0" w:noHBand="0" w:noVBand="0"/>
      </w:tblPr>
      <w:tblGrid>
        <w:gridCol w:w="1260"/>
        <w:gridCol w:w="5205"/>
        <w:gridCol w:w="1245"/>
        <w:gridCol w:w="2475"/>
      </w:tblGrid>
      <w:tr w:rsidR="000765F1">
        <w:tc>
          <w:tcPr>
            <w:tcW w:w="1260" w:type="dxa"/>
            <w:vMerge w:val="restart"/>
            <w:tcMar>
              <w:left w:w="72" w:type="dxa"/>
              <w:right w:w="72" w:type="dxa"/>
            </w:tcMar>
          </w:tcPr>
          <w:p w:rsidR="000765F1" w:rsidRDefault="001A2961">
            <w:pPr>
              <w:jc w:val="right"/>
              <w:rPr>
                <w:sz w:val="20"/>
                <w:szCs w:val="20"/>
              </w:rPr>
            </w:pPr>
            <w:r>
              <w:rPr>
                <w:sz w:val="20"/>
                <w:szCs w:val="20"/>
              </w:rPr>
              <w:t>From:</w:t>
            </w:r>
          </w:p>
        </w:tc>
        <w:tc>
          <w:tcPr>
            <w:tcW w:w="5205" w:type="dxa"/>
            <w:vMerge w:val="restart"/>
            <w:tcMar>
              <w:left w:w="72" w:type="dxa"/>
              <w:right w:w="72" w:type="dxa"/>
            </w:tcMar>
          </w:tcPr>
          <w:p w:rsidR="000765F1" w:rsidRDefault="001A2961">
            <w:pPr>
              <w:rPr>
                <w:sz w:val="22"/>
                <w:szCs w:val="22"/>
              </w:rPr>
            </w:pPr>
            <w:r>
              <w:rPr>
                <w:sz w:val="22"/>
                <w:szCs w:val="22"/>
              </w:rPr>
              <w:t>Dr. Andrew Paul</w:t>
            </w:r>
          </w:p>
          <w:p w:rsidR="000765F1" w:rsidRDefault="001A2961">
            <w:pPr>
              <w:rPr>
                <w:sz w:val="22"/>
                <w:szCs w:val="22"/>
              </w:rPr>
            </w:pPr>
            <w:r>
              <w:rPr>
                <w:sz w:val="22"/>
                <w:szCs w:val="22"/>
              </w:rPr>
              <w:t xml:space="preserve">Provincial Environmental Flow Specialist </w:t>
            </w:r>
          </w:p>
          <w:p w:rsidR="000765F1" w:rsidRDefault="001A2961">
            <w:pPr>
              <w:rPr>
                <w:sz w:val="22"/>
                <w:szCs w:val="22"/>
              </w:rPr>
            </w:pPr>
            <w:r>
              <w:rPr>
                <w:sz w:val="22"/>
                <w:szCs w:val="22"/>
              </w:rPr>
              <w:t>Alberta Environment and Parks</w:t>
            </w:r>
          </w:p>
          <w:p w:rsidR="000765F1" w:rsidRDefault="000765F1">
            <w:pPr>
              <w:rPr>
                <w:sz w:val="22"/>
                <w:szCs w:val="22"/>
              </w:rPr>
            </w:pPr>
          </w:p>
          <w:p w:rsidR="000765F1" w:rsidRDefault="001A2961">
            <w:pPr>
              <w:rPr>
                <w:sz w:val="22"/>
                <w:szCs w:val="22"/>
              </w:rPr>
            </w:pPr>
            <w:r>
              <w:rPr>
                <w:sz w:val="22"/>
                <w:szCs w:val="22"/>
              </w:rPr>
              <w:t>Kenton Neufeld</w:t>
            </w:r>
          </w:p>
          <w:p w:rsidR="000765F1" w:rsidRDefault="001A2961">
            <w:pPr>
              <w:rPr>
                <w:sz w:val="22"/>
                <w:szCs w:val="22"/>
              </w:rPr>
            </w:pPr>
            <w:r>
              <w:rPr>
                <w:sz w:val="22"/>
                <w:szCs w:val="22"/>
              </w:rPr>
              <w:t>Senior Fisheries Biologist</w:t>
            </w:r>
          </w:p>
          <w:p w:rsidR="000765F1" w:rsidRDefault="001A2961">
            <w:pPr>
              <w:rPr>
                <w:sz w:val="22"/>
                <w:szCs w:val="22"/>
              </w:rPr>
            </w:pPr>
            <w:r>
              <w:rPr>
                <w:sz w:val="22"/>
                <w:szCs w:val="22"/>
              </w:rPr>
              <w:t>Alberta Environment and Parks</w:t>
            </w:r>
          </w:p>
          <w:p w:rsidR="000765F1" w:rsidRDefault="001A2961">
            <w:pPr>
              <w:rPr>
                <w:sz w:val="22"/>
                <w:szCs w:val="22"/>
              </w:rPr>
            </w:pPr>
            <w:r>
              <w:rPr>
                <w:sz w:val="22"/>
                <w:szCs w:val="22"/>
              </w:rPr>
              <w:t>Rocky Mountain House</w:t>
            </w:r>
          </w:p>
          <w:p w:rsidR="000765F1" w:rsidRDefault="001A2961">
            <w:pPr>
              <w:rPr>
                <w:sz w:val="22"/>
                <w:szCs w:val="22"/>
              </w:rPr>
            </w:pPr>
            <w:r>
              <w:rPr>
                <w:sz w:val="22"/>
                <w:szCs w:val="22"/>
              </w:rPr>
              <w:t>kenton.neufeld@gov.ab.ca</w:t>
            </w:r>
          </w:p>
        </w:tc>
        <w:tc>
          <w:tcPr>
            <w:tcW w:w="1245" w:type="dxa"/>
            <w:tcMar>
              <w:left w:w="72" w:type="dxa"/>
              <w:right w:w="72" w:type="dxa"/>
            </w:tcMar>
          </w:tcPr>
          <w:p w:rsidR="000765F1" w:rsidRDefault="001A2961">
            <w:pPr>
              <w:jc w:val="right"/>
              <w:rPr>
                <w:sz w:val="20"/>
                <w:szCs w:val="20"/>
              </w:rPr>
            </w:pPr>
            <w:r>
              <w:rPr>
                <w:sz w:val="20"/>
                <w:szCs w:val="20"/>
              </w:rPr>
              <w:t>Our File Reference:</w:t>
            </w:r>
          </w:p>
        </w:tc>
        <w:tc>
          <w:tcPr>
            <w:tcW w:w="2475" w:type="dxa"/>
            <w:tcMar>
              <w:left w:w="72" w:type="dxa"/>
              <w:right w:w="72" w:type="dxa"/>
            </w:tcMar>
          </w:tcPr>
          <w:p w:rsidR="000765F1" w:rsidRDefault="001A2961">
            <w:pPr>
              <w:rPr>
                <w:sz w:val="22"/>
                <w:szCs w:val="22"/>
              </w:rPr>
            </w:pPr>
            <w:r>
              <w:rPr>
                <w:sz w:val="22"/>
                <w:szCs w:val="22"/>
              </w:rPr>
              <w:t>     </w:t>
            </w:r>
          </w:p>
        </w:tc>
      </w:tr>
      <w:tr w:rsidR="000765F1">
        <w:tc>
          <w:tcPr>
            <w:tcW w:w="1260"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0765F1" w:rsidRDefault="000765F1">
            <w:pPr>
              <w:jc w:val="right"/>
              <w:rPr>
                <w:sz w:val="20"/>
                <w:szCs w:val="20"/>
              </w:rPr>
            </w:pPr>
          </w:p>
        </w:tc>
        <w:tc>
          <w:tcPr>
            <w:tcW w:w="2475" w:type="dxa"/>
            <w:tcMar>
              <w:left w:w="72" w:type="dxa"/>
              <w:right w:w="72" w:type="dxa"/>
            </w:tcMar>
          </w:tcPr>
          <w:p w:rsidR="000765F1" w:rsidRDefault="000765F1">
            <w:pPr>
              <w:rPr>
                <w:sz w:val="22"/>
                <w:szCs w:val="22"/>
              </w:rPr>
            </w:pPr>
          </w:p>
        </w:tc>
      </w:tr>
      <w:tr w:rsidR="000765F1">
        <w:trPr>
          <w:trHeight w:val="1380"/>
        </w:trPr>
        <w:tc>
          <w:tcPr>
            <w:tcW w:w="1260"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0765F1" w:rsidRDefault="001A2961">
            <w:pPr>
              <w:jc w:val="right"/>
              <w:rPr>
                <w:sz w:val="20"/>
                <w:szCs w:val="20"/>
              </w:rPr>
            </w:pPr>
            <w:r>
              <w:rPr>
                <w:sz w:val="20"/>
                <w:szCs w:val="20"/>
              </w:rPr>
              <w:t>Your File Reference:</w:t>
            </w:r>
          </w:p>
        </w:tc>
        <w:tc>
          <w:tcPr>
            <w:tcW w:w="2475" w:type="dxa"/>
            <w:tcMar>
              <w:left w:w="72" w:type="dxa"/>
              <w:right w:w="72" w:type="dxa"/>
            </w:tcMar>
          </w:tcPr>
          <w:p w:rsidR="000765F1" w:rsidRDefault="001A2961">
            <w:pPr>
              <w:rPr>
                <w:sz w:val="22"/>
                <w:szCs w:val="22"/>
              </w:rPr>
            </w:pPr>
            <w:r>
              <w:rPr>
                <w:sz w:val="22"/>
                <w:szCs w:val="22"/>
              </w:rPr>
              <w:t>     </w:t>
            </w:r>
          </w:p>
        </w:tc>
      </w:tr>
      <w:tr w:rsidR="000765F1">
        <w:tc>
          <w:tcPr>
            <w:tcW w:w="1260" w:type="dxa"/>
            <w:tcMar>
              <w:left w:w="72" w:type="dxa"/>
              <w:right w:w="72" w:type="dxa"/>
            </w:tcMar>
          </w:tcPr>
          <w:p w:rsidR="000765F1" w:rsidRDefault="000765F1">
            <w:pPr>
              <w:jc w:val="right"/>
              <w:rPr>
                <w:sz w:val="20"/>
                <w:szCs w:val="20"/>
              </w:rPr>
            </w:pPr>
          </w:p>
        </w:tc>
        <w:tc>
          <w:tcPr>
            <w:tcW w:w="5205" w:type="dxa"/>
            <w:tcMar>
              <w:left w:w="72" w:type="dxa"/>
              <w:right w:w="72" w:type="dxa"/>
            </w:tcMar>
          </w:tcPr>
          <w:p w:rsidR="000765F1" w:rsidRDefault="000765F1">
            <w:pPr>
              <w:rPr>
                <w:sz w:val="22"/>
                <w:szCs w:val="22"/>
              </w:rPr>
            </w:pPr>
          </w:p>
        </w:tc>
        <w:tc>
          <w:tcPr>
            <w:tcW w:w="1245" w:type="dxa"/>
            <w:tcMar>
              <w:left w:w="72" w:type="dxa"/>
              <w:right w:w="72" w:type="dxa"/>
            </w:tcMar>
          </w:tcPr>
          <w:p w:rsidR="000765F1" w:rsidRDefault="000765F1">
            <w:pPr>
              <w:jc w:val="right"/>
              <w:rPr>
                <w:sz w:val="20"/>
                <w:szCs w:val="20"/>
              </w:rPr>
            </w:pPr>
          </w:p>
        </w:tc>
        <w:tc>
          <w:tcPr>
            <w:tcW w:w="2475" w:type="dxa"/>
            <w:tcMar>
              <w:left w:w="72" w:type="dxa"/>
              <w:right w:w="72" w:type="dxa"/>
            </w:tcMar>
          </w:tcPr>
          <w:p w:rsidR="000765F1" w:rsidRDefault="000765F1">
            <w:pPr>
              <w:rPr>
                <w:sz w:val="22"/>
                <w:szCs w:val="22"/>
              </w:rPr>
            </w:pPr>
          </w:p>
        </w:tc>
      </w:tr>
      <w:tr w:rsidR="000765F1">
        <w:tc>
          <w:tcPr>
            <w:tcW w:w="1260" w:type="dxa"/>
            <w:vMerge w:val="restart"/>
            <w:tcMar>
              <w:left w:w="72" w:type="dxa"/>
              <w:right w:w="72" w:type="dxa"/>
            </w:tcMar>
          </w:tcPr>
          <w:p w:rsidR="000765F1" w:rsidRDefault="001A2961">
            <w:pPr>
              <w:jc w:val="right"/>
              <w:rPr>
                <w:sz w:val="20"/>
                <w:szCs w:val="20"/>
              </w:rPr>
            </w:pPr>
            <w:r>
              <w:rPr>
                <w:sz w:val="20"/>
                <w:szCs w:val="20"/>
              </w:rPr>
              <w:t>To:</w:t>
            </w:r>
          </w:p>
        </w:tc>
        <w:tc>
          <w:tcPr>
            <w:tcW w:w="5205" w:type="dxa"/>
            <w:vMerge w:val="restart"/>
            <w:tcMar>
              <w:left w:w="72" w:type="dxa"/>
              <w:right w:w="72" w:type="dxa"/>
            </w:tcMar>
          </w:tcPr>
          <w:p w:rsidR="000765F1" w:rsidRDefault="001A2961">
            <w:pPr>
              <w:rPr>
                <w:sz w:val="22"/>
                <w:szCs w:val="22"/>
              </w:rPr>
            </w:pPr>
            <w:r>
              <w:rPr>
                <w:sz w:val="22"/>
                <w:szCs w:val="22"/>
              </w:rPr>
              <w:t>Dr. Carl Schwarz</w:t>
            </w:r>
          </w:p>
          <w:p w:rsidR="000765F1" w:rsidRDefault="001A2961">
            <w:pPr>
              <w:rPr>
                <w:sz w:val="22"/>
                <w:szCs w:val="22"/>
              </w:rPr>
            </w:pPr>
            <w:r>
              <w:rPr>
                <w:sz w:val="22"/>
                <w:szCs w:val="22"/>
              </w:rPr>
              <w:t>StatMathComp Consulting by Schwarz, Inc</w:t>
            </w:r>
          </w:p>
          <w:p w:rsidR="000765F1" w:rsidRDefault="001A2961">
            <w:pPr>
              <w:rPr>
                <w:sz w:val="22"/>
                <w:szCs w:val="22"/>
              </w:rPr>
            </w:pPr>
            <w:r>
              <w:rPr>
                <w:sz w:val="22"/>
                <w:szCs w:val="22"/>
              </w:rPr>
              <w:t>625 Bentley Road</w:t>
            </w:r>
          </w:p>
          <w:p w:rsidR="000765F1" w:rsidRDefault="001A2961">
            <w:pPr>
              <w:rPr>
                <w:sz w:val="22"/>
                <w:szCs w:val="22"/>
              </w:rPr>
            </w:pPr>
            <w:r>
              <w:rPr>
                <w:sz w:val="22"/>
                <w:szCs w:val="22"/>
              </w:rPr>
              <w:t>Port Moody, BC V3H 3A4</w:t>
            </w:r>
          </w:p>
          <w:p w:rsidR="000765F1" w:rsidRDefault="001A2961">
            <w:pPr>
              <w:rPr>
                <w:color w:val="FF0000"/>
                <w:sz w:val="44"/>
                <w:szCs w:val="44"/>
              </w:rPr>
            </w:pPr>
            <w:r>
              <w:rPr>
                <w:sz w:val="22"/>
                <w:szCs w:val="22"/>
              </w:rPr>
              <w:t xml:space="preserve"> </w:t>
            </w:r>
          </w:p>
        </w:tc>
        <w:tc>
          <w:tcPr>
            <w:tcW w:w="1245" w:type="dxa"/>
            <w:tcMar>
              <w:left w:w="72" w:type="dxa"/>
              <w:right w:w="72" w:type="dxa"/>
            </w:tcMar>
          </w:tcPr>
          <w:p w:rsidR="000765F1" w:rsidRDefault="001A2961">
            <w:pPr>
              <w:jc w:val="right"/>
              <w:rPr>
                <w:sz w:val="20"/>
                <w:szCs w:val="20"/>
              </w:rPr>
            </w:pPr>
            <w:r>
              <w:rPr>
                <w:sz w:val="20"/>
                <w:szCs w:val="20"/>
              </w:rPr>
              <w:t>Date:</w:t>
            </w:r>
          </w:p>
        </w:tc>
        <w:tc>
          <w:tcPr>
            <w:tcW w:w="2475" w:type="dxa"/>
            <w:tcMar>
              <w:left w:w="72" w:type="dxa"/>
              <w:right w:w="72" w:type="dxa"/>
            </w:tcMar>
          </w:tcPr>
          <w:p w:rsidR="000765F1" w:rsidRDefault="001A2961">
            <w:pPr>
              <w:rPr>
                <w:sz w:val="22"/>
                <w:szCs w:val="22"/>
              </w:rPr>
            </w:pPr>
            <w:r>
              <w:rPr>
                <w:sz w:val="22"/>
                <w:szCs w:val="22"/>
              </w:rPr>
              <w:t>7 January 2019</w:t>
            </w:r>
          </w:p>
        </w:tc>
      </w:tr>
      <w:tr w:rsidR="000765F1">
        <w:tc>
          <w:tcPr>
            <w:tcW w:w="1260"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0765F1" w:rsidRDefault="000765F1">
            <w:pPr>
              <w:jc w:val="right"/>
              <w:rPr>
                <w:sz w:val="20"/>
                <w:szCs w:val="20"/>
              </w:rPr>
            </w:pPr>
          </w:p>
        </w:tc>
        <w:tc>
          <w:tcPr>
            <w:tcW w:w="2475" w:type="dxa"/>
            <w:tcMar>
              <w:left w:w="72" w:type="dxa"/>
              <w:right w:w="72" w:type="dxa"/>
            </w:tcMar>
          </w:tcPr>
          <w:p w:rsidR="000765F1" w:rsidRDefault="000765F1">
            <w:pPr>
              <w:rPr>
                <w:sz w:val="22"/>
                <w:szCs w:val="22"/>
              </w:rPr>
            </w:pPr>
          </w:p>
        </w:tc>
      </w:tr>
      <w:tr w:rsidR="000765F1">
        <w:tc>
          <w:tcPr>
            <w:tcW w:w="1260"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0765F1" w:rsidRDefault="001A2961">
            <w:pPr>
              <w:jc w:val="right"/>
              <w:rPr>
                <w:sz w:val="20"/>
                <w:szCs w:val="20"/>
              </w:rPr>
            </w:pPr>
            <w:r>
              <w:rPr>
                <w:sz w:val="20"/>
                <w:szCs w:val="20"/>
              </w:rPr>
              <w:t>Phone:</w:t>
            </w:r>
          </w:p>
        </w:tc>
        <w:tc>
          <w:tcPr>
            <w:tcW w:w="2475" w:type="dxa"/>
            <w:tcMar>
              <w:left w:w="72" w:type="dxa"/>
              <w:right w:w="72" w:type="dxa"/>
            </w:tcMar>
          </w:tcPr>
          <w:p w:rsidR="000765F1" w:rsidRDefault="001A2961">
            <w:pPr>
              <w:rPr>
                <w:sz w:val="22"/>
                <w:szCs w:val="22"/>
              </w:rPr>
            </w:pPr>
            <w:r>
              <w:rPr>
                <w:sz w:val="22"/>
                <w:szCs w:val="22"/>
              </w:rPr>
              <w:t>     </w:t>
            </w:r>
          </w:p>
        </w:tc>
      </w:tr>
      <w:tr w:rsidR="000765F1">
        <w:tc>
          <w:tcPr>
            <w:tcW w:w="1260"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0765F1" w:rsidRDefault="000765F1">
            <w:pPr>
              <w:jc w:val="right"/>
              <w:rPr>
                <w:sz w:val="20"/>
                <w:szCs w:val="20"/>
              </w:rPr>
            </w:pPr>
          </w:p>
        </w:tc>
        <w:tc>
          <w:tcPr>
            <w:tcW w:w="2475" w:type="dxa"/>
            <w:tcMar>
              <w:left w:w="72" w:type="dxa"/>
              <w:right w:w="72" w:type="dxa"/>
            </w:tcMar>
          </w:tcPr>
          <w:p w:rsidR="000765F1" w:rsidRDefault="000765F1">
            <w:pPr>
              <w:rPr>
                <w:sz w:val="22"/>
                <w:szCs w:val="22"/>
              </w:rPr>
            </w:pPr>
          </w:p>
        </w:tc>
      </w:tr>
      <w:tr w:rsidR="000765F1">
        <w:tc>
          <w:tcPr>
            <w:tcW w:w="1260"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0765F1" w:rsidRDefault="001A2961">
            <w:pPr>
              <w:jc w:val="right"/>
              <w:rPr>
                <w:sz w:val="20"/>
                <w:szCs w:val="20"/>
              </w:rPr>
            </w:pPr>
            <w:r>
              <w:rPr>
                <w:sz w:val="20"/>
                <w:szCs w:val="20"/>
              </w:rPr>
              <w:t>Fax:</w:t>
            </w:r>
          </w:p>
        </w:tc>
        <w:tc>
          <w:tcPr>
            <w:tcW w:w="2475" w:type="dxa"/>
            <w:tcMar>
              <w:left w:w="72" w:type="dxa"/>
              <w:right w:w="72" w:type="dxa"/>
            </w:tcMar>
          </w:tcPr>
          <w:p w:rsidR="000765F1" w:rsidRDefault="001A2961">
            <w:pPr>
              <w:rPr>
                <w:sz w:val="22"/>
                <w:szCs w:val="22"/>
              </w:rPr>
            </w:pPr>
            <w:r>
              <w:rPr>
                <w:sz w:val="22"/>
                <w:szCs w:val="22"/>
              </w:rPr>
              <w:t>     </w:t>
            </w:r>
          </w:p>
        </w:tc>
      </w:tr>
      <w:tr w:rsidR="000765F1">
        <w:tc>
          <w:tcPr>
            <w:tcW w:w="1260"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0765F1" w:rsidRDefault="000765F1">
            <w:pPr>
              <w:jc w:val="right"/>
              <w:rPr>
                <w:sz w:val="20"/>
                <w:szCs w:val="20"/>
              </w:rPr>
            </w:pPr>
          </w:p>
        </w:tc>
        <w:tc>
          <w:tcPr>
            <w:tcW w:w="2475" w:type="dxa"/>
            <w:tcMar>
              <w:left w:w="72" w:type="dxa"/>
              <w:right w:w="72" w:type="dxa"/>
            </w:tcMar>
          </w:tcPr>
          <w:p w:rsidR="000765F1" w:rsidRDefault="000765F1">
            <w:pPr>
              <w:rPr>
                <w:sz w:val="22"/>
                <w:szCs w:val="22"/>
              </w:rPr>
            </w:pPr>
          </w:p>
        </w:tc>
      </w:tr>
      <w:tr w:rsidR="000765F1">
        <w:tc>
          <w:tcPr>
            <w:tcW w:w="1260"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5205" w:type="dxa"/>
            <w:vMerge/>
            <w:tcMar>
              <w:left w:w="72" w:type="dxa"/>
              <w:right w:w="72" w:type="dxa"/>
            </w:tcMar>
          </w:tcPr>
          <w:p w:rsidR="000765F1" w:rsidRDefault="000765F1">
            <w:pPr>
              <w:widowControl w:val="0"/>
              <w:pBdr>
                <w:top w:val="nil"/>
                <w:left w:val="nil"/>
                <w:bottom w:val="nil"/>
                <w:right w:val="nil"/>
                <w:between w:val="nil"/>
              </w:pBdr>
              <w:spacing w:line="276" w:lineRule="auto"/>
              <w:rPr>
                <w:sz w:val="22"/>
                <w:szCs w:val="22"/>
              </w:rPr>
            </w:pPr>
          </w:p>
        </w:tc>
        <w:tc>
          <w:tcPr>
            <w:tcW w:w="1245" w:type="dxa"/>
            <w:tcMar>
              <w:left w:w="72" w:type="dxa"/>
              <w:right w:w="72" w:type="dxa"/>
            </w:tcMar>
          </w:tcPr>
          <w:p w:rsidR="000765F1" w:rsidRDefault="001A2961">
            <w:pPr>
              <w:jc w:val="right"/>
              <w:rPr>
                <w:sz w:val="20"/>
                <w:szCs w:val="20"/>
              </w:rPr>
            </w:pPr>
            <w:r>
              <w:rPr>
                <w:sz w:val="20"/>
                <w:szCs w:val="20"/>
              </w:rPr>
              <w:t>Email:</w:t>
            </w:r>
          </w:p>
        </w:tc>
        <w:tc>
          <w:tcPr>
            <w:tcW w:w="2475" w:type="dxa"/>
            <w:tcMar>
              <w:left w:w="72" w:type="dxa"/>
              <w:right w:w="72" w:type="dxa"/>
            </w:tcMar>
          </w:tcPr>
          <w:p w:rsidR="000765F1" w:rsidRDefault="001A2961">
            <w:pPr>
              <w:rPr>
                <w:sz w:val="22"/>
                <w:szCs w:val="22"/>
              </w:rPr>
            </w:pPr>
            <w:r>
              <w:rPr>
                <w:sz w:val="22"/>
                <w:szCs w:val="22"/>
              </w:rPr>
              <w:t>     </w:t>
            </w:r>
          </w:p>
        </w:tc>
      </w:tr>
      <w:tr w:rsidR="000765F1">
        <w:tc>
          <w:tcPr>
            <w:tcW w:w="1260" w:type="dxa"/>
            <w:tcMar>
              <w:left w:w="72" w:type="dxa"/>
              <w:right w:w="72" w:type="dxa"/>
            </w:tcMar>
          </w:tcPr>
          <w:p w:rsidR="000765F1" w:rsidRDefault="000765F1">
            <w:pPr>
              <w:jc w:val="right"/>
              <w:rPr>
                <w:sz w:val="20"/>
                <w:szCs w:val="20"/>
              </w:rPr>
            </w:pPr>
          </w:p>
        </w:tc>
        <w:tc>
          <w:tcPr>
            <w:tcW w:w="5205" w:type="dxa"/>
            <w:tcMar>
              <w:left w:w="72" w:type="dxa"/>
              <w:right w:w="72" w:type="dxa"/>
            </w:tcMar>
          </w:tcPr>
          <w:p w:rsidR="000765F1" w:rsidRDefault="000765F1">
            <w:pPr>
              <w:rPr>
                <w:sz w:val="22"/>
                <w:szCs w:val="22"/>
              </w:rPr>
            </w:pPr>
          </w:p>
        </w:tc>
        <w:tc>
          <w:tcPr>
            <w:tcW w:w="1245" w:type="dxa"/>
            <w:tcMar>
              <w:left w:w="72" w:type="dxa"/>
              <w:right w:w="72" w:type="dxa"/>
            </w:tcMar>
          </w:tcPr>
          <w:p w:rsidR="000765F1" w:rsidRDefault="000765F1">
            <w:pPr>
              <w:jc w:val="right"/>
              <w:rPr>
                <w:sz w:val="20"/>
                <w:szCs w:val="20"/>
              </w:rPr>
            </w:pPr>
          </w:p>
        </w:tc>
        <w:tc>
          <w:tcPr>
            <w:tcW w:w="2475" w:type="dxa"/>
            <w:tcMar>
              <w:left w:w="72" w:type="dxa"/>
              <w:right w:w="72" w:type="dxa"/>
            </w:tcMar>
          </w:tcPr>
          <w:p w:rsidR="000765F1" w:rsidRDefault="000765F1">
            <w:pPr>
              <w:rPr>
                <w:sz w:val="22"/>
                <w:szCs w:val="22"/>
              </w:rPr>
            </w:pPr>
          </w:p>
        </w:tc>
      </w:tr>
      <w:tr w:rsidR="000765F1">
        <w:trPr>
          <w:trHeight w:val="940"/>
        </w:trPr>
        <w:tc>
          <w:tcPr>
            <w:tcW w:w="1260" w:type="dxa"/>
            <w:tcMar>
              <w:left w:w="72" w:type="dxa"/>
              <w:right w:w="72" w:type="dxa"/>
            </w:tcMar>
          </w:tcPr>
          <w:p w:rsidR="000765F1" w:rsidRDefault="001A2961">
            <w:pPr>
              <w:rPr>
                <w:rFonts w:ascii="Calibri" w:eastAsia="Calibri" w:hAnsi="Calibri" w:cs="Calibri"/>
                <w:sz w:val="20"/>
                <w:szCs w:val="20"/>
              </w:rPr>
            </w:pPr>
            <w:r>
              <w:rPr>
                <w:rFonts w:ascii="Calibri" w:eastAsia="Calibri" w:hAnsi="Calibri" w:cs="Calibri"/>
                <w:sz w:val="20"/>
                <w:szCs w:val="20"/>
              </w:rPr>
              <w:t>Subject:</w:t>
            </w:r>
          </w:p>
        </w:tc>
        <w:tc>
          <w:tcPr>
            <w:tcW w:w="8925" w:type="dxa"/>
            <w:gridSpan w:val="3"/>
            <w:tcMar>
              <w:left w:w="72" w:type="dxa"/>
              <w:right w:w="72" w:type="dxa"/>
            </w:tcMar>
          </w:tcPr>
          <w:p w:rsidR="000765F1" w:rsidRDefault="001A2961">
            <w:pPr>
              <w:rPr>
                <w:rFonts w:ascii="Calibri" w:eastAsia="Calibri" w:hAnsi="Calibri" w:cs="Calibri"/>
                <w:sz w:val="22"/>
                <w:szCs w:val="22"/>
                <w:u w:val="single"/>
              </w:rPr>
            </w:pPr>
            <w:r>
              <w:rPr>
                <w:rFonts w:ascii="Calibri" w:eastAsia="Calibri" w:hAnsi="Calibri" w:cs="Calibri"/>
                <w:b/>
                <w:sz w:val="22"/>
                <w:szCs w:val="22"/>
              </w:rPr>
              <w:t>Proposal for workshop to describe analytical methods in R for before-after control-impacted watershed experiments</w:t>
            </w:r>
          </w:p>
        </w:tc>
      </w:tr>
    </w:tbl>
    <w:p w:rsidR="000765F1" w:rsidRDefault="000765F1">
      <w:pPr>
        <w:ind w:firstLine="720"/>
        <w:rPr>
          <w:rFonts w:ascii="Calibri" w:eastAsia="Calibri" w:hAnsi="Calibri" w:cs="Calibri"/>
          <w:sz w:val="20"/>
          <w:szCs w:val="20"/>
        </w:rPr>
      </w:pPr>
    </w:p>
    <w:p w:rsidR="000765F1" w:rsidRDefault="001A2961">
      <w:pPr>
        <w:rPr>
          <w:b/>
          <w:sz w:val="22"/>
          <w:szCs w:val="22"/>
          <w:u w:val="single"/>
        </w:rPr>
      </w:pPr>
      <w:r>
        <w:rPr>
          <w:b/>
          <w:sz w:val="22"/>
          <w:szCs w:val="22"/>
          <w:u w:val="single"/>
        </w:rPr>
        <w:t>Background</w:t>
      </w:r>
    </w:p>
    <w:p w:rsidR="000765F1" w:rsidRDefault="000765F1">
      <w:pPr>
        <w:rPr>
          <w:rFonts w:ascii="Calibri" w:eastAsia="Calibri" w:hAnsi="Calibri" w:cs="Calibri"/>
          <w:sz w:val="22"/>
          <w:szCs w:val="22"/>
        </w:rPr>
      </w:pPr>
    </w:p>
    <w:p w:rsidR="000765F1" w:rsidRDefault="001A2961">
      <w:pPr>
        <w:rPr>
          <w:rFonts w:ascii="Calibri" w:eastAsia="Calibri" w:hAnsi="Calibri" w:cs="Calibri"/>
          <w:sz w:val="22"/>
          <w:szCs w:val="22"/>
        </w:rPr>
      </w:pPr>
      <w:r>
        <w:rPr>
          <w:rFonts w:ascii="Calibri" w:eastAsia="Calibri" w:hAnsi="Calibri" w:cs="Calibri"/>
          <w:sz w:val="22"/>
          <w:szCs w:val="22"/>
        </w:rPr>
        <w:t xml:space="preserve">Intensive OHV reclamation activities and reductions in public motorized access have been initiated in Alberta to support native trout recovery. “Intensive” efforts are defined as those improving &gt;50% of highly degraded trout habitat. Extensive restoration is required to deliver measurable changes in fish abundance; others have predicted restoring 20% of a degraded stream was required to achieve a 25% increase in smolt production for coho salmon and 100% of the habitat would need to be restored to be 95% certain of achieving a 25% increase in smolt production. In Alberta, three HUC 10 watersheds targeted for remediation: Rocky Creek, Fall Creek, and Mackenzie Creek. It is the goal of Alberta Environment and Parks to monitor fish populations in these watersheds and detect if the reclamation activities result in a measurable change to the density of immature and adult fish, particularly bull trout. For Rocky Creek, there are three HUC 10 control watersheds; for Mackenzie Creek there are two HUC 10 control watersheds; and, for Fall Creek, there are no control watersheds. </w:t>
      </w:r>
    </w:p>
    <w:p w:rsidR="000765F1" w:rsidRDefault="000765F1">
      <w:pPr>
        <w:rPr>
          <w:rFonts w:ascii="Calibri" w:eastAsia="Calibri" w:hAnsi="Calibri" w:cs="Calibri"/>
          <w:sz w:val="22"/>
          <w:szCs w:val="22"/>
        </w:rPr>
      </w:pPr>
    </w:p>
    <w:p w:rsidR="000765F1" w:rsidRDefault="001A2961">
      <w:pPr>
        <w:rPr>
          <w:rFonts w:ascii="Calibri" w:eastAsia="Calibri" w:hAnsi="Calibri" w:cs="Calibri"/>
          <w:sz w:val="22"/>
          <w:szCs w:val="22"/>
        </w:rPr>
      </w:pPr>
      <w:r>
        <w:rPr>
          <w:rFonts w:ascii="Calibri" w:eastAsia="Calibri" w:hAnsi="Calibri" w:cs="Calibri"/>
          <w:sz w:val="22"/>
          <w:szCs w:val="22"/>
        </w:rPr>
        <w:t xml:space="preserve">In addition to reclamation activities on these watersheds, landscape-level experiments are being used to evaluate management actions on fish populations throughout the province.  Similar to reclamation activities on Rocky, Fall and Mackenzie, the study design of these landscape-level experiments can follow one of several permutations in the </w:t>
      </w:r>
      <w:r>
        <w:rPr>
          <w:rFonts w:ascii="Calibri" w:eastAsia="Calibri" w:hAnsi="Calibri" w:cs="Calibri"/>
          <w:sz w:val="22"/>
          <w:szCs w:val="22"/>
        </w:rPr>
        <w:lastRenderedPageBreak/>
        <w:t xml:space="preserve">spectrum of before-after, control-impacted or multiple treatments.  Having a statistically rigorous framework for evaluating these studies will be important both scientifically and to stakeholders.  </w:t>
      </w:r>
    </w:p>
    <w:p w:rsidR="000765F1" w:rsidRDefault="000765F1">
      <w:pPr>
        <w:rPr>
          <w:rFonts w:ascii="Calibri" w:eastAsia="Calibri" w:hAnsi="Calibri" w:cs="Calibri"/>
          <w:sz w:val="22"/>
          <w:szCs w:val="22"/>
        </w:rPr>
      </w:pPr>
    </w:p>
    <w:p w:rsidR="000765F1" w:rsidRDefault="001A2961">
      <w:pPr>
        <w:rPr>
          <w:b/>
          <w:sz w:val="22"/>
          <w:szCs w:val="22"/>
          <w:u w:val="single"/>
        </w:rPr>
      </w:pPr>
      <w:r>
        <w:rPr>
          <w:b/>
          <w:sz w:val="22"/>
          <w:szCs w:val="22"/>
          <w:u w:val="single"/>
        </w:rPr>
        <w:t>Objective</w:t>
      </w:r>
    </w:p>
    <w:p w:rsidR="000765F1" w:rsidRDefault="000765F1">
      <w:pPr>
        <w:rPr>
          <w:rFonts w:ascii="Calibri" w:eastAsia="Calibri" w:hAnsi="Calibri" w:cs="Calibri"/>
          <w:sz w:val="22"/>
          <w:szCs w:val="22"/>
        </w:rPr>
      </w:pPr>
    </w:p>
    <w:p w:rsidR="000765F1" w:rsidRDefault="001A2961">
      <w:pPr>
        <w:rPr>
          <w:rFonts w:ascii="Calibri" w:eastAsia="Calibri" w:hAnsi="Calibri" w:cs="Calibri"/>
          <w:sz w:val="22"/>
          <w:szCs w:val="22"/>
        </w:rPr>
      </w:pPr>
      <w:r>
        <w:rPr>
          <w:rFonts w:ascii="Calibri" w:eastAsia="Calibri" w:hAnsi="Calibri" w:cs="Calibri"/>
          <w:sz w:val="22"/>
          <w:szCs w:val="22"/>
        </w:rPr>
        <w:t xml:space="preserve">The objective of the proposed work is to run an </w:t>
      </w:r>
      <w:r w:rsidR="009D3D37">
        <w:rPr>
          <w:rFonts w:ascii="Calibri" w:eastAsia="Calibri" w:hAnsi="Calibri" w:cs="Calibri"/>
          <w:sz w:val="22"/>
          <w:szCs w:val="22"/>
          <w:highlight w:val="yellow"/>
        </w:rPr>
        <w:t xml:space="preserve">1 </w:t>
      </w:r>
      <w:r>
        <w:rPr>
          <w:rFonts w:ascii="Calibri" w:eastAsia="Calibri" w:hAnsi="Calibri" w:cs="Calibri"/>
          <w:sz w:val="22"/>
          <w:szCs w:val="22"/>
        </w:rPr>
        <w:t>day workshop that presents the analytical methods in R to statistically evaluate the unbalanced multiple treatment BACI design s.  The workshop would cover:</w:t>
      </w:r>
    </w:p>
    <w:p w:rsidR="000765F1" w:rsidRDefault="000765F1">
      <w:pPr>
        <w:rPr>
          <w:rFonts w:ascii="Calibri" w:eastAsia="Calibri" w:hAnsi="Calibri" w:cs="Calibri"/>
          <w:sz w:val="22"/>
          <w:szCs w:val="22"/>
        </w:rPr>
      </w:pPr>
    </w:p>
    <w:p w:rsidR="000765F1" w:rsidRDefault="001A2961">
      <w:pPr>
        <w:numPr>
          <w:ilvl w:val="0"/>
          <w:numId w:val="2"/>
        </w:numPr>
        <w:rPr>
          <w:rFonts w:ascii="Calibri" w:eastAsia="Calibri" w:hAnsi="Calibri" w:cs="Calibri"/>
          <w:sz w:val="22"/>
          <w:szCs w:val="22"/>
        </w:rPr>
      </w:pPr>
      <w:r>
        <w:rPr>
          <w:rFonts w:ascii="Calibri" w:eastAsia="Calibri" w:hAnsi="Calibri" w:cs="Calibri"/>
          <w:sz w:val="22"/>
          <w:szCs w:val="22"/>
        </w:rPr>
        <w:t>a matched before-after control-impact (mBACI) design for  evaluating a single watershed treatment;</w:t>
      </w:r>
    </w:p>
    <w:p w:rsidR="000765F1" w:rsidRDefault="001A2961">
      <w:pPr>
        <w:numPr>
          <w:ilvl w:val="0"/>
          <w:numId w:val="2"/>
        </w:numPr>
        <w:rPr>
          <w:rFonts w:ascii="Calibri" w:eastAsia="Calibri" w:hAnsi="Calibri" w:cs="Calibri"/>
          <w:sz w:val="22"/>
          <w:szCs w:val="22"/>
        </w:rPr>
      </w:pPr>
      <w:r>
        <w:rPr>
          <w:rFonts w:ascii="Calibri" w:eastAsia="Calibri" w:hAnsi="Calibri" w:cs="Calibri"/>
          <w:sz w:val="22"/>
          <w:szCs w:val="22"/>
        </w:rPr>
        <w:t>a pooled mBACI design using a Bayesian hierarchical approach to allow sharing of information across watersheds; and,</w:t>
      </w:r>
    </w:p>
    <w:p w:rsidR="000765F1" w:rsidRDefault="001A2961">
      <w:pPr>
        <w:numPr>
          <w:ilvl w:val="0"/>
          <w:numId w:val="2"/>
        </w:numPr>
        <w:rPr>
          <w:rFonts w:ascii="Calibri" w:eastAsia="Calibri" w:hAnsi="Calibri" w:cs="Calibri"/>
          <w:sz w:val="22"/>
          <w:szCs w:val="22"/>
        </w:rPr>
      </w:pPr>
      <w:r>
        <w:rPr>
          <w:rFonts w:ascii="Calibri" w:eastAsia="Calibri" w:hAnsi="Calibri" w:cs="Calibri"/>
          <w:sz w:val="22"/>
          <w:szCs w:val="22"/>
        </w:rPr>
        <w:t>an approach to deal with treatment responses that change either the magnitude or trend in observed data.</w:t>
      </w:r>
    </w:p>
    <w:p w:rsidR="000765F1" w:rsidRDefault="000765F1">
      <w:pPr>
        <w:rPr>
          <w:rFonts w:ascii="Calibri" w:eastAsia="Calibri" w:hAnsi="Calibri" w:cs="Calibri"/>
          <w:sz w:val="22"/>
          <w:szCs w:val="22"/>
        </w:rPr>
      </w:pPr>
    </w:p>
    <w:p w:rsidR="000765F1" w:rsidRDefault="001A2961">
      <w:pPr>
        <w:rPr>
          <w:b/>
          <w:sz w:val="22"/>
          <w:szCs w:val="22"/>
          <w:u w:val="single"/>
        </w:rPr>
      </w:pPr>
      <w:r>
        <w:rPr>
          <w:b/>
          <w:sz w:val="22"/>
          <w:szCs w:val="22"/>
          <w:u w:val="single"/>
        </w:rPr>
        <w:t>Deliverables</w:t>
      </w:r>
    </w:p>
    <w:p w:rsidR="000765F1" w:rsidRDefault="000765F1">
      <w:pPr>
        <w:rPr>
          <w:rFonts w:ascii="Calibri" w:eastAsia="Calibri" w:hAnsi="Calibri" w:cs="Calibri"/>
          <w:sz w:val="22"/>
          <w:szCs w:val="22"/>
        </w:rPr>
      </w:pPr>
    </w:p>
    <w:p w:rsidR="000765F1" w:rsidRDefault="001A2961">
      <w:pPr>
        <w:rPr>
          <w:rFonts w:ascii="Calibri" w:eastAsia="Calibri" w:hAnsi="Calibri" w:cs="Calibri"/>
          <w:sz w:val="22"/>
          <w:szCs w:val="22"/>
        </w:rPr>
      </w:pPr>
      <w:r>
        <w:rPr>
          <w:rFonts w:ascii="Calibri" w:eastAsia="Calibri" w:hAnsi="Calibri" w:cs="Calibri"/>
          <w:sz w:val="22"/>
          <w:szCs w:val="22"/>
        </w:rPr>
        <w:t>There are two deliverables from the proposed works:</w:t>
      </w:r>
    </w:p>
    <w:p w:rsidR="000765F1" w:rsidRDefault="000765F1">
      <w:pPr>
        <w:rPr>
          <w:rFonts w:ascii="Calibri" w:eastAsia="Calibri" w:hAnsi="Calibri" w:cs="Calibri"/>
          <w:sz w:val="22"/>
          <w:szCs w:val="22"/>
        </w:rPr>
      </w:pPr>
    </w:p>
    <w:p w:rsidR="000765F1" w:rsidRDefault="001A2961">
      <w:pPr>
        <w:numPr>
          <w:ilvl w:val="0"/>
          <w:numId w:val="1"/>
        </w:numPr>
        <w:rPr>
          <w:rFonts w:ascii="Calibri" w:eastAsia="Calibri" w:hAnsi="Calibri" w:cs="Calibri"/>
          <w:sz w:val="22"/>
          <w:szCs w:val="22"/>
        </w:rPr>
      </w:pPr>
      <w:r>
        <w:rPr>
          <w:rFonts w:ascii="Calibri" w:eastAsia="Calibri" w:hAnsi="Calibri" w:cs="Calibri"/>
          <w:sz w:val="22"/>
          <w:szCs w:val="22"/>
        </w:rPr>
        <w:t>Provide participants all necessary R code, libraries and supporting programs for the workshop one week prior.  It will be the responsibility of workshop participants to have: a) computer with a functioning copy of the latest versions of R and RStudio; and, b) supporting libraries and programs installed.</w:t>
      </w:r>
    </w:p>
    <w:p w:rsidR="000765F1" w:rsidRDefault="001A2961">
      <w:pPr>
        <w:numPr>
          <w:ilvl w:val="0"/>
          <w:numId w:val="1"/>
        </w:numPr>
        <w:rPr>
          <w:rFonts w:ascii="Calibri" w:eastAsia="Calibri" w:hAnsi="Calibri" w:cs="Calibri"/>
          <w:sz w:val="22"/>
          <w:szCs w:val="22"/>
        </w:rPr>
      </w:pPr>
      <w:r>
        <w:rPr>
          <w:rFonts w:ascii="Calibri" w:eastAsia="Calibri" w:hAnsi="Calibri" w:cs="Calibri"/>
          <w:sz w:val="22"/>
          <w:szCs w:val="22"/>
        </w:rPr>
        <w:t xml:space="preserve">An </w:t>
      </w:r>
      <w:r w:rsidR="009D3D37">
        <w:rPr>
          <w:rFonts w:ascii="Calibri" w:eastAsia="Calibri" w:hAnsi="Calibri" w:cs="Calibri"/>
          <w:sz w:val="22"/>
          <w:szCs w:val="22"/>
        </w:rPr>
        <w:t>1</w:t>
      </w:r>
      <w:r>
        <w:rPr>
          <w:rFonts w:ascii="Calibri" w:eastAsia="Calibri" w:hAnsi="Calibri" w:cs="Calibri"/>
          <w:sz w:val="22"/>
          <w:szCs w:val="22"/>
        </w:rPr>
        <w:t xml:space="preserve"> day workshop that meets the above objectives.</w:t>
      </w:r>
    </w:p>
    <w:p w:rsidR="000765F1" w:rsidRDefault="000765F1">
      <w:pPr>
        <w:rPr>
          <w:rFonts w:ascii="Calibri" w:eastAsia="Calibri" w:hAnsi="Calibri" w:cs="Calibri"/>
          <w:sz w:val="22"/>
          <w:szCs w:val="22"/>
        </w:rPr>
      </w:pPr>
    </w:p>
    <w:p w:rsidR="000765F1" w:rsidRDefault="001A2961">
      <w:pPr>
        <w:rPr>
          <w:b/>
          <w:sz w:val="22"/>
          <w:szCs w:val="22"/>
          <w:u w:val="single"/>
        </w:rPr>
      </w:pPr>
      <w:r>
        <w:rPr>
          <w:b/>
          <w:sz w:val="22"/>
          <w:szCs w:val="22"/>
          <w:u w:val="single"/>
        </w:rPr>
        <w:t>Budget</w:t>
      </w:r>
    </w:p>
    <w:p w:rsidR="000765F1" w:rsidRDefault="000765F1">
      <w:pPr>
        <w:rPr>
          <w:rFonts w:ascii="Calibri" w:eastAsia="Calibri" w:hAnsi="Calibri" w:cs="Calibri"/>
          <w:sz w:val="22"/>
          <w:szCs w:val="22"/>
        </w:rPr>
      </w:pPr>
    </w:p>
    <w:tbl>
      <w:tblPr>
        <w:tblStyle w:val="a1"/>
        <w:tblW w:w="106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1920"/>
        <w:gridCol w:w="2940"/>
        <w:gridCol w:w="1800"/>
      </w:tblGrid>
      <w:tr w:rsidR="000765F1">
        <w:tc>
          <w:tcPr>
            <w:tcW w:w="3990" w:type="dxa"/>
            <w:shd w:val="clear" w:color="auto" w:fill="auto"/>
            <w:tcMar>
              <w:top w:w="100" w:type="dxa"/>
              <w:left w:w="100" w:type="dxa"/>
              <w:bottom w:w="100" w:type="dxa"/>
              <w:right w:w="100" w:type="dxa"/>
            </w:tcMar>
          </w:tcPr>
          <w:p w:rsidR="000765F1" w:rsidRDefault="001A2961">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Task</w:t>
            </w:r>
          </w:p>
        </w:tc>
        <w:tc>
          <w:tcPr>
            <w:tcW w:w="1920" w:type="dxa"/>
            <w:shd w:val="clear" w:color="auto" w:fill="auto"/>
            <w:tcMar>
              <w:top w:w="100" w:type="dxa"/>
              <w:left w:w="100" w:type="dxa"/>
              <w:bottom w:w="100" w:type="dxa"/>
              <w:right w:w="100" w:type="dxa"/>
            </w:tcMar>
          </w:tcPr>
          <w:p w:rsidR="000765F1" w:rsidRDefault="001A2961">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Days</w:t>
            </w:r>
          </w:p>
        </w:tc>
        <w:tc>
          <w:tcPr>
            <w:tcW w:w="2940" w:type="dxa"/>
            <w:shd w:val="clear" w:color="auto" w:fill="auto"/>
            <w:tcMar>
              <w:top w:w="100" w:type="dxa"/>
              <w:left w:w="100" w:type="dxa"/>
              <w:bottom w:w="100" w:type="dxa"/>
              <w:right w:w="100" w:type="dxa"/>
            </w:tcMar>
          </w:tcPr>
          <w:p w:rsidR="000765F1" w:rsidRDefault="001A2961">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Cost per day</w:t>
            </w:r>
          </w:p>
        </w:tc>
        <w:tc>
          <w:tcPr>
            <w:tcW w:w="1800" w:type="dxa"/>
            <w:shd w:val="clear" w:color="auto" w:fill="auto"/>
            <w:tcMar>
              <w:top w:w="100" w:type="dxa"/>
              <w:left w:w="100" w:type="dxa"/>
              <w:bottom w:w="100" w:type="dxa"/>
              <w:right w:w="100" w:type="dxa"/>
            </w:tcMar>
          </w:tcPr>
          <w:p w:rsidR="000765F1" w:rsidRDefault="001A2961">
            <w:pPr>
              <w:widowControl w:val="0"/>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Cost</w:t>
            </w:r>
          </w:p>
        </w:tc>
      </w:tr>
      <w:tr w:rsidR="000765F1">
        <w:tc>
          <w:tcPr>
            <w:tcW w:w="3990" w:type="dxa"/>
            <w:shd w:val="clear" w:color="auto" w:fill="auto"/>
            <w:tcMar>
              <w:top w:w="100" w:type="dxa"/>
              <w:left w:w="100" w:type="dxa"/>
              <w:bottom w:w="100" w:type="dxa"/>
              <w:right w:w="100" w:type="dxa"/>
            </w:tcMar>
          </w:tcPr>
          <w:p w:rsidR="000765F1" w:rsidRDefault="001A2961">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Workshop preparation</w:t>
            </w:r>
          </w:p>
        </w:tc>
        <w:tc>
          <w:tcPr>
            <w:tcW w:w="1920" w:type="dxa"/>
            <w:shd w:val="clear" w:color="auto" w:fill="auto"/>
            <w:tcMar>
              <w:top w:w="100" w:type="dxa"/>
              <w:left w:w="100" w:type="dxa"/>
              <w:bottom w:w="100" w:type="dxa"/>
              <w:right w:w="100" w:type="dxa"/>
            </w:tcMar>
          </w:tcPr>
          <w:p w:rsidR="000765F1" w:rsidRDefault="009D3D37">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0</w:t>
            </w:r>
          </w:p>
        </w:tc>
        <w:tc>
          <w:tcPr>
            <w:tcW w:w="2940" w:type="dxa"/>
            <w:shd w:val="clear" w:color="auto" w:fill="auto"/>
            <w:tcMar>
              <w:top w:w="100" w:type="dxa"/>
              <w:left w:w="100" w:type="dxa"/>
              <w:bottom w:w="100" w:type="dxa"/>
              <w:right w:w="100" w:type="dxa"/>
            </w:tcMar>
          </w:tcPr>
          <w:p w:rsidR="000765F1" w:rsidRDefault="009D3D37" w:rsidP="009D3D37">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w:t>
            </w:r>
          </w:p>
        </w:tc>
        <w:tc>
          <w:tcPr>
            <w:tcW w:w="1800" w:type="dxa"/>
            <w:shd w:val="clear" w:color="auto" w:fill="auto"/>
            <w:tcMar>
              <w:top w:w="100" w:type="dxa"/>
              <w:left w:w="100" w:type="dxa"/>
              <w:bottom w:w="100" w:type="dxa"/>
              <w:right w:w="100" w:type="dxa"/>
            </w:tcMar>
          </w:tcPr>
          <w:p w:rsidR="000765F1" w:rsidRDefault="009D3D37">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0</w:t>
            </w:r>
          </w:p>
        </w:tc>
      </w:tr>
      <w:tr w:rsidR="000765F1">
        <w:tc>
          <w:tcPr>
            <w:tcW w:w="3990" w:type="dxa"/>
            <w:shd w:val="clear" w:color="auto" w:fill="auto"/>
            <w:tcMar>
              <w:top w:w="100" w:type="dxa"/>
              <w:left w:w="100" w:type="dxa"/>
              <w:bottom w:w="100" w:type="dxa"/>
              <w:right w:w="100" w:type="dxa"/>
            </w:tcMar>
          </w:tcPr>
          <w:p w:rsidR="000765F1" w:rsidRDefault="001A2961">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Workshop</w:t>
            </w:r>
          </w:p>
        </w:tc>
        <w:tc>
          <w:tcPr>
            <w:tcW w:w="1920" w:type="dxa"/>
            <w:shd w:val="clear" w:color="auto" w:fill="auto"/>
            <w:tcMar>
              <w:top w:w="100" w:type="dxa"/>
              <w:left w:w="100" w:type="dxa"/>
              <w:bottom w:w="100" w:type="dxa"/>
              <w:right w:w="100" w:type="dxa"/>
            </w:tcMar>
          </w:tcPr>
          <w:p w:rsidR="000765F1" w:rsidRDefault="009D3D37">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w:t>
            </w:r>
          </w:p>
        </w:tc>
        <w:tc>
          <w:tcPr>
            <w:tcW w:w="2940" w:type="dxa"/>
            <w:shd w:val="clear" w:color="auto" w:fill="auto"/>
            <w:tcMar>
              <w:top w:w="100" w:type="dxa"/>
              <w:left w:w="100" w:type="dxa"/>
              <w:bottom w:w="100" w:type="dxa"/>
              <w:right w:w="100" w:type="dxa"/>
            </w:tcMar>
          </w:tcPr>
          <w:p w:rsidR="000765F1" w:rsidRDefault="009D3D37">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w:t>
            </w:r>
          </w:p>
        </w:tc>
        <w:tc>
          <w:tcPr>
            <w:tcW w:w="1800" w:type="dxa"/>
            <w:shd w:val="clear" w:color="auto" w:fill="auto"/>
            <w:tcMar>
              <w:top w:w="100" w:type="dxa"/>
              <w:left w:w="100" w:type="dxa"/>
              <w:bottom w:w="100" w:type="dxa"/>
              <w:right w:w="100" w:type="dxa"/>
            </w:tcMar>
          </w:tcPr>
          <w:p w:rsidR="000765F1" w:rsidRDefault="009D3D37">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w:t>
            </w:r>
          </w:p>
        </w:tc>
      </w:tr>
      <w:tr w:rsidR="000765F1" w:rsidTr="00E33308">
        <w:tc>
          <w:tcPr>
            <w:tcW w:w="3990" w:type="dxa"/>
            <w:shd w:val="clear" w:color="auto" w:fill="auto"/>
            <w:tcMar>
              <w:top w:w="100" w:type="dxa"/>
              <w:left w:w="100" w:type="dxa"/>
              <w:bottom w:w="100" w:type="dxa"/>
              <w:right w:w="100" w:type="dxa"/>
            </w:tcMar>
          </w:tcPr>
          <w:p w:rsidR="000765F1" w:rsidRDefault="001A2961">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Travel</w:t>
            </w:r>
          </w:p>
        </w:tc>
        <w:tc>
          <w:tcPr>
            <w:tcW w:w="1920" w:type="dxa"/>
            <w:shd w:val="clear" w:color="auto" w:fill="7F7F7F" w:themeFill="text1" w:themeFillTint="80"/>
            <w:tcMar>
              <w:top w:w="100" w:type="dxa"/>
              <w:left w:w="100" w:type="dxa"/>
              <w:bottom w:w="100" w:type="dxa"/>
              <w:right w:w="100" w:type="dxa"/>
            </w:tcMar>
          </w:tcPr>
          <w:p w:rsidR="000765F1" w:rsidRDefault="000765F1">
            <w:pPr>
              <w:widowControl w:val="0"/>
              <w:pBdr>
                <w:top w:val="nil"/>
                <w:left w:val="nil"/>
                <w:bottom w:val="nil"/>
                <w:right w:val="nil"/>
                <w:between w:val="nil"/>
              </w:pBdr>
              <w:jc w:val="center"/>
              <w:rPr>
                <w:rFonts w:ascii="Calibri" w:eastAsia="Calibri" w:hAnsi="Calibri" w:cs="Calibri"/>
                <w:sz w:val="22"/>
                <w:szCs w:val="22"/>
              </w:rPr>
            </w:pPr>
          </w:p>
        </w:tc>
        <w:tc>
          <w:tcPr>
            <w:tcW w:w="2940" w:type="dxa"/>
            <w:shd w:val="clear" w:color="auto" w:fill="7F7F7F" w:themeFill="text1" w:themeFillTint="80"/>
            <w:tcMar>
              <w:top w:w="100" w:type="dxa"/>
              <w:left w:w="100" w:type="dxa"/>
              <w:bottom w:w="100" w:type="dxa"/>
              <w:right w:w="100" w:type="dxa"/>
            </w:tcMar>
          </w:tcPr>
          <w:p w:rsidR="000765F1" w:rsidRDefault="000765F1">
            <w:pPr>
              <w:widowControl w:val="0"/>
              <w:pBdr>
                <w:top w:val="nil"/>
                <w:left w:val="nil"/>
                <w:bottom w:val="nil"/>
                <w:right w:val="nil"/>
                <w:between w:val="nil"/>
              </w:pBdr>
              <w:jc w:val="center"/>
              <w:rPr>
                <w:rFonts w:ascii="Calibri" w:eastAsia="Calibri" w:hAnsi="Calibri" w:cs="Calibri"/>
                <w:sz w:val="22"/>
                <w:szCs w:val="22"/>
              </w:rPr>
            </w:pPr>
          </w:p>
        </w:tc>
        <w:tc>
          <w:tcPr>
            <w:tcW w:w="1800" w:type="dxa"/>
            <w:shd w:val="clear" w:color="auto" w:fill="auto"/>
            <w:tcMar>
              <w:top w:w="100" w:type="dxa"/>
              <w:left w:w="100" w:type="dxa"/>
              <w:bottom w:w="100" w:type="dxa"/>
              <w:right w:w="100" w:type="dxa"/>
            </w:tcMar>
          </w:tcPr>
          <w:p w:rsidR="000765F1" w:rsidRDefault="009D3D37">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$1000 but charged at cost</w:t>
            </w:r>
          </w:p>
        </w:tc>
      </w:tr>
      <w:tr w:rsidR="000765F1">
        <w:tc>
          <w:tcPr>
            <w:tcW w:w="3990" w:type="dxa"/>
            <w:shd w:val="clear" w:color="auto" w:fill="auto"/>
            <w:tcMar>
              <w:top w:w="100" w:type="dxa"/>
              <w:left w:w="100" w:type="dxa"/>
              <w:bottom w:w="100" w:type="dxa"/>
              <w:right w:w="100" w:type="dxa"/>
            </w:tcMar>
          </w:tcPr>
          <w:p w:rsidR="000765F1" w:rsidRDefault="000765F1">
            <w:pPr>
              <w:widowControl w:val="0"/>
              <w:pBdr>
                <w:top w:val="nil"/>
                <w:left w:val="nil"/>
                <w:bottom w:val="nil"/>
                <w:right w:val="nil"/>
                <w:between w:val="nil"/>
              </w:pBdr>
              <w:jc w:val="center"/>
              <w:rPr>
                <w:rFonts w:ascii="Calibri" w:eastAsia="Calibri" w:hAnsi="Calibri" w:cs="Calibri"/>
                <w:sz w:val="22"/>
                <w:szCs w:val="22"/>
              </w:rPr>
            </w:pPr>
          </w:p>
        </w:tc>
        <w:tc>
          <w:tcPr>
            <w:tcW w:w="1920" w:type="dxa"/>
            <w:shd w:val="clear" w:color="auto" w:fill="auto"/>
            <w:tcMar>
              <w:top w:w="100" w:type="dxa"/>
              <w:left w:w="100" w:type="dxa"/>
              <w:bottom w:w="100" w:type="dxa"/>
              <w:right w:w="100" w:type="dxa"/>
            </w:tcMar>
          </w:tcPr>
          <w:p w:rsidR="000765F1" w:rsidRDefault="000765F1">
            <w:pPr>
              <w:widowControl w:val="0"/>
              <w:pBdr>
                <w:top w:val="nil"/>
                <w:left w:val="nil"/>
                <w:bottom w:val="nil"/>
                <w:right w:val="nil"/>
                <w:between w:val="nil"/>
              </w:pBdr>
              <w:jc w:val="center"/>
              <w:rPr>
                <w:rFonts w:ascii="Calibri" w:eastAsia="Calibri" w:hAnsi="Calibri" w:cs="Calibri"/>
                <w:sz w:val="22"/>
                <w:szCs w:val="22"/>
              </w:rPr>
            </w:pPr>
          </w:p>
        </w:tc>
        <w:tc>
          <w:tcPr>
            <w:tcW w:w="2940" w:type="dxa"/>
            <w:shd w:val="clear" w:color="auto" w:fill="auto"/>
            <w:tcMar>
              <w:top w:w="100" w:type="dxa"/>
              <w:left w:w="100" w:type="dxa"/>
              <w:bottom w:w="100" w:type="dxa"/>
              <w:right w:w="100" w:type="dxa"/>
            </w:tcMar>
          </w:tcPr>
          <w:p w:rsidR="000765F1" w:rsidRDefault="001A2961">
            <w:pPr>
              <w:widowControl w:val="0"/>
              <w:jc w:val="center"/>
              <w:rPr>
                <w:rFonts w:ascii="Calibri" w:eastAsia="Calibri" w:hAnsi="Calibri" w:cs="Calibri"/>
                <w:sz w:val="22"/>
                <w:szCs w:val="22"/>
              </w:rPr>
            </w:pPr>
            <w:r>
              <w:rPr>
                <w:rFonts w:ascii="Calibri" w:eastAsia="Calibri" w:hAnsi="Calibri" w:cs="Calibri"/>
                <w:sz w:val="22"/>
                <w:szCs w:val="22"/>
              </w:rPr>
              <w:t>Total (including GST)</w:t>
            </w:r>
          </w:p>
        </w:tc>
        <w:tc>
          <w:tcPr>
            <w:tcW w:w="1800" w:type="dxa"/>
            <w:shd w:val="clear" w:color="auto" w:fill="auto"/>
            <w:tcMar>
              <w:top w:w="100" w:type="dxa"/>
              <w:left w:w="100" w:type="dxa"/>
              <w:bottom w:w="100" w:type="dxa"/>
              <w:right w:w="100" w:type="dxa"/>
            </w:tcMar>
          </w:tcPr>
          <w:p w:rsidR="000765F1" w:rsidRDefault="009D3D37">
            <w:pPr>
              <w:widowControl w:val="0"/>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$2000 (AB is GST exempt)</w:t>
            </w:r>
            <w:bookmarkStart w:id="0" w:name="_GoBack"/>
            <w:bookmarkEnd w:id="0"/>
          </w:p>
        </w:tc>
      </w:tr>
    </w:tbl>
    <w:p w:rsidR="000765F1" w:rsidRDefault="001A2961">
      <w:pPr>
        <w:rPr>
          <w:rFonts w:ascii="Calibri" w:eastAsia="Calibri" w:hAnsi="Calibri" w:cs="Calibri"/>
          <w:sz w:val="22"/>
          <w:szCs w:val="22"/>
        </w:rPr>
      </w:pPr>
      <w:r>
        <w:br w:type="page"/>
      </w:r>
    </w:p>
    <w:p w:rsidR="000765F1" w:rsidRDefault="000765F1">
      <w:pPr>
        <w:rPr>
          <w:rFonts w:ascii="Calibri" w:eastAsia="Calibri" w:hAnsi="Calibri" w:cs="Calibri"/>
          <w:sz w:val="22"/>
          <w:szCs w:val="22"/>
        </w:rPr>
      </w:pPr>
    </w:p>
    <w:p w:rsidR="000765F1" w:rsidRDefault="001A2961">
      <w:pPr>
        <w:rPr>
          <w:b/>
          <w:sz w:val="22"/>
          <w:szCs w:val="22"/>
          <w:u w:val="single"/>
        </w:rPr>
      </w:pPr>
      <w:r>
        <w:rPr>
          <w:b/>
          <w:sz w:val="22"/>
          <w:szCs w:val="22"/>
          <w:u w:val="single"/>
        </w:rPr>
        <w:t>Timeline</w:t>
      </w:r>
    </w:p>
    <w:p w:rsidR="000765F1" w:rsidRDefault="000765F1">
      <w:pPr>
        <w:rPr>
          <w:rFonts w:ascii="Calibri" w:eastAsia="Calibri" w:hAnsi="Calibri" w:cs="Calibri"/>
          <w:sz w:val="22"/>
          <w:szCs w:val="22"/>
        </w:rPr>
      </w:pPr>
    </w:p>
    <w:tbl>
      <w:tblPr>
        <w:tblStyle w:val="a2"/>
        <w:tblW w:w="6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2355"/>
      </w:tblGrid>
      <w:tr w:rsidR="000765F1">
        <w:tc>
          <w:tcPr>
            <w:tcW w:w="3990" w:type="dxa"/>
            <w:shd w:val="clear" w:color="auto" w:fill="auto"/>
            <w:tcMar>
              <w:top w:w="100" w:type="dxa"/>
              <w:left w:w="100" w:type="dxa"/>
              <w:bottom w:w="100" w:type="dxa"/>
              <w:right w:w="100" w:type="dxa"/>
            </w:tcMar>
          </w:tcPr>
          <w:p w:rsidR="000765F1" w:rsidRDefault="001A2961">
            <w:pPr>
              <w:widowControl w:val="0"/>
              <w:jc w:val="center"/>
              <w:rPr>
                <w:rFonts w:ascii="Calibri" w:eastAsia="Calibri" w:hAnsi="Calibri" w:cs="Calibri"/>
                <w:b/>
                <w:sz w:val="22"/>
                <w:szCs w:val="22"/>
              </w:rPr>
            </w:pPr>
            <w:r>
              <w:rPr>
                <w:rFonts w:ascii="Calibri" w:eastAsia="Calibri" w:hAnsi="Calibri" w:cs="Calibri"/>
                <w:b/>
                <w:sz w:val="22"/>
                <w:szCs w:val="22"/>
              </w:rPr>
              <w:t>Task</w:t>
            </w:r>
          </w:p>
        </w:tc>
        <w:tc>
          <w:tcPr>
            <w:tcW w:w="2355" w:type="dxa"/>
            <w:shd w:val="clear" w:color="auto" w:fill="auto"/>
            <w:tcMar>
              <w:top w:w="100" w:type="dxa"/>
              <w:left w:w="100" w:type="dxa"/>
              <w:bottom w:w="100" w:type="dxa"/>
              <w:right w:w="100" w:type="dxa"/>
            </w:tcMar>
          </w:tcPr>
          <w:p w:rsidR="000765F1" w:rsidRDefault="001A2961">
            <w:pPr>
              <w:widowControl w:val="0"/>
              <w:jc w:val="center"/>
              <w:rPr>
                <w:rFonts w:ascii="Calibri" w:eastAsia="Calibri" w:hAnsi="Calibri" w:cs="Calibri"/>
                <w:b/>
                <w:sz w:val="22"/>
                <w:szCs w:val="22"/>
              </w:rPr>
            </w:pPr>
            <w:r>
              <w:rPr>
                <w:rFonts w:ascii="Calibri" w:eastAsia="Calibri" w:hAnsi="Calibri" w:cs="Calibri"/>
                <w:b/>
                <w:sz w:val="22"/>
                <w:szCs w:val="22"/>
              </w:rPr>
              <w:t>Date</w:t>
            </w:r>
          </w:p>
        </w:tc>
      </w:tr>
      <w:tr w:rsidR="000765F1">
        <w:tc>
          <w:tcPr>
            <w:tcW w:w="3990" w:type="dxa"/>
            <w:shd w:val="clear" w:color="auto" w:fill="auto"/>
            <w:tcMar>
              <w:top w:w="100" w:type="dxa"/>
              <w:left w:w="100" w:type="dxa"/>
              <w:bottom w:w="100" w:type="dxa"/>
              <w:right w:w="100" w:type="dxa"/>
            </w:tcMar>
          </w:tcPr>
          <w:p w:rsidR="000765F1" w:rsidRDefault="008A0B12">
            <w:pPr>
              <w:widowControl w:val="0"/>
              <w:jc w:val="center"/>
              <w:rPr>
                <w:rFonts w:ascii="Calibri" w:eastAsia="Calibri" w:hAnsi="Calibri" w:cs="Calibri"/>
                <w:sz w:val="22"/>
                <w:szCs w:val="22"/>
              </w:rPr>
            </w:pPr>
            <w:r>
              <w:rPr>
                <w:rFonts w:ascii="Calibri" w:eastAsia="Calibri" w:hAnsi="Calibri" w:cs="Calibri"/>
                <w:sz w:val="22"/>
                <w:szCs w:val="22"/>
              </w:rPr>
              <w:t>Workshop</w:t>
            </w:r>
          </w:p>
        </w:tc>
        <w:tc>
          <w:tcPr>
            <w:tcW w:w="2355" w:type="dxa"/>
            <w:shd w:val="clear" w:color="auto" w:fill="auto"/>
            <w:tcMar>
              <w:top w:w="100" w:type="dxa"/>
              <w:left w:w="100" w:type="dxa"/>
              <w:bottom w:w="100" w:type="dxa"/>
              <w:right w:w="100" w:type="dxa"/>
            </w:tcMar>
          </w:tcPr>
          <w:p w:rsidR="000765F1" w:rsidRDefault="008A0B12">
            <w:pPr>
              <w:widowControl w:val="0"/>
              <w:jc w:val="center"/>
              <w:rPr>
                <w:rFonts w:ascii="Calibri" w:eastAsia="Calibri" w:hAnsi="Calibri" w:cs="Calibri"/>
                <w:sz w:val="22"/>
                <w:szCs w:val="22"/>
              </w:rPr>
            </w:pPr>
            <w:r>
              <w:rPr>
                <w:rFonts w:ascii="Calibri" w:eastAsia="Calibri" w:hAnsi="Calibri" w:cs="Calibri"/>
                <w:sz w:val="22"/>
                <w:szCs w:val="22"/>
              </w:rPr>
              <w:t>Prior to 31 March 2019</w:t>
            </w:r>
          </w:p>
        </w:tc>
      </w:tr>
    </w:tbl>
    <w:p w:rsidR="000765F1" w:rsidRDefault="000765F1">
      <w:pPr>
        <w:rPr>
          <w:rFonts w:ascii="Calibri" w:eastAsia="Calibri" w:hAnsi="Calibri" w:cs="Calibri"/>
          <w:sz w:val="22"/>
          <w:szCs w:val="22"/>
        </w:rPr>
      </w:pPr>
    </w:p>
    <w:sectPr w:rsidR="000765F1">
      <w:type w:val="continuous"/>
      <w:pgSz w:w="12240" w:h="15840"/>
      <w:pgMar w:top="720" w:right="720" w:bottom="1872" w:left="864"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9B4" w:rsidRDefault="000979B4">
      <w:r>
        <w:separator/>
      </w:r>
    </w:p>
  </w:endnote>
  <w:endnote w:type="continuationSeparator" w:id="0">
    <w:p w:rsidR="000979B4" w:rsidRDefault="0009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5F1" w:rsidRDefault="000765F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5F1" w:rsidRDefault="001A2961">
    <w:pPr>
      <w:pBdr>
        <w:top w:val="nil"/>
        <w:left w:val="nil"/>
        <w:bottom w:val="nil"/>
        <w:right w:val="nil"/>
        <w:between w:val="nil"/>
      </w:pBdr>
      <w:tabs>
        <w:tab w:val="left" w:pos="630"/>
      </w:tabs>
      <w:rPr>
        <w:color w:val="000000"/>
        <w:sz w:val="16"/>
        <w:szCs w:val="16"/>
      </w:rPr>
    </w:pPr>
    <w:r>
      <w:rPr>
        <w:color w:val="000000"/>
        <w:sz w:val="16"/>
        <w:szCs w:val="16"/>
      </w:rPr>
      <w:tab/>
    </w:r>
  </w:p>
  <w:p w:rsidR="000765F1" w:rsidRDefault="001A2961">
    <w:pPr>
      <w:pBdr>
        <w:top w:val="nil"/>
        <w:left w:val="nil"/>
        <w:bottom w:val="nil"/>
        <w:right w:val="nil"/>
        <w:between w:val="nil"/>
      </w:pBdr>
      <w:tabs>
        <w:tab w:val="left" w:pos="630"/>
      </w:tabs>
      <w:rPr>
        <w:color w:val="000000"/>
        <w:sz w:val="16"/>
        <w:szCs w:val="16"/>
      </w:rPr>
    </w:pPr>
    <w:r>
      <w:rPr>
        <w:color w:val="000000"/>
        <w:sz w:val="16"/>
        <w:szCs w:val="16"/>
      </w:rPr>
      <w:tab/>
    </w:r>
  </w:p>
  <w:p w:rsidR="000765F1" w:rsidRDefault="001A2961">
    <w:pPr>
      <w:pBdr>
        <w:top w:val="nil"/>
        <w:left w:val="nil"/>
        <w:bottom w:val="nil"/>
        <w:right w:val="nil"/>
        <w:between w:val="nil"/>
      </w:pBdr>
      <w:tabs>
        <w:tab w:val="left" w:pos="630"/>
      </w:tabs>
      <w:jc w:val="right"/>
      <w:rPr>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8A0B12">
      <w:rPr>
        <w:noProof/>
        <w:color w:val="000000"/>
        <w:sz w:val="16"/>
        <w:szCs w:val="16"/>
      </w:rPr>
      <w:t>2</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5F1" w:rsidRDefault="000765F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9B4" w:rsidRDefault="000979B4">
      <w:r>
        <w:separator/>
      </w:r>
    </w:p>
  </w:footnote>
  <w:footnote w:type="continuationSeparator" w:id="0">
    <w:p w:rsidR="000979B4" w:rsidRDefault="00097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5F1" w:rsidRDefault="000765F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5F1" w:rsidRDefault="000765F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5F1" w:rsidRDefault="000765F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592"/>
    <w:multiLevelType w:val="multilevel"/>
    <w:tmpl w:val="E032A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B22813"/>
    <w:multiLevelType w:val="multilevel"/>
    <w:tmpl w:val="27BA8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65F1"/>
    <w:rsid w:val="000765F1"/>
    <w:rsid w:val="000979B4"/>
    <w:rsid w:val="001A2961"/>
    <w:rsid w:val="008A0B12"/>
    <w:rsid w:val="009D3D37"/>
    <w:rsid w:val="00E33308"/>
    <w:rsid w:val="00EA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C2DF"/>
  <w15:docId w15:val="{E8E0F12B-A528-4758-BB1D-EF9F4EB4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lberta.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542</Words>
  <Characters>3092</Characters>
  <Application>Microsoft Office Word</Application>
  <DocSecurity>0</DocSecurity>
  <Lines>25</Lines>
  <Paragraphs>7</Paragraphs>
  <ScaleCrop>false</ScaleCrop>
  <Company>GoA</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 schwarz</cp:lastModifiedBy>
  <cp:revision>4</cp:revision>
  <dcterms:created xsi:type="dcterms:W3CDTF">2019-01-04T22:44:00Z</dcterms:created>
  <dcterms:modified xsi:type="dcterms:W3CDTF">2019-01-09T03:58:00Z</dcterms:modified>
</cp:coreProperties>
</file>