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79" w:rsidRPr="005C4A50" w:rsidRDefault="00057D79" w:rsidP="00057D7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</w:pPr>
      <w:bookmarkStart w:id="0" w:name="_GoBack"/>
      <w:bookmarkEnd w:id="0"/>
    </w:p>
    <w:p w:rsidR="005860A3" w:rsidRPr="009436D1" w:rsidRDefault="005860A3" w:rsidP="005860A3">
      <w:pPr>
        <w:jc w:val="center"/>
        <w:rPr>
          <w:rFonts w:ascii="Georgia" w:hAnsi="Georgia" w:cs="Times New Roman"/>
          <w:b/>
          <w:noProof/>
          <w:sz w:val="40"/>
          <w:szCs w:val="40"/>
        </w:rPr>
      </w:pPr>
      <w:r>
        <w:rPr>
          <w:rFonts w:ascii="Georgia" w:hAnsi="Georgia" w:cs="Times New Roman"/>
          <w:b/>
        </w:rPr>
        <w:t>A</w:t>
      </w:r>
      <w:r w:rsidR="00810DD3">
        <w:rPr>
          <w:rFonts w:ascii="Georgia" w:hAnsi="Georgia" w:cs="Times New Roman"/>
          <w:b/>
        </w:rPr>
        <w:t>TTACHMENT</w:t>
      </w:r>
      <w:r w:rsidR="00CB5FE3">
        <w:rPr>
          <w:rFonts w:ascii="Georgia" w:hAnsi="Georgia" w:cs="Times New Roman"/>
          <w:b/>
        </w:rPr>
        <w:t xml:space="preserve"> 1</w:t>
      </w:r>
    </w:p>
    <w:p w:rsidR="005860A3" w:rsidRPr="005F1B74" w:rsidRDefault="005860A3" w:rsidP="005860A3">
      <w:pPr>
        <w:jc w:val="center"/>
        <w:rPr>
          <w:rFonts w:ascii="Georgia" w:hAnsi="Georgia" w:cs="Times New Roman"/>
        </w:rPr>
      </w:pPr>
      <w:r w:rsidRPr="005F1B74">
        <w:rPr>
          <w:rFonts w:ascii="Georgia" w:hAnsi="Georgia" w:cs="Times New Roman"/>
          <w:b/>
        </w:rPr>
        <w:t>TRAUMA AND TRAUMA-INFORMED CARE</w:t>
      </w:r>
    </w:p>
    <w:p w:rsidR="005860A3" w:rsidRPr="005F1B74" w:rsidRDefault="005860A3" w:rsidP="005860A3">
      <w:pPr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Approximately 60</w:t>
      </w:r>
      <w:r>
        <w:rPr>
          <w:rFonts w:ascii="Georgia" w:hAnsi="Georgia" w:cs="Times New Roman"/>
        </w:rPr>
        <w:t xml:space="preserve"> percent</w:t>
      </w:r>
      <w:r w:rsidRPr="005F1B74">
        <w:rPr>
          <w:rFonts w:ascii="Georgia" w:hAnsi="Georgia" w:cs="Times New Roman"/>
        </w:rPr>
        <w:t xml:space="preserve"> of men and 51</w:t>
      </w:r>
      <w:r>
        <w:rPr>
          <w:rFonts w:ascii="Georgia" w:hAnsi="Georgia" w:cs="Times New Roman"/>
        </w:rPr>
        <w:t xml:space="preserve"> percent</w:t>
      </w:r>
      <w:r w:rsidRPr="005F1B74">
        <w:rPr>
          <w:rFonts w:ascii="Georgia" w:hAnsi="Georgia" w:cs="Times New Roman"/>
        </w:rPr>
        <w:t xml:space="preserve"> of women living in the United States have experienced a tra</w:t>
      </w:r>
      <w:r>
        <w:rPr>
          <w:rFonts w:ascii="Georgia" w:hAnsi="Georgia" w:cs="Times New Roman"/>
        </w:rPr>
        <w:t>umatic event in their lifetime</w:t>
      </w:r>
      <w:r w:rsidRPr="005F1B74">
        <w:rPr>
          <w:rFonts w:ascii="Georgia" w:hAnsi="Georgia" w:cs="Times New Roman"/>
        </w:rPr>
        <w:t>.</w:t>
      </w:r>
      <w:r>
        <w:rPr>
          <w:rStyle w:val="EndnoteReference"/>
          <w:rFonts w:ascii="Georgia" w:hAnsi="Georgia" w:cs="Times New Roman"/>
        </w:rPr>
        <w:endnoteReference w:id="1"/>
      </w:r>
      <w:r w:rsidRPr="005F1B74">
        <w:rPr>
          <w:rFonts w:ascii="Georgia" w:hAnsi="Georgia" w:cs="Times New Roman"/>
        </w:rPr>
        <w:t xml:space="preserve">  While much debate exists about what qualifies as a traumatic event, at minimum, traumatic events are those that cause significant distress or harm, whether physical, emotional, or psychological, for individual</w:t>
      </w:r>
      <w:r>
        <w:rPr>
          <w:rFonts w:ascii="Georgia" w:hAnsi="Georgia" w:cs="Times New Roman"/>
        </w:rPr>
        <w:t>s</w:t>
      </w:r>
      <w:r w:rsidRPr="005F1B74">
        <w:rPr>
          <w:rFonts w:ascii="Georgia" w:hAnsi="Georgia" w:cs="Times New Roman"/>
        </w:rPr>
        <w:t>.</w:t>
      </w:r>
      <w:r>
        <w:rPr>
          <w:rStyle w:val="EndnoteReference"/>
          <w:rFonts w:ascii="Georgia" w:hAnsi="Georgia" w:cs="Times New Roman"/>
        </w:rPr>
        <w:endnoteReference w:id="2"/>
      </w:r>
      <w:r w:rsidRPr="005F1B74">
        <w:rPr>
          <w:rFonts w:ascii="Georgia" w:hAnsi="Georgia" w:cs="Times New Roman"/>
        </w:rPr>
        <w:t xml:space="preserve">  These experiences can have a severe impact on well</w:t>
      </w:r>
      <w:r>
        <w:rPr>
          <w:rFonts w:ascii="Georgia" w:hAnsi="Georgia" w:cs="Times New Roman"/>
        </w:rPr>
        <w:t>-</w:t>
      </w:r>
      <w:r w:rsidRPr="005F1B74">
        <w:rPr>
          <w:rFonts w:ascii="Georgia" w:hAnsi="Georgia" w:cs="Times New Roman"/>
        </w:rPr>
        <w:t>being by impairing people’s daily functioning and emotional health, contributing to higher rates of hospitalization, suicide attempts,</w:t>
      </w:r>
      <w:r>
        <w:rPr>
          <w:rFonts w:ascii="Georgia" w:hAnsi="Georgia" w:cs="Times New Roman"/>
        </w:rPr>
        <w:t xml:space="preserve"> substance abuse,</w:t>
      </w:r>
      <w:r>
        <w:rPr>
          <w:rStyle w:val="EndnoteReference"/>
          <w:rFonts w:ascii="Georgia" w:hAnsi="Georgia" w:cs="Times New Roman"/>
        </w:rPr>
        <w:endnoteReference w:id="3"/>
      </w:r>
      <w:r>
        <w:rPr>
          <w:rFonts w:ascii="Georgia" w:hAnsi="Georgia" w:cs="Times New Roman"/>
        </w:rPr>
        <w:t xml:space="preserve"> </w:t>
      </w:r>
      <w:r w:rsidRPr="005F1B74">
        <w:rPr>
          <w:rFonts w:ascii="Georgia" w:hAnsi="Georgia" w:cs="Times New Roman"/>
        </w:rPr>
        <w:t xml:space="preserve">and </w:t>
      </w:r>
      <w:r>
        <w:rPr>
          <w:rFonts w:ascii="Georgia" w:hAnsi="Georgia" w:cs="Times New Roman"/>
        </w:rPr>
        <w:t>emotional responses, such as anger</w:t>
      </w:r>
      <w:r w:rsidRPr="005F1B74">
        <w:rPr>
          <w:rFonts w:ascii="Georgia" w:hAnsi="Georgia" w:cs="Times New Roman"/>
        </w:rPr>
        <w:t>.</w:t>
      </w:r>
      <w:r>
        <w:rPr>
          <w:rStyle w:val="EndnoteReference"/>
          <w:rFonts w:ascii="Georgia" w:hAnsi="Georgia" w:cs="Times New Roman"/>
        </w:rPr>
        <w:endnoteReference w:id="4"/>
      </w:r>
      <w:r w:rsidRPr="005F1B74">
        <w:rPr>
          <w:rFonts w:ascii="Georgia" w:hAnsi="Georgia" w:cs="Times New Roman"/>
        </w:rPr>
        <w:t xml:space="preserve">  </w:t>
      </w:r>
    </w:p>
    <w:p w:rsidR="005860A3" w:rsidRPr="005F1B74" w:rsidRDefault="005860A3" w:rsidP="005860A3">
      <w:pPr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 xml:space="preserve">Recent work has focused on a model of trauma-informed care and practices. A trauma-informed approach acknowledges the radiating impact of trauma, recognizes that people’s actions and symptoms may be a result of traumatic experiences, and creates policies that are sensitive to such actions and symptoms.   </w:t>
      </w:r>
    </w:p>
    <w:p w:rsidR="005860A3" w:rsidRPr="005F1B74" w:rsidRDefault="005860A3" w:rsidP="005860A3">
      <w:pPr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 xml:space="preserve">Key components of trauma-informed care are: </w:t>
      </w:r>
    </w:p>
    <w:p w:rsidR="005860A3" w:rsidRPr="005F1B74" w:rsidRDefault="005860A3" w:rsidP="005860A3">
      <w:pPr>
        <w:pStyle w:val="ListParagraph"/>
        <w:numPr>
          <w:ilvl w:val="0"/>
          <w:numId w:val="1"/>
        </w:numPr>
        <w:spacing w:line="256" w:lineRule="auto"/>
        <w:rPr>
          <w:rFonts w:ascii="Georgia" w:hAnsi="Georgia"/>
        </w:rPr>
      </w:pPr>
      <w:r w:rsidRPr="005F1B74">
        <w:rPr>
          <w:rFonts w:ascii="Georgia" w:hAnsi="Georgia"/>
        </w:rPr>
        <w:t>Recognizing the impact of trauma on multiple areas of life and different paths to recovery</w:t>
      </w:r>
      <w:r>
        <w:rPr>
          <w:rFonts w:ascii="Georgia" w:hAnsi="Georgia"/>
        </w:rPr>
        <w:t>.</w:t>
      </w:r>
    </w:p>
    <w:p w:rsidR="005860A3" w:rsidRPr="005F1B74" w:rsidRDefault="005860A3" w:rsidP="005860A3">
      <w:pPr>
        <w:pStyle w:val="ListParagraph"/>
        <w:numPr>
          <w:ilvl w:val="0"/>
          <w:numId w:val="1"/>
        </w:numPr>
        <w:spacing w:line="256" w:lineRule="auto"/>
        <w:rPr>
          <w:rFonts w:ascii="Georgia" w:hAnsi="Georgia"/>
        </w:rPr>
      </w:pPr>
      <w:r w:rsidRPr="005F1B74">
        <w:rPr>
          <w:rFonts w:ascii="Georgia" w:hAnsi="Georgia"/>
        </w:rPr>
        <w:t>Being aware of the signs and symptoms of trauma</w:t>
      </w:r>
      <w:r>
        <w:rPr>
          <w:rFonts w:ascii="Georgia" w:hAnsi="Georgia"/>
        </w:rPr>
        <w:t>.</w:t>
      </w:r>
    </w:p>
    <w:p w:rsidR="005860A3" w:rsidRPr="005F1B74" w:rsidRDefault="005860A3" w:rsidP="005860A3">
      <w:pPr>
        <w:pStyle w:val="ListParagraph"/>
        <w:numPr>
          <w:ilvl w:val="0"/>
          <w:numId w:val="1"/>
        </w:numPr>
        <w:spacing w:line="256" w:lineRule="auto"/>
        <w:rPr>
          <w:rFonts w:ascii="Georgia" w:hAnsi="Georgia"/>
        </w:rPr>
      </w:pPr>
      <w:r w:rsidRPr="005F1B74">
        <w:rPr>
          <w:rFonts w:ascii="Georgia" w:hAnsi="Georgia"/>
        </w:rPr>
        <w:t>Structuring policies and practices that account for and are sensitive to people’s potential trauma histories</w:t>
      </w:r>
      <w:r>
        <w:rPr>
          <w:rFonts w:ascii="Georgia" w:hAnsi="Georgia"/>
        </w:rPr>
        <w:t>.</w:t>
      </w:r>
    </w:p>
    <w:p w:rsidR="005860A3" w:rsidRPr="005F1B74" w:rsidRDefault="005860A3" w:rsidP="005860A3">
      <w:pPr>
        <w:pStyle w:val="ListParagraph"/>
        <w:numPr>
          <w:ilvl w:val="0"/>
          <w:numId w:val="1"/>
        </w:numPr>
        <w:spacing w:line="256" w:lineRule="auto"/>
        <w:rPr>
          <w:rFonts w:ascii="Georgia" w:hAnsi="Georgia"/>
        </w:rPr>
      </w:pPr>
      <w:r w:rsidRPr="005F1B74">
        <w:rPr>
          <w:rFonts w:ascii="Georgia" w:hAnsi="Georgia"/>
        </w:rPr>
        <w:t>Seeking to prevent re-traumatization.</w:t>
      </w:r>
      <w:r w:rsidRPr="00492C08">
        <w:rPr>
          <w:rStyle w:val="EndnoteReference"/>
          <w:rFonts w:ascii="Georgia" w:hAnsi="Georgia" w:cs="Times New Roman"/>
        </w:rPr>
        <w:t xml:space="preserve"> </w:t>
      </w:r>
      <w:r w:rsidRPr="005F1B74">
        <w:rPr>
          <w:rStyle w:val="EndnoteReference"/>
          <w:rFonts w:ascii="Georgia" w:hAnsi="Georgia" w:cs="Times New Roman"/>
        </w:rPr>
        <w:endnoteReference w:id="5"/>
      </w:r>
      <w:r w:rsidRPr="005F1B74">
        <w:rPr>
          <w:rFonts w:ascii="Georgia" w:hAnsi="Georgia"/>
        </w:rPr>
        <w:t xml:space="preserve"> </w:t>
      </w:r>
    </w:p>
    <w:p w:rsidR="005860A3" w:rsidRPr="005F1B74" w:rsidRDefault="005860A3" w:rsidP="005860A3">
      <w:pPr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Key principles of trauma-infor</w:t>
      </w:r>
      <w:r>
        <w:rPr>
          <w:rFonts w:ascii="Georgia" w:hAnsi="Georgia" w:cs="Times New Roman"/>
        </w:rPr>
        <w:t xml:space="preserve">med care further build on the key </w:t>
      </w:r>
      <w:r w:rsidRPr="005F1B74">
        <w:rPr>
          <w:rFonts w:ascii="Georgia" w:hAnsi="Georgia" w:cs="Times New Roman"/>
        </w:rPr>
        <w:t xml:space="preserve">components by emphasizing principles that create a trauma-informed setting. They include: </w:t>
      </w:r>
    </w:p>
    <w:p w:rsidR="005860A3" w:rsidRPr="005F1B74" w:rsidRDefault="005860A3" w:rsidP="005860A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Safety</w:t>
      </w:r>
    </w:p>
    <w:p w:rsidR="005860A3" w:rsidRPr="005F1B74" w:rsidRDefault="005860A3" w:rsidP="005860A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Trustworthiness and Transparency</w:t>
      </w:r>
    </w:p>
    <w:p w:rsidR="005860A3" w:rsidRPr="005F1B74" w:rsidRDefault="005860A3" w:rsidP="005860A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Peer support</w:t>
      </w:r>
    </w:p>
    <w:p w:rsidR="005860A3" w:rsidRPr="005F1B74" w:rsidRDefault="005860A3" w:rsidP="005860A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Collaboration and mutuality</w:t>
      </w:r>
    </w:p>
    <w:p w:rsidR="005860A3" w:rsidRPr="005F1B74" w:rsidRDefault="005860A3" w:rsidP="005860A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Empowerment, voice and choice</w:t>
      </w:r>
    </w:p>
    <w:p w:rsidR="005860A3" w:rsidRPr="005F1B74" w:rsidRDefault="005860A3" w:rsidP="005860A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Georgia" w:hAnsi="Georgia" w:cs="Times New Roman"/>
        </w:rPr>
      </w:pPr>
      <w:r w:rsidRPr="005F1B74">
        <w:rPr>
          <w:rFonts w:ascii="Georgia" w:hAnsi="Georgia" w:cs="Times New Roman"/>
        </w:rPr>
        <w:t>Cultural, Historical, and Gender Issues</w:t>
      </w:r>
      <w:r w:rsidRPr="005F1B74">
        <w:rPr>
          <w:rStyle w:val="EndnoteReference"/>
          <w:rFonts w:ascii="Georgia" w:hAnsi="Georgia" w:cs="Times New Roman"/>
        </w:rPr>
        <w:endnoteReference w:id="6"/>
      </w:r>
    </w:p>
    <w:p w:rsidR="005860A3" w:rsidRPr="005F1B74" w:rsidRDefault="005860A3" w:rsidP="005860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Times New Roman"/>
        </w:rPr>
      </w:pPr>
    </w:p>
    <w:p w:rsidR="005860A3" w:rsidRDefault="005860A3" w:rsidP="005860A3">
      <w:pPr>
        <w:rPr>
          <w:rFonts w:ascii="Georgia" w:hAnsi="Georgia"/>
        </w:rPr>
      </w:pPr>
      <w:r w:rsidRPr="005F1B74">
        <w:rPr>
          <w:rFonts w:ascii="Georgia" w:hAnsi="Georgia"/>
        </w:rPr>
        <w:t xml:space="preserve">Taken together, these practices work to honor a survivor’s history of trauma and the different pathways that survivors may find </w:t>
      </w:r>
      <w:r>
        <w:rPr>
          <w:rFonts w:ascii="Georgia" w:hAnsi="Georgia"/>
        </w:rPr>
        <w:t xml:space="preserve">toward </w:t>
      </w:r>
      <w:r w:rsidRPr="005F1B74">
        <w:rPr>
          <w:rFonts w:ascii="Georgia" w:hAnsi="Georgia"/>
        </w:rPr>
        <w:t xml:space="preserve">healing and recovery.  </w:t>
      </w:r>
    </w:p>
    <w:p w:rsidR="005860A3" w:rsidRDefault="005860A3" w:rsidP="005860A3">
      <w:pPr>
        <w:rPr>
          <w:rFonts w:ascii="Georgia" w:hAnsi="Georgia"/>
        </w:rPr>
        <w:sectPr w:rsidR="005860A3" w:rsidSect="0040697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7DE7" w:rsidRDefault="00287DE7"/>
    <w:sectPr w:rsidR="002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0A3" w:rsidRDefault="005860A3" w:rsidP="005860A3">
      <w:pPr>
        <w:spacing w:after="0" w:line="240" w:lineRule="auto"/>
      </w:pPr>
      <w:r>
        <w:separator/>
      </w:r>
    </w:p>
  </w:endnote>
  <w:endnote w:type="continuationSeparator" w:id="0">
    <w:p w:rsidR="005860A3" w:rsidRDefault="005860A3" w:rsidP="005860A3">
      <w:pPr>
        <w:spacing w:after="0" w:line="240" w:lineRule="auto"/>
      </w:pPr>
      <w:r>
        <w:continuationSeparator/>
      </w:r>
    </w:p>
  </w:endnote>
  <w:endnote w:id="1">
    <w:p w:rsidR="005860A3" w:rsidRPr="006E4FE4" w:rsidRDefault="005860A3" w:rsidP="005860A3">
      <w:pPr>
        <w:pStyle w:val="EndnoteText"/>
        <w:rPr>
          <w:rFonts w:ascii="Georgia" w:hAnsi="Georgia"/>
        </w:rPr>
      </w:pPr>
      <w:r w:rsidRPr="006E4FE4">
        <w:rPr>
          <w:rStyle w:val="EndnoteReference"/>
          <w:rFonts w:ascii="Georgia" w:hAnsi="Georgia"/>
        </w:rPr>
        <w:endnoteRef/>
      </w:r>
      <w:r w:rsidRPr="006E4FE4">
        <w:rPr>
          <w:rFonts w:ascii="Georgia" w:hAnsi="Georgia"/>
        </w:rPr>
        <w:t xml:space="preserve"> Davidson, J. R. T. (2000). Trauma: the impact of post-traumatic stress disorder.</w:t>
      </w:r>
      <w:r w:rsidRPr="006E4FE4">
        <w:rPr>
          <w:rFonts w:ascii="Georgia" w:hAnsi="Georgia"/>
          <w:i/>
        </w:rPr>
        <w:t xml:space="preserve"> Journal of Psychopharmacology, 14</w:t>
      </w:r>
      <w:r w:rsidRPr="006E4FE4">
        <w:rPr>
          <w:rFonts w:ascii="Georgia" w:hAnsi="Georgia"/>
        </w:rPr>
        <w:t>, S5-S12.</w:t>
      </w:r>
    </w:p>
  </w:endnote>
  <w:endnote w:id="2">
    <w:p w:rsidR="005860A3" w:rsidRPr="006E4FE4" w:rsidRDefault="005860A3" w:rsidP="005860A3">
      <w:pPr>
        <w:pStyle w:val="EndnoteText"/>
        <w:rPr>
          <w:rFonts w:ascii="Georgia" w:hAnsi="Georgia"/>
        </w:rPr>
      </w:pPr>
      <w:r w:rsidRPr="006E4FE4">
        <w:rPr>
          <w:rStyle w:val="EndnoteReference"/>
          <w:rFonts w:ascii="Georgia" w:hAnsi="Georgia"/>
        </w:rPr>
        <w:endnoteRef/>
      </w:r>
      <w:r w:rsidRPr="006E4FE4">
        <w:rPr>
          <w:rFonts w:ascii="Georgia" w:hAnsi="Georgia"/>
        </w:rPr>
        <w:t xml:space="preserve"> Norris, F. H. (1992). Epidemiology of trauma: frequency and impact of different potentially traumatic events on different demographic groups. </w:t>
      </w:r>
      <w:r w:rsidRPr="006E4FE4">
        <w:rPr>
          <w:rFonts w:ascii="Georgia" w:hAnsi="Georgia"/>
          <w:i/>
        </w:rPr>
        <w:t>Journal of Consulting and Clinical Psychology, 60</w:t>
      </w:r>
      <w:r w:rsidRPr="006E4FE4">
        <w:rPr>
          <w:rFonts w:ascii="Georgia" w:hAnsi="Georgia"/>
        </w:rPr>
        <w:t>, 409-418.</w:t>
      </w:r>
    </w:p>
  </w:endnote>
  <w:endnote w:id="3">
    <w:p w:rsidR="005860A3" w:rsidRPr="006E4FE4" w:rsidRDefault="005860A3" w:rsidP="005860A3">
      <w:pPr>
        <w:pStyle w:val="EndnoteText"/>
        <w:rPr>
          <w:rFonts w:ascii="Georgia" w:hAnsi="Georgia"/>
        </w:rPr>
      </w:pPr>
      <w:r w:rsidRPr="006E4FE4">
        <w:rPr>
          <w:rStyle w:val="EndnoteReference"/>
          <w:rFonts w:ascii="Georgia" w:hAnsi="Georgia"/>
        </w:rPr>
        <w:endnoteRef/>
      </w:r>
      <w:r w:rsidRPr="006E4FE4">
        <w:rPr>
          <w:rFonts w:ascii="Georgia" w:hAnsi="Georgia"/>
        </w:rPr>
        <w:t xml:space="preserve"> See Davidson, 2000.</w:t>
      </w:r>
    </w:p>
  </w:endnote>
  <w:endnote w:id="4">
    <w:p w:rsidR="005860A3" w:rsidRPr="006E4FE4" w:rsidRDefault="005860A3" w:rsidP="005860A3">
      <w:pPr>
        <w:pStyle w:val="EndnoteText"/>
        <w:rPr>
          <w:rFonts w:ascii="Georgia" w:hAnsi="Georgia"/>
        </w:rPr>
      </w:pPr>
      <w:r w:rsidRPr="006E4FE4">
        <w:rPr>
          <w:rStyle w:val="EndnoteReference"/>
          <w:rFonts w:ascii="Georgia" w:hAnsi="Georgia"/>
        </w:rPr>
        <w:endnoteRef/>
      </w:r>
      <w:r w:rsidRPr="006E4FE4">
        <w:rPr>
          <w:rFonts w:ascii="Georgia" w:hAnsi="Georgia"/>
        </w:rPr>
        <w:t xml:space="preserve"> Riggs, D. S., </w:t>
      </w:r>
      <w:proofErr w:type="spellStart"/>
      <w:r w:rsidRPr="006E4FE4">
        <w:rPr>
          <w:rFonts w:ascii="Georgia" w:hAnsi="Georgia"/>
        </w:rPr>
        <w:t>Dancu</w:t>
      </w:r>
      <w:proofErr w:type="spellEnd"/>
      <w:r w:rsidRPr="006E4FE4">
        <w:rPr>
          <w:rFonts w:ascii="Georgia" w:hAnsi="Georgia"/>
        </w:rPr>
        <w:t xml:space="preserve">, C. V., </w:t>
      </w:r>
      <w:proofErr w:type="spellStart"/>
      <w:r w:rsidRPr="006E4FE4">
        <w:rPr>
          <w:rFonts w:ascii="Georgia" w:hAnsi="Georgia"/>
        </w:rPr>
        <w:t>Gershuny</w:t>
      </w:r>
      <w:proofErr w:type="spellEnd"/>
      <w:r w:rsidRPr="006E4FE4">
        <w:rPr>
          <w:rFonts w:ascii="Georgia" w:hAnsi="Georgia"/>
        </w:rPr>
        <w:t xml:space="preserve">, B. S., Greenberg, D., &amp; </w:t>
      </w:r>
      <w:proofErr w:type="spellStart"/>
      <w:r w:rsidRPr="006E4FE4">
        <w:rPr>
          <w:rFonts w:ascii="Georgia" w:hAnsi="Georgia"/>
        </w:rPr>
        <w:t>Foa</w:t>
      </w:r>
      <w:proofErr w:type="spellEnd"/>
      <w:r w:rsidRPr="006E4FE4">
        <w:rPr>
          <w:rFonts w:ascii="Georgia" w:hAnsi="Georgia"/>
        </w:rPr>
        <w:t>, E. B. (1992). Anger and post</w:t>
      </w:r>
      <w:r w:rsidRPr="006E4FE4">
        <w:rPr>
          <w:rFonts w:cs="Times New Roman"/>
        </w:rPr>
        <w:t>‐</w:t>
      </w:r>
      <w:r w:rsidRPr="006E4FE4">
        <w:rPr>
          <w:rFonts w:ascii="Georgia" w:hAnsi="Georgia"/>
        </w:rPr>
        <w:t>traumatic stress disorder in female crime victims.</w:t>
      </w:r>
      <w:r w:rsidRPr="006E4FE4">
        <w:rPr>
          <w:rFonts w:ascii="Georgia" w:hAnsi="Georgia"/>
          <w:i/>
        </w:rPr>
        <w:t xml:space="preserve"> Journal of Traumatic Stress, 5</w:t>
      </w:r>
      <w:r w:rsidRPr="006E4FE4">
        <w:rPr>
          <w:rFonts w:ascii="Georgia" w:hAnsi="Georgia"/>
        </w:rPr>
        <w:t>, 613-625.</w:t>
      </w:r>
    </w:p>
  </w:endnote>
  <w:endnote w:id="5">
    <w:p w:rsidR="005860A3" w:rsidRPr="006E4FE4" w:rsidRDefault="005860A3" w:rsidP="005860A3">
      <w:pPr>
        <w:spacing w:after="0" w:line="240" w:lineRule="auto"/>
        <w:contextualSpacing/>
        <w:rPr>
          <w:rFonts w:ascii="Georgia" w:hAnsi="Georgia" w:cs="Times New Roman"/>
          <w:sz w:val="20"/>
          <w:szCs w:val="20"/>
        </w:rPr>
      </w:pPr>
      <w:r w:rsidRPr="006E4FE4">
        <w:rPr>
          <w:rStyle w:val="EndnoteReference"/>
          <w:rFonts w:ascii="Georgia" w:hAnsi="Georgia"/>
          <w:sz w:val="20"/>
          <w:szCs w:val="20"/>
        </w:rPr>
        <w:endnoteRef/>
      </w:r>
      <w:r w:rsidRPr="006E4FE4">
        <w:rPr>
          <w:rFonts w:ascii="Georgia" w:hAnsi="Georgia"/>
          <w:sz w:val="20"/>
          <w:szCs w:val="20"/>
        </w:rPr>
        <w:t xml:space="preserve"> </w:t>
      </w:r>
      <w:r w:rsidRPr="006E4FE4">
        <w:rPr>
          <w:rFonts w:ascii="Georgia" w:hAnsi="Georgia" w:cs="Times New Roman"/>
          <w:sz w:val="20"/>
          <w:szCs w:val="20"/>
        </w:rPr>
        <w:t xml:space="preserve">Substance Abuse and Mental Health Services Administration. (2015). </w:t>
      </w:r>
      <w:r w:rsidRPr="006E4FE4">
        <w:rPr>
          <w:rFonts w:ascii="Georgia" w:hAnsi="Georgia" w:cs="Times New Roman"/>
          <w:i/>
          <w:sz w:val="20"/>
          <w:szCs w:val="20"/>
        </w:rPr>
        <w:t>Trauma-informed approach and trauma-specific interventions.</w:t>
      </w:r>
      <w:r w:rsidRPr="006E4FE4">
        <w:rPr>
          <w:rFonts w:ascii="Georgia" w:hAnsi="Georgia" w:cs="Times New Roman"/>
          <w:sz w:val="20"/>
          <w:szCs w:val="20"/>
        </w:rPr>
        <w:t xml:space="preserve"> National Center for Trauma-Informed Care and Alternatives to Seclusion and Restraint.</w:t>
      </w:r>
    </w:p>
  </w:endnote>
  <w:endnote w:id="6">
    <w:p w:rsidR="005860A3" w:rsidRPr="006E4FE4" w:rsidRDefault="005860A3" w:rsidP="005860A3">
      <w:pPr>
        <w:pStyle w:val="EndnoteText"/>
        <w:contextualSpacing/>
        <w:rPr>
          <w:rFonts w:ascii="Georgia" w:hAnsi="Georgia" w:cs="Times New Roman"/>
        </w:rPr>
      </w:pPr>
      <w:r w:rsidRPr="006E4FE4">
        <w:rPr>
          <w:rStyle w:val="EndnoteReference"/>
          <w:rFonts w:ascii="Georgia" w:hAnsi="Georgia" w:cs="Times New Roman"/>
        </w:rPr>
        <w:endnoteRef/>
      </w:r>
      <w:r w:rsidRPr="006E4FE4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>See SAMSHA, 2015</w:t>
      </w:r>
      <w:r w:rsidRPr="006E4FE4">
        <w:rPr>
          <w:rFonts w:ascii="Georgia" w:hAnsi="Georgia" w:cs="Times New Roman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0A3" w:rsidRDefault="005860A3" w:rsidP="005860A3">
      <w:pPr>
        <w:spacing w:after="0" w:line="240" w:lineRule="auto"/>
      </w:pPr>
      <w:r>
        <w:separator/>
      </w:r>
    </w:p>
  </w:footnote>
  <w:footnote w:type="continuationSeparator" w:id="0">
    <w:p w:rsidR="005860A3" w:rsidRDefault="005860A3" w:rsidP="00586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0A3" w:rsidRDefault="00586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5B58"/>
    <w:multiLevelType w:val="hybridMultilevel"/>
    <w:tmpl w:val="25F8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97E29"/>
    <w:multiLevelType w:val="hybridMultilevel"/>
    <w:tmpl w:val="7916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79"/>
    <w:rsid w:val="00057D79"/>
    <w:rsid w:val="00151EE5"/>
    <w:rsid w:val="00185FAE"/>
    <w:rsid w:val="00287DE7"/>
    <w:rsid w:val="005860A3"/>
    <w:rsid w:val="00810DD3"/>
    <w:rsid w:val="008A7F91"/>
    <w:rsid w:val="00B810CA"/>
    <w:rsid w:val="00B84803"/>
    <w:rsid w:val="00BC78AC"/>
    <w:rsid w:val="00CB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B6F33-480D-4069-82E5-C27156D4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D7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D79"/>
    <w:pPr>
      <w:widowControl w:val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0A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5860A3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860A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5860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6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Reshma</dc:creator>
  <cp:keywords/>
  <dc:description/>
  <cp:lastModifiedBy>Reichgelt, Ronnie</cp:lastModifiedBy>
  <cp:revision>2</cp:revision>
  <dcterms:created xsi:type="dcterms:W3CDTF">2019-04-22T14:28:00Z</dcterms:created>
  <dcterms:modified xsi:type="dcterms:W3CDTF">2019-04-22T14:28:00Z</dcterms:modified>
</cp:coreProperties>
</file>