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45262A3" w14:textId="112F5EE9" w:rsidR="00491B4B" w:rsidRPr="0012042A" w:rsidRDefault="00491B4B" w:rsidP="00524564">
      <w:pPr>
        <w:ind w:left="0"/>
        <w:jc w:val="center"/>
        <w:rPr>
          <w:color w:val="auto"/>
        </w:rPr>
      </w:pPr>
      <w:bookmarkStart w:id="0" w:name="_GoBack"/>
      <w:bookmarkEnd w:id="0"/>
      <w:r w:rsidRPr="0012042A">
        <w:rPr>
          <w:b/>
          <w:color w:val="auto"/>
        </w:rPr>
        <w:t>CHECKLIST</w:t>
      </w:r>
    </w:p>
    <w:p w14:paraId="079EC51D" w14:textId="77777777" w:rsidR="00491B4B" w:rsidRPr="0012042A" w:rsidRDefault="00491B4B" w:rsidP="00524564">
      <w:pPr>
        <w:ind w:left="0"/>
        <w:rPr>
          <w:color w:val="auto"/>
        </w:rPr>
      </w:pPr>
    </w:p>
    <w:p w14:paraId="70FC8EFF" w14:textId="77777777" w:rsidR="00491B4B" w:rsidRPr="0012042A" w:rsidRDefault="00491B4B" w:rsidP="00524564">
      <w:pPr>
        <w:ind w:left="0"/>
        <w:rPr>
          <w:color w:val="auto"/>
        </w:rPr>
      </w:pPr>
      <w:r w:rsidRPr="0012042A">
        <w:rPr>
          <w:color w:val="auto"/>
        </w:rPr>
        <w:t xml:space="preserve">Prior to application due date: </w:t>
      </w:r>
    </w:p>
    <w:p w14:paraId="2406C5F3" w14:textId="77777777" w:rsidR="00491B4B" w:rsidRPr="0012042A" w:rsidRDefault="00491B4B" w:rsidP="00524564">
      <w:pPr>
        <w:ind w:left="0"/>
        <w:rPr>
          <w:color w:val="auto"/>
        </w:rPr>
      </w:pPr>
    </w:p>
    <w:p w14:paraId="32E4B1C0" w14:textId="77777777" w:rsidR="00491B4B" w:rsidRPr="0012042A" w:rsidRDefault="00491B4B" w:rsidP="00524564">
      <w:pPr>
        <w:pStyle w:val="ListParagraph"/>
        <w:numPr>
          <w:ilvl w:val="0"/>
          <w:numId w:val="16"/>
        </w:numPr>
        <w:rPr>
          <w:color w:val="auto"/>
        </w:rPr>
      </w:pPr>
      <w:r w:rsidRPr="0012042A">
        <w:rPr>
          <w:color w:val="auto"/>
        </w:rPr>
        <w:t>Obtain a Data Universal Numbering System (DUNS) number.</w:t>
      </w:r>
    </w:p>
    <w:p w14:paraId="0A83EE9E" w14:textId="77777777" w:rsidR="00491B4B" w:rsidRPr="0012042A" w:rsidRDefault="00491B4B" w:rsidP="00524564">
      <w:pPr>
        <w:pStyle w:val="ListParagraph"/>
        <w:numPr>
          <w:ilvl w:val="0"/>
          <w:numId w:val="16"/>
        </w:numPr>
        <w:rPr>
          <w:color w:val="auto"/>
        </w:rPr>
      </w:pPr>
      <w:r w:rsidRPr="0012042A">
        <w:rPr>
          <w:color w:val="auto"/>
        </w:rPr>
        <w:t>Register with the System for Award Management (SAM).</w:t>
      </w:r>
    </w:p>
    <w:p w14:paraId="0265CB0A" w14:textId="77777777" w:rsidR="00491B4B" w:rsidRPr="0012042A" w:rsidRDefault="00491B4B" w:rsidP="00524564">
      <w:pPr>
        <w:pStyle w:val="ListParagraph"/>
        <w:numPr>
          <w:ilvl w:val="0"/>
          <w:numId w:val="16"/>
        </w:numPr>
        <w:rPr>
          <w:color w:val="auto"/>
        </w:rPr>
      </w:pPr>
      <w:r w:rsidRPr="0012042A">
        <w:rPr>
          <w:color w:val="auto"/>
        </w:rPr>
        <w:t>Apply for, update or verify the Employer Identification Number (EIN).</w:t>
      </w:r>
    </w:p>
    <w:p w14:paraId="162AF57C" w14:textId="77777777" w:rsidR="00491B4B" w:rsidRPr="0012042A" w:rsidRDefault="00491B4B" w:rsidP="00524564">
      <w:pPr>
        <w:pStyle w:val="ListParagraph"/>
        <w:numPr>
          <w:ilvl w:val="0"/>
          <w:numId w:val="16"/>
        </w:numPr>
        <w:rPr>
          <w:color w:val="auto"/>
        </w:rPr>
      </w:pPr>
      <w:r w:rsidRPr="0012042A">
        <w:rPr>
          <w:color w:val="auto"/>
        </w:rPr>
        <w:t>Create a Grants.gov account with username and password.</w:t>
      </w:r>
    </w:p>
    <w:p w14:paraId="09184808" w14:textId="781EBB25" w:rsidR="00491B4B" w:rsidRPr="0012042A" w:rsidRDefault="00491B4B" w:rsidP="00524564">
      <w:pPr>
        <w:pStyle w:val="ListParagraph"/>
        <w:numPr>
          <w:ilvl w:val="0"/>
          <w:numId w:val="16"/>
        </w:numPr>
        <w:rPr>
          <w:color w:val="auto"/>
        </w:rPr>
      </w:pPr>
      <w:r w:rsidRPr="0012042A">
        <w:rPr>
          <w:color w:val="auto"/>
        </w:rPr>
        <w:t xml:space="preserve">Complete registration in the </w:t>
      </w:r>
      <w:r w:rsidR="00B051C3" w:rsidRPr="0012042A">
        <w:rPr>
          <w:color w:val="auto"/>
        </w:rPr>
        <w:t xml:space="preserve">Grantee </w:t>
      </w:r>
      <w:r w:rsidRPr="0012042A">
        <w:rPr>
          <w:color w:val="auto"/>
        </w:rPr>
        <w:t>GATA Portal</w:t>
      </w:r>
      <w:r w:rsidR="00E46BF4" w:rsidRPr="0012042A">
        <w:rPr>
          <w:color w:val="auto"/>
        </w:rPr>
        <w:t>.</w:t>
      </w:r>
    </w:p>
    <w:p w14:paraId="039004F2" w14:textId="77777777" w:rsidR="00491B4B" w:rsidRPr="0012042A" w:rsidRDefault="00491B4B" w:rsidP="00524564">
      <w:pPr>
        <w:ind w:left="0"/>
        <w:rPr>
          <w:color w:val="auto"/>
        </w:rPr>
      </w:pPr>
    </w:p>
    <w:p w14:paraId="471A6791" w14:textId="77777777" w:rsidR="00491B4B" w:rsidRPr="0012042A" w:rsidRDefault="00491B4B" w:rsidP="00524564">
      <w:pPr>
        <w:ind w:left="0"/>
        <w:rPr>
          <w:color w:val="auto"/>
        </w:rPr>
      </w:pPr>
      <w:r w:rsidRPr="0012042A">
        <w:rPr>
          <w:color w:val="auto"/>
        </w:rPr>
        <w:t xml:space="preserve">Submission Checklist: </w:t>
      </w:r>
    </w:p>
    <w:p w14:paraId="5B041398" w14:textId="77777777" w:rsidR="00491B4B" w:rsidRPr="0012042A" w:rsidRDefault="00491B4B" w:rsidP="00524564">
      <w:pPr>
        <w:ind w:left="0"/>
        <w:rPr>
          <w:color w:val="auto"/>
        </w:rPr>
      </w:pPr>
    </w:p>
    <w:p w14:paraId="467099F7" w14:textId="77777777" w:rsidR="00491B4B" w:rsidRPr="0012042A" w:rsidRDefault="00491B4B" w:rsidP="00524564">
      <w:pPr>
        <w:pStyle w:val="ListParagraph"/>
        <w:numPr>
          <w:ilvl w:val="0"/>
          <w:numId w:val="17"/>
        </w:numPr>
        <w:rPr>
          <w:color w:val="auto"/>
        </w:rPr>
      </w:pPr>
      <w:r w:rsidRPr="0012042A">
        <w:rPr>
          <w:color w:val="auto"/>
        </w:rPr>
        <w:t xml:space="preserve">Uniform Application for State Grant Assistance – Submitted in PDF (signed, and scanned) AND Word file </w:t>
      </w:r>
    </w:p>
    <w:p w14:paraId="7A904F84" w14:textId="54EC4432" w:rsidR="00491B4B" w:rsidRPr="0012042A" w:rsidRDefault="00491B4B" w:rsidP="00524564">
      <w:pPr>
        <w:pStyle w:val="ListParagraph"/>
        <w:numPr>
          <w:ilvl w:val="0"/>
          <w:numId w:val="17"/>
        </w:numPr>
        <w:rPr>
          <w:color w:val="auto"/>
        </w:rPr>
      </w:pPr>
      <w:r w:rsidRPr="0012042A">
        <w:rPr>
          <w:color w:val="auto"/>
        </w:rPr>
        <w:t>Program Narrative –Do not chan</w:t>
      </w:r>
      <w:r w:rsidR="008304AB" w:rsidRPr="0012042A">
        <w:rPr>
          <w:color w:val="auto"/>
        </w:rPr>
        <w:t>ge the format of this document.</w:t>
      </w:r>
      <w:r w:rsidRPr="0012042A">
        <w:rPr>
          <w:color w:val="auto"/>
        </w:rPr>
        <w:t xml:space="preserve"> Submitted in Word File</w:t>
      </w:r>
      <w:r w:rsidRPr="0012042A">
        <w:rPr>
          <w:color w:val="auto"/>
        </w:rPr>
        <w:tab/>
      </w:r>
    </w:p>
    <w:p w14:paraId="0A7A7D36" w14:textId="77777777" w:rsidR="00491B4B" w:rsidRPr="0012042A" w:rsidRDefault="00491B4B" w:rsidP="00524564">
      <w:pPr>
        <w:pStyle w:val="ListParagraph"/>
        <w:numPr>
          <w:ilvl w:val="0"/>
          <w:numId w:val="17"/>
        </w:numPr>
        <w:rPr>
          <w:color w:val="auto"/>
        </w:rPr>
      </w:pPr>
      <w:r w:rsidRPr="0012042A">
        <w:rPr>
          <w:color w:val="auto"/>
        </w:rPr>
        <w:t xml:space="preserve">Budget/Budget Narrative –Excel format (no signatures required for this document at this time) </w:t>
      </w:r>
    </w:p>
    <w:p w14:paraId="75CD5083" w14:textId="48DC5F30" w:rsidR="00491B4B" w:rsidRPr="0012042A" w:rsidRDefault="00491B4B" w:rsidP="00524564">
      <w:pPr>
        <w:pStyle w:val="ListParagraph"/>
        <w:numPr>
          <w:ilvl w:val="0"/>
          <w:numId w:val="17"/>
        </w:numPr>
        <w:rPr>
          <w:color w:val="auto"/>
        </w:rPr>
      </w:pPr>
      <w:r w:rsidRPr="0012042A">
        <w:rPr>
          <w:color w:val="auto"/>
        </w:rPr>
        <w:t>United States Internal Revenue Service 501(c)(3) determination letter - PDF (Non-Profit Agency Required</w:t>
      </w:r>
      <w:r w:rsidR="00E46BF4" w:rsidRPr="0012042A">
        <w:rPr>
          <w:color w:val="auto"/>
        </w:rPr>
        <w:t>)</w:t>
      </w:r>
      <w:r w:rsidRPr="0012042A">
        <w:rPr>
          <w:color w:val="auto"/>
        </w:rPr>
        <w:tab/>
      </w:r>
      <w:r w:rsidRPr="0012042A">
        <w:rPr>
          <w:color w:val="auto"/>
        </w:rPr>
        <w:tab/>
      </w:r>
    </w:p>
    <w:p w14:paraId="6096B876" w14:textId="77777777" w:rsidR="00491B4B" w:rsidRPr="0012042A" w:rsidRDefault="00491B4B" w:rsidP="00524564">
      <w:pPr>
        <w:autoSpaceDE w:val="0"/>
        <w:autoSpaceDN w:val="0"/>
        <w:adjustRightInd w:val="0"/>
        <w:ind w:left="0"/>
        <w:rPr>
          <w:color w:val="auto"/>
        </w:rPr>
      </w:pPr>
    </w:p>
    <w:p w14:paraId="3FB208DC" w14:textId="7D67658B" w:rsidR="00A519BE" w:rsidRPr="0012042A" w:rsidRDefault="00A519BE" w:rsidP="00524564">
      <w:pPr>
        <w:rPr>
          <w:b/>
          <w:color w:val="auto"/>
        </w:rPr>
      </w:pPr>
      <w:r w:rsidRPr="0012042A">
        <w:rPr>
          <w:b/>
          <w:color w:val="auto"/>
        </w:rPr>
        <w:br w:type="page"/>
      </w:r>
    </w:p>
    <w:p w14:paraId="60EE385C" w14:textId="14DFA6B6" w:rsidR="00F808E9" w:rsidRPr="0012042A" w:rsidRDefault="006D2857" w:rsidP="00524564">
      <w:pPr>
        <w:jc w:val="center"/>
        <w:rPr>
          <w:color w:val="auto"/>
        </w:rPr>
      </w:pPr>
      <w:r w:rsidRPr="0012042A">
        <w:rPr>
          <w:b/>
          <w:color w:val="auto"/>
        </w:rPr>
        <w:lastRenderedPageBreak/>
        <w:t>Uniform Notice for Funding Opportunity (NOFO)</w:t>
      </w:r>
    </w:p>
    <w:p w14:paraId="2DF4FB6A" w14:textId="76AEC17B" w:rsidR="00F808E9" w:rsidRPr="0012042A" w:rsidRDefault="00084170" w:rsidP="00524564">
      <w:pPr>
        <w:jc w:val="center"/>
        <w:rPr>
          <w:color w:val="auto"/>
        </w:rPr>
      </w:pPr>
      <w:r w:rsidRPr="0012042A">
        <w:rPr>
          <w:color w:val="auto"/>
        </w:rPr>
        <w:t>SAFE FROM THE START</w:t>
      </w:r>
    </w:p>
    <w:p w14:paraId="6B381F42" w14:textId="524DBCDC" w:rsidR="00F808E9" w:rsidRPr="0012042A" w:rsidRDefault="008304AB" w:rsidP="00524564">
      <w:pPr>
        <w:tabs>
          <w:tab w:val="left" w:pos="3045"/>
        </w:tabs>
        <w:rPr>
          <w:color w:val="auto"/>
        </w:rPr>
      </w:pPr>
      <w:r w:rsidRPr="0012042A">
        <w:rPr>
          <w:color w:val="auto"/>
        </w:rPr>
        <w:tab/>
      </w:r>
    </w:p>
    <w:tbl>
      <w:tblPr>
        <w:tblStyle w:val="4"/>
        <w:tblW w:w="9573" w:type="dxa"/>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9"/>
        <w:gridCol w:w="3459"/>
        <w:gridCol w:w="5685"/>
      </w:tblGrid>
      <w:tr w:rsidR="00F808E9" w:rsidRPr="0012042A" w14:paraId="756B55E0" w14:textId="77777777">
        <w:tc>
          <w:tcPr>
            <w:tcW w:w="429" w:type="dxa"/>
            <w:shd w:val="clear" w:color="auto" w:fill="D9D9D9"/>
          </w:tcPr>
          <w:p w14:paraId="63141C50" w14:textId="77777777" w:rsidR="00F808E9" w:rsidRPr="0012042A" w:rsidRDefault="00F808E9" w:rsidP="00524564">
            <w:pPr>
              <w:jc w:val="center"/>
              <w:rPr>
                <w:color w:val="auto"/>
              </w:rPr>
            </w:pPr>
          </w:p>
        </w:tc>
        <w:tc>
          <w:tcPr>
            <w:tcW w:w="3459" w:type="dxa"/>
            <w:shd w:val="clear" w:color="auto" w:fill="D9D9D9"/>
          </w:tcPr>
          <w:p w14:paraId="158F144A" w14:textId="77777777" w:rsidR="00F808E9" w:rsidRPr="0012042A" w:rsidRDefault="006D2857" w:rsidP="00524564">
            <w:pPr>
              <w:jc w:val="center"/>
              <w:rPr>
                <w:color w:val="auto"/>
              </w:rPr>
            </w:pPr>
            <w:r w:rsidRPr="0012042A">
              <w:rPr>
                <w:b/>
                <w:color w:val="auto"/>
              </w:rPr>
              <w:t>Data Field</w:t>
            </w:r>
          </w:p>
        </w:tc>
        <w:tc>
          <w:tcPr>
            <w:tcW w:w="5685" w:type="dxa"/>
            <w:shd w:val="clear" w:color="auto" w:fill="D9D9D9"/>
          </w:tcPr>
          <w:p w14:paraId="2D0A0B96" w14:textId="77777777" w:rsidR="00F808E9" w:rsidRPr="0012042A" w:rsidRDefault="00F808E9" w:rsidP="00524564">
            <w:pPr>
              <w:jc w:val="center"/>
              <w:rPr>
                <w:color w:val="auto"/>
              </w:rPr>
            </w:pPr>
          </w:p>
        </w:tc>
      </w:tr>
      <w:tr w:rsidR="005B787A" w:rsidRPr="0012042A" w14:paraId="19F724A4" w14:textId="77777777">
        <w:tc>
          <w:tcPr>
            <w:tcW w:w="429" w:type="dxa"/>
          </w:tcPr>
          <w:p w14:paraId="31CA7128" w14:textId="77777777" w:rsidR="005B787A" w:rsidRPr="0012042A" w:rsidRDefault="005B787A" w:rsidP="00524564">
            <w:pPr>
              <w:numPr>
                <w:ilvl w:val="0"/>
                <w:numId w:val="1"/>
              </w:numPr>
              <w:ind w:hanging="360"/>
              <w:contextualSpacing/>
              <w:rPr>
                <w:color w:val="auto"/>
              </w:rPr>
            </w:pPr>
          </w:p>
        </w:tc>
        <w:tc>
          <w:tcPr>
            <w:tcW w:w="3459" w:type="dxa"/>
          </w:tcPr>
          <w:p w14:paraId="3E63CBE5" w14:textId="77777777" w:rsidR="005B787A" w:rsidRPr="0012042A" w:rsidRDefault="005B787A" w:rsidP="00524564">
            <w:pPr>
              <w:ind w:left="0"/>
              <w:rPr>
                <w:color w:val="auto"/>
              </w:rPr>
            </w:pPr>
            <w:r w:rsidRPr="0012042A">
              <w:rPr>
                <w:color w:val="auto"/>
              </w:rPr>
              <w:t>Awarding Agency Name:</w:t>
            </w:r>
            <w:r w:rsidRPr="0012042A">
              <w:rPr>
                <w:color w:val="auto"/>
              </w:rPr>
              <w:tab/>
            </w:r>
          </w:p>
        </w:tc>
        <w:tc>
          <w:tcPr>
            <w:tcW w:w="5685" w:type="dxa"/>
          </w:tcPr>
          <w:p w14:paraId="1591EB28" w14:textId="25D66B3C" w:rsidR="005B787A" w:rsidRPr="0012042A" w:rsidRDefault="005B787A" w:rsidP="00524564">
            <w:pPr>
              <w:ind w:left="0"/>
              <w:rPr>
                <w:color w:val="auto"/>
              </w:rPr>
            </w:pPr>
            <w:r w:rsidRPr="0012042A">
              <w:rPr>
                <w:color w:val="auto"/>
              </w:rPr>
              <w:t>Illinois Criminal Justice Information Authority</w:t>
            </w:r>
            <w:r w:rsidR="00AA32CA" w:rsidRPr="0012042A">
              <w:rPr>
                <w:color w:val="auto"/>
              </w:rPr>
              <w:t xml:space="preserve"> (ICJIA)</w:t>
            </w:r>
          </w:p>
        </w:tc>
      </w:tr>
      <w:tr w:rsidR="005B787A" w:rsidRPr="0012042A" w14:paraId="15F08B8A" w14:textId="77777777">
        <w:tc>
          <w:tcPr>
            <w:tcW w:w="429" w:type="dxa"/>
          </w:tcPr>
          <w:p w14:paraId="39456984" w14:textId="77777777" w:rsidR="005B787A" w:rsidRPr="0012042A" w:rsidRDefault="005B787A" w:rsidP="00524564">
            <w:pPr>
              <w:numPr>
                <w:ilvl w:val="0"/>
                <w:numId w:val="1"/>
              </w:numPr>
              <w:ind w:hanging="360"/>
              <w:contextualSpacing/>
              <w:rPr>
                <w:color w:val="auto"/>
              </w:rPr>
            </w:pPr>
          </w:p>
        </w:tc>
        <w:tc>
          <w:tcPr>
            <w:tcW w:w="3459" w:type="dxa"/>
          </w:tcPr>
          <w:p w14:paraId="36EDC0CC" w14:textId="77777777" w:rsidR="005B787A" w:rsidRPr="0012042A" w:rsidRDefault="005B787A" w:rsidP="00524564">
            <w:pPr>
              <w:ind w:left="0"/>
              <w:rPr>
                <w:color w:val="auto"/>
              </w:rPr>
            </w:pPr>
            <w:r w:rsidRPr="0012042A">
              <w:rPr>
                <w:color w:val="auto"/>
              </w:rPr>
              <w:t>Agency Contact:</w:t>
            </w:r>
          </w:p>
        </w:tc>
        <w:tc>
          <w:tcPr>
            <w:tcW w:w="5685" w:type="dxa"/>
          </w:tcPr>
          <w:p w14:paraId="5A0A35C3" w14:textId="46DE7E35" w:rsidR="005B787A" w:rsidRPr="0012042A" w:rsidRDefault="00084170" w:rsidP="00524564">
            <w:pPr>
              <w:ind w:left="0"/>
              <w:rPr>
                <w:color w:val="auto"/>
              </w:rPr>
            </w:pPr>
            <w:r w:rsidRPr="0012042A">
              <w:rPr>
                <w:color w:val="auto"/>
              </w:rPr>
              <w:t>Shai Hoffman</w:t>
            </w:r>
          </w:p>
          <w:p w14:paraId="54BD6A02" w14:textId="7FCB5F26" w:rsidR="00C179F5" w:rsidRPr="0012042A" w:rsidRDefault="00BD3DFB" w:rsidP="00524564">
            <w:pPr>
              <w:ind w:left="0"/>
              <w:rPr>
                <w:color w:val="auto"/>
              </w:rPr>
            </w:pPr>
            <w:r w:rsidRPr="0012042A">
              <w:rPr>
                <w:color w:val="auto"/>
              </w:rPr>
              <w:t>Program Manager</w:t>
            </w:r>
          </w:p>
          <w:p w14:paraId="0198A559" w14:textId="7C6ED41B" w:rsidR="005B787A" w:rsidRPr="0012042A" w:rsidRDefault="005B787A" w:rsidP="00524564">
            <w:pPr>
              <w:ind w:left="0"/>
              <w:rPr>
                <w:color w:val="auto"/>
              </w:rPr>
            </w:pPr>
            <w:r w:rsidRPr="0012042A">
              <w:rPr>
                <w:color w:val="auto"/>
              </w:rPr>
              <w:t>Illinois</w:t>
            </w:r>
            <w:r w:rsidR="00B67D27" w:rsidRPr="0012042A">
              <w:rPr>
                <w:color w:val="auto"/>
              </w:rPr>
              <w:t xml:space="preserve"> </w:t>
            </w:r>
            <w:r w:rsidRPr="0012042A">
              <w:rPr>
                <w:color w:val="auto"/>
              </w:rPr>
              <w:t>Criminal Justice Information Authority</w:t>
            </w:r>
          </w:p>
          <w:p w14:paraId="580BF9E8" w14:textId="77777777" w:rsidR="005B787A" w:rsidRPr="0012042A" w:rsidRDefault="005B787A" w:rsidP="00524564">
            <w:pPr>
              <w:ind w:left="0"/>
              <w:rPr>
                <w:color w:val="auto"/>
              </w:rPr>
            </w:pPr>
            <w:r w:rsidRPr="0012042A">
              <w:rPr>
                <w:color w:val="auto"/>
              </w:rPr>
              <w:t>300 West Adams, Suite 200</w:t>
            </w:r>
          </w:p>
          <w:p w14:paraId="5E7F2A6C" w14:textId="2CB0F07F" w:rsidR="005B787A" w:rsidRPr="0012042A" w:rsidRDefault="00EF3955" w:rsidP="00524564">
            <w:pPr>
              <w:ind w:left="0"/>
              <w:rPr>
                <w:color w:val="auto"/>
              </w:rPr>
            </w:pPr>
            <w:r w:rsidRPr="0012042A">
              <w:rPr>
                <w:color w:val="auto"/>
              </w:rPr>
              <w:t>Chicago, Illinois</w:t>
            </w:r>
            <w:r w:rsidR="005B787A" w:rsidRPr="0012042A">
              <w:rPr>
                <w:color w:val="auto"/>
              </w:rPr>
              <w:t xml:space="preserve"> 60606</w:t>
            </w:r>
          </w:p>
          <w:p w14:paraId="4F8B612D" w14:textId="23FF33C4" w:rsidR="00D5008F" w:rsidRPr="0012042A" w:rsidRDefault="00084170" w:rsidP="00524564">
            <w:pPr>
              <w:ind w:left="0"/>
              <w:rPr>
                <w:color w:val="auto"/>
              </w:rPr>
            </w:pPr>
            <w:r w:rsidRPr="0012042A">
              <w:rPr>
                <w:color w:val="auto"/>
              </w:rPr>
              <w:t>Shai.hoffman</w:t>
            </w:r>
            <w:r w:rsidR="00FE13A4" w:rsidRPr="0012042A">
              <w:rPr>
                <w:color w:val="auto"/>
              </w:rPr>
              <w:t>@Illinois.gov</w:t>
            </w:r>
          </w:p>
          <w:p w14:paraId="311BE36D" w14:textId="3FA47FC2" w:rsidR="005B787A" w:rsidRPr="0012042A" w:rsidRDefault="00BD3DFB" w:rsidP="00524564">
            <w:pPr>
              <w:ind w:left="0"/>
              <w:rPr>
                <w:color w:val="auto"/>
              </w:rPr>
            </w:pPr>
            <w:r w:rsidRPr="0012042A">
              <w:rPr>
                <w:color w:val="auto"/>
              </w:rPr>
              <w:t>312.814.0706</w:t>
            </w:r>
          </w:p>
        </w:tc>
      </w:tr>
      <w:tr w:rsidR="005B787A" w:rsidRPr="0012042A" w14:paraId="701B5726" w14:textId="77777777">
        <w:tc>
          <w:tcPr>
            <w:tcW w:w="429" w:type="dxa"/>
          </w:tcPr>
          <w:p w14:paraId="4825F6CA" w14:textId="77777777" w:rsidR="005B787A" w:rsidRPr="0012042A" w:rsidRDefault="005B787A" w:rsidP="00524564">
            <w:pPr>
              <w:numPr>
                <w:ilvl w:val="0"/>
                <w:numId w:val="1"/>
              </w:numPr>
              <w:ind w:hanging="360"/>
              <w:contextualSpacing/>
              <w:rPr>
                <w:color w:val="auto"/>
              </w:rPr>
            </w:pPr>
          </w:p>
        </w:tc>
        <w:tc>
          <w:tcPr>
            <w:tcW w:w="3459" w:type="dxa"/>
          </w:tcPr>
          <w:p w14:paraId="73796C0F" w14:textId="77777777" w:rsidR="005B787A" w:rsidRPr="0012042A" w:rsidRDefault="005B787A" w:rsidP="00524564">
            <w:pPr>
              <w:ind w:left="0"/>
              <w:rPr>
                <w:color w:val="auto"/>
              </w:rPr>
            </w:pPr>
            <w:r w:rsidRPr="0012042A">
              <w:rPr>
                <w:color w:val="auto"/>
              </w:rPr>
              <w:t>Announcement Type:</w:t>
            </w:r>
          </w:p>
        </w:tc>
        <w:tc>
          <w:tcPr>
            <w:tcW w:w="5685" w:type="dxa"/>
          </w:tcPr>
          <w:p w14:paraId="143382FF" w14:textId="3014D9FA" w:rsidR="005B787A" w:rsidRPr="0012042A" w:rsidRDefault="005B787A" w:rsidP="00524564">
            <w:pPr>
              <w:pStyle w:val="ListParagraph"/>
              <w:numPr>
                <w:ilvl w:val="0"/>
                <w:numId w:val="18"/>
              </w:numPr>
              <w:rPr>
                <w:color w:val="auto"/>
              </w:rPr>
            </w:pPr>
            <w:r w:rsidRPr="0012042A">
              <w:rPr>
                <w:color w:val="auto"/>
              </w:rPr>
              <w:t xml:space="preserve">Initial announcement   </w:t>
            </w:r>
          </w:p>
          <w:p w14:paraId="17353ABE" w14:textId="77777777" w:rsidR="005B787A" w:rsidRPr="0012042A" w:rsidRDefault="005B787A" w:rsidP="00524564">
            <w:pPr>
              <w:ind w:left="0"/>
              <w:rPr>
                <w:color w:val="auto"/>
              </w:rPr>
            </w:pPr>
            <w:r w:rsidRPr="0012042A">
              <w:rPr>
                <w:color w:val="auto"/>
              </w:rPr>
              <w:t>□ Modification of a previous announcement</w:t>
            </w:r>
          </w:p>
        </w:tc>
      </w:tr>
      <w:tr w:rsidR="005B787A" w:rsidRPr="0012042A" w14:paraId="1FB3077E" w14:textId="77777777" w:rsidTr="006D496F">
        <w:tc>
          <w:tcPr>
            <w:tcW w:w="429" w:type="dxa"/>
          </w:tcPr>
          <w:p w14:paraId="63EB3B9F" w14:textId="77777777" w:rsidR="005B787A" w:rsidRPr="0012042A" w:rsidRDefault="005B787A" w:rsidP="00524564">
            <w:pPr>
              <w:numPr>
                <w:ilvl w:val="0"/>
                <w:numId w:val="1"/>
              </w:numPr>
              <w:ind w:hanging="360"/>
              <w:contextualSpacing/>
              <w:rPr>
                <w:color w:val="auto"/>
              </w:rPr>
            </w:pPr>
          </w:p>
        </w:tc>
        <w:tc>
          <w:tcPr>
            <w:tcW w:w="3459" w:type="dxa"/>
          </w:tcPr>
          <w:p w14:paraId="525B357A" w14:textId="77777777" w:rsidR="005B787A" w:rsidRPr="0012042A" w:rsidRDefault="005B787A" w:rsidP="00524564">
            <w:pPr>
              <w:ind w:left="0"/>
              <w:rPr>
                <w:color w:val="auto"/>
              </w:rPr>
            </w:pPr>
            <w:r w:rsidRPr="0012042A">
              <w:rPr>
                <w:color w:val="auto"/>
              </w:rPr>
              <w:t>Type of Assistance Instrument:</w:t>
            </w:r>
          </w:p>
        </w:tc>
        <w:tc>
          <w:tcPr>
            <w:tcW w:w="5685" w:type="dxa"/>
            <w:tcBorders>
              <w:bottom w:val="single" w:sz="4" w:space="0" w:color="000000"/>
            </w:tcBorders>
          </w:tcPr>
          <w:p w14:paraId="101F66AF" w14:textId="77777777" w:rsidR="005B787A" w:rsidRPr="0012042A" w:rsidRDefault="005B787A" w:rsidP="00524564">
            <w:pPr>
              <w:ind w:left="0"/>
              <w:rPr>
                <w:color w:val="auto"/>
              </w:rPr>
            </w:pPr>
            <w:r w:rsidRPr="0012042A">
              <w:rPr>
                <w:color w:val="auto"/>
              </w:rPr>
              <w:t>Grant</w:t>
            </w:r>
          </w:p>
        </w:tc>
      </w:tr>
      <w:tr w:rsidR="005B787A" w:rsidRPr="0012042A" w14:paraId="70E126B6" w14:textId="77777777" w:rsidTr="006D496F">
        <w:tc>
          <w:tcPr>
            <w:tcW w:w="429" w:type="dxa"/>
          </w:tcPr>
          <w:p w14:paraId="32331DED" w14:textId="77777777" w:rsidR="005B787A" w:rsidRPr="0012042A" w:rsidRDefault="005B787A" w:rsidP="00524564">
            <w:pPr>
              <w:numPr>
                <w:ilvl w:val="0"/>
                <w:numId w:val="1"/>
              </w:numPr>
              <w:ind w:hanging="360"/>
              <w:contextualSpacing/>
              <w:rPr>
                <w:color w:val="auto"/>
              </w:rPr>
            </w:pPr>
          </w:p>
        </w:tc>
        <w:tc>
          <w:tcPr>
            <w:tcW w:w="3459" w:type="dxa"/>
          </w:tcPr>
          <w:p w14:paraId="6E0FECEE" w14:textId="25436DA1" w:rsidR="005B787A" w:rsidRPr="0012042A" w:rsidRDefault="005B787A" w:rsidP="00524564">
            <w:pPr>
              <w:ind w:left="0"/>
              <w:rPr>
                <w:color w:val="auto"/>
              </w:rPr>
            </w:pPr>
            <w:r w:rsidRPr="0012042A">
              <w:rPr>
                <w:color w:val="auto"/>
              </w:rPr>
              <w:t xml:space="preserve">Funding Opportunity Number: </w:t>
            </w:r>
          </w:p>
        </w:tc>
        <w:tc>
          <w:tcPr>
            <w:tcW w:w="5685" w:type="dxa"/>
            <w:shd w:val="clear" w:color="auto" w:fill="auto"/>
          </w:tcPr>
          <w:p w14:paraId="74014C83" w14:textId="17F9A86B" w:rsidR="005B787A" w:rsidRPr="0012042A" w:rsidRDefault="00BD3DFB" w:rsidP="00524564">
            <w:pPr>
              <w:ind w:left="0"/>
              <w:rPr>
                <w:color w:val="auto"/>
              </w:rPr>
            </w:pPr>
            <w:r w:rsidRPr="0012042A">
              <w:rPr>
                <w:color w:val="auto"/>
              </w:rPr>
              <w:t>2116-1041</w:t>
            </w:r>
          </w:p>
        </w:tc>
      </w:tr>
      <w:tr w:rsidR="005B787A" w:rsidRPr="0012042A" w14:paraId="07040AE0" w14:textId="77777777">
        <w:tc>
          <w:tcPr>
            <w:tcW w:w="429" w:type="dxa"/>
          </w:tcPr>
          <w:p w14:paraId="08970E54" w14:textId="77777777" w:rsidR="005B787A" w:rsidRPr="0012042A" w:rsidRDefault="005B787A" w:rsidP="00524564">
            <w:pPr>
              <w:numPr>
                <w:ilvl w:val="0"/>
                <w:numId w:val="1"/>
              </w:numPr>
              <w:ind w:hanging="360"/>
              <w:contextualSpacing/>
              <w:rPr>
                <w:color w:val="auto"/>
              </w:rPr>
            </w:pPr>
          </w:p>
        </w:tc>
        <w:tc>
          <w:tcPr>
            <w:tcW w:w="3459" w:type="dxa"/>
          </w:tcPr>
          <w:p w14:paraId="260D69E2" w14:textId="77777777" w:rsidR="005B787A" w:rsidRPr="0012042A" w:rsidRDefault="005B787A" w:rsidP="00524564">
            <w:pPr>
              <w:ind w:left="0"/>
              <w:rPr>
                <w:color w:val="auto"/>
              </w:rPr>
            </w:pPr>
            <w:r w:rsidRPr="0012042A">
              <w:rPr>
                <w:color w:val="auto"/>
              </w:rPr>
              <w:t>Funding Opportunity Title:</w:t>
            </w:r>
          </w:p>
        </w:tc>
        <w:tc>
          <w:tcPr>
            <w:tcW w:w="5685" w:type="dxa"/>
          </w:tcPr>
          <w:p w14:paraId="6BA3D3DF" w14:textId="1B966F39" w:rsidR="005B787A" w:rsidRPr="0012042A" w:rsidRDefault="00BD3DFB" w:rsidP="00524564">
            <w:pPr>
              <w:ind w:left="0"/>
              <w:rPr>
                <w:color w:val="auto"/>
              </w:rPr>
            </w:pPr>
            <w:r w:rsidRPr="0012042A">
              <w:rPr>
                <w:color w:val="auto"/>
              </w:rPr>
              <w:t xml:space="preserve">Safe </w:t>
            </w:r>
            <w:proofErr w:type="gramStart"/>
            <w:r w:rsidRPr="0012042A">
              <w:rPr>
                <w:color w:val="auto"/>
              </w:rPr>
              <w:t>From</w:t>
            </w:r>
            <w:proofErr w:type="gramEnd"/>
            <w:r w:rsidRPr="0012042A">
              <w:rPr>
                <w:color w:val="auto"/>
              </w:rPr>
              <w:t xml:space="preserve"> the Start (SFS) SFY20</w:t>
            </w:r>
          </w:p>
        </w:tc>
      </w:tr>
      <w:tr w:rsidR="005B787A" w:rsidRPr="0012042A" w14:paraId="02152CA5" w14:textId="77777777">
        <w:tc>
          <w:tcPr>
            <w:tcW w:w="429" w:type="dxa"/>
          </w:tcPr>
          <w:p w14:paraId="4121E667" w14:textId="77777777" w:rsidR="005B787A" w:rsidRPr="0012042A" w:rsidRDefault="005B787A" w:rsidP="00524564">
            <w:pPr>
              <w:numPr>
                <w:ilvl w:val="0"/>
                <w:numId w:val="1"/>
              </w:numPr>
              <w:ind w:hanging="360"/>
              <w:contextualSpacing/>
              <w:rPr>
                <w:color w:val="auto"/>
              </w:rPr>
            </w:pPr>
          </w:p>
        </w:tc>
        <w:tc>
          <w:tcPr>
            <w:tcW w:w="3459" w:type="dxa"/>
          </w:tcPr>
          <w:p w14:paraId="4C90CBA5" w14:textId="77777777" w:rsidR="005B787A" w:rsidRPr="0012042A" w:rsidRDefault="005B787A" w:rsidP="00524564">
            <w:pPr>
              <w:ind w:left="0"/>
              <w:rPr>
                <w:color w:val="auto"/>
              </w:rPr>
            </w:pPr>
            <w:r w:rsidRPr="0012042A">
              <w:rPr>
                <w:color w:val="auto"/>
              </w:rPr>
              <w:t>CSFA Number:</w:t>
            </w:r>
          </w:p>
        </w:tc>
        <w:tc>
          <w:tcPr>
            <w:tcW w:w="5685" w:type="dxa"/>
          </w:tcPr>
          <w:p w14:paraId="69E144B1" w14:textId="2E0643A1" w:rsidR="005B787A" w:rsidRPr="0012042A" w:rsidRDefault="00E829E6" w:rsidP="00524564">
            <w:pPr>
              <w:ind w:left="0"/>
              <w:rPr>
                <w:color w:val="auto"/>
              </w:rPr>
            </w:pPr>
            <w:r w:rsidRPr="0012042A">
              <w:rPr>
                <w:color w:val="auto"/>
              </w:rPr>
              <w:t>546-00-2116</w:t>
            </w:r>
          </w:p>
        </w:tc>
      </w:tr>
      <w:tr w:rsidR="005B787A" w:rsidRPr="0012042A" w14:paraId="4A945064" w14:textId="77777777" w:rsidTr="00EB7FCC">
        <w:tc>
          <w:tcPr>
            <w:tcW w:w="429" w:type="dxa"/>
          </w:tcPr>
          <w:p w14:paraId="015E7077" w14:textId="77777777" w:rsidR="005B787A" w:rsidRPr="0012042A" w:rsidRDefault="005B787A" w:rsidP="00524564">
            <w:pPr>
              <w:numPr>
                <w:ilvl w:val="0"/>
                <w:numId w:val="1"/>
              </w:numPr>
              <w:ind w:hanging="360"/>
              <w:contextualSpacing/>
              <w:rPr>
                <w:color w:val="auto"/>
              </w:rPr>
            </w:pPr>
          </w:p>
        </w:tc>
        <w:tc>
          <w:tcPr>
            <w:tcW w:w="3459" w:type="dxa"/>
          </w:tcPr>
          <w:p w14:paraId="1F0D3364" w14:textId="5FF8F9E0" w:rsidR="005B787A" w:rsidRPr="0012042A" w:rsidRDefault="005B787A" w:rsidP="00524564">
            <w:pPr>
              <w:ind w:left="0"/>
              <w:rPr>
                <w:color w:val="auto"/>
              </w:rPr>
            </w:pPr>
            <w:r w:rsidRPr="0012042A">
              <w:rPr>
                <w:color w:val="auto"/>
              </w:rPr>
              <w:t xml:space="preserve">CSFA Popular </w:t>
            </w:r>
            <w:r w:rsidR="006D5880" w:rsidRPr="0012042A">
              <w:rPr>
                <w:color w:val="auto"/>
              </w:rPr>
              <w:t>Name</w:t>
            </w:r>
            <w:r w:rsidRPr="0012042A">
              <w:rPr>
                <w:color w:val="auto"/>
              </w:rPr>
              <w:t>:</w:t>
            </w:r>
          </w:p>
        </w:tc>
        <w:tc>
          <w:tcPr>
            <w:tcW w:w="5685" w:type="dxa"/>
            <w:tcBorders>
              <w:bottom w:val="single" w:sz="4" w:space="0" w:color="000000"/>
            </w:tcBorders>
          </w:tcPr>
          <w:p w14:paraId="4009948A" w14:textId="10E942F6" w:rsidR="005B787A" w:rsidRPr="0012042A" w:rsidRDefault="006D5880" w:rsidP="00524564">
            <w:pPr>
              <w:ind w:left="0"/>
              <w:rPr>
                <w:color w:val="auto"/>
              </w:rPr>
            </w:pPr>
            <w:r w:rsidRPr="0012042A">
              <w:rPr>
                <w:color w:val="auto"/>
              </w:rPr>
              <w:t>SFS SFY20</w:t>
            </w:r>
          </w:p>
        </w:tc>
      </w:tr>
      <w:tr w:rsidR="005B787A" w:rsidRPr="0012042A" w14:paraId="08A926C2" w14:textId="77777777" w:rsidTr="00EF3955">
        <w:trPr>
          <w:trHeight w:val="377"/>
        </w:trPr>
        <w:tc>
          <w:tcPr>
            <w:tcW w:w="429" w:type="dxa"/>
          </w:tcPr>
          <w:p w14:paraId="36DCF980" w14:textId="77777777" w:rsidR="005B787A" w:rsidRPr="0012042A" w:rsidRDefault="005B787A" w:rsidP="00524564">
            <w:pPr>
              <w:numPr>
                <w:ilvl w:val="0"/>
                <w:numId w:val="1"/>
              </w:numPr>
              <w:ind w:hanging="360"/>
              <w:contextualSpacing/>
              <w:rPr>
                <w:color w:val="auto"/>
              </w:rPr>
            </w:pPr>
          </w:p>
        </w:tc>
        <w:tc>
          <w:tcPr>
            <w:tcW w:w="3459" w:type="dxa"/>
          </w:tcPr>
          <w:p w14:paraId="565C6FED" w14:textId="77777777" w:rsidR="005B787A" w:rsidRPr="0012042A" w:rsidRDefault="005B787A" w:rsidP="00524564">
            <w:pPr>
              <w:ind w:left="0"/>
              <w:rPr>
                <w:color w:val="auto"/>
              </w:rPr>
            </w:pPr>
            <w:r w:rsidRPr="0012042A">
              <w:rPr>
                <w:color w:val="auto"/>
              </w:rPr>
              <w:t>CFDA Number(s):</w:t>
            </w:r>
          </w:p>
        </w:tc>
        <w:tc>
          <w:tcPr>
            <w:tcW w:w="5685" w:type="dxa"/>
            <w:tcBorders>
              <w:bottom w:val="single" w:sz="4" w:space="0" w:color="000000"/>
            </w:tcBorders>
            <w:shd w:val="clear" w:color="auto" w:fill="auto"/>
          </w:tcPr>
          <w:p w14:paraId="333EBB6E" w14:textId="7D4F65CA" w:rsidR="005B787A" w:rsidRPr="0012042A" w:rsidRDefault="00E829E6" w:rsidP="00524564">
            <w:pPr>
              <w:ind w:left="0"/>
              <w:rPr>
                <w:color w:val="auto"/>
              </w:rPr>
            </w:pPr>
            <w:r w:rsidRPr="0012042A">
              <w:rPr>
                <w:color w:val="auto"/>
              </w:rPr>
              <w:t>N/A</w:t>
            </w:r>
          </w:p>
        </w:tc>
      </w:tr>
      <w:tr w:rsidR="005B787A" w:rsidRPr="0012042A" w14:paraId="23629A19" w14:textId="77777777" w:rsidTr="006D496F">
        <w:tc>
          <w:tcPr>
            <w:tcW w:w="429" w:type="dxa"/>
          </w:tcPr>
          <w:p w14:paraId="5C409201" w14:textId="77777777" w:rsidR="005B787A" w:rsidRPr="0012042A" w:rsidRDefault="005B787A" w:rsidP="00524564">
            <w:pPr>
              <w:numPr>
                <w:ilvl w:val="0"/>
                <w:numId w:val="1"/>
              </w:numPr>
              <w:ind w:hanging="360"/>
              <w:contextualSpacing/>
              <w:rPr>
                <w:color w:val="auto"/>
              </w:rPr>
            </w:pPr>
          </w:p>
        </w:tc>
        <w:tc>
          <w:tcPr>
            <w:tcW w:w="3459" w:type="dxa"/>
          </w:tcPr>
          <w:p w14:paraId="342E0CAD" w14:textId="77777777" w:rsidR="005B787A" w:rsidRPr="0012042A" w:rsidRDefault="005B787A" w:rsidP="00524564">
            <w:pPr>
              <w:ind w:left="0"/>
              <w:rPr>
                <w:color w:val="auto"/>
              </w:rPr>
            </w:pPr>
            <w:r w:rsidRPr="0012042A">
              <w:rPr>
                <w:color w:val="auto"/>
              </w:rPr>
              <w:t>Anticipated Number of Awards:</w:t>
            </w:r>
          </w:p>
        </w:tc>
        <w:tc>
          <w:tcPr>
            <w:tcW w:w="5685" w:type="dxa"/>
            <w:shd w:val="clear" w:color="auto" w:fill="auto"/>
          </w:tcPr>
          <w:p w14:paraId="65A91A4B" w14:textId="3E22B16B" w:rsidR="00EF3955" w:rsidRPr="0012042A" w:rsidRDefault="00B11065" w:rsidP="00524564">
            <w:pPr>
              <w:ind w:left="0"/>
              <w:rPr>
                <w:color w:val="auto"/>
              </w:rPr>
            </w:pPr>
            <w:r w:rsidRPr="0012042A">
              <w:rPr>
                <w:color w:val="auto"/>
              </w:rPr>
              <w:t>Ten</w:t>
            </w:r>
          </w:p>
        </w:tc>
      </w:tr>
      <w:tr w:rsidR="005B787A" w:rsidRPr="0012042A" w14:paraId="474D0C6C" w14:textId="77777777" w:rsidTr="00E3661E">
        <w:tc>
          <w:tcPr>
            <w:tcW w:w="429" w:type="dxa"/>
          </w:tcPr>
          <w:p w14:paraId="18BE654F" w14:textId="77777777" w:rsidR="005B787A" w:rsidRPr="0012042A" w:rsidRDefault="005B787A" w:rsidP="00524564">
            <w:pPr>
              <w:numPr>
                <w:ilvl w:val="0"/>
                <w:numId w:val="1"/>
              </w:numPr>
              <w:ind w:hanging="360"/>
              <w:contextualSpacing/>
              <w:rPr>
                <w:color w:val="auto"/>
              </w:rPr>
            </w:pPr>
          </w:p>
        </w:tc>
        <w:tc>
          <w:tcPr>
            <w:tcW w:w="3459" w:type="dxa"/>
          </w:tcPr>
          <w:p w14:paraId="5B415254" w14:textId="77777777" w:rsidR="005B787A" w:rsidRPr="0012042A" w:rsidRDefault="005B787A" w:rsidP="00524564">
            <w:pPr>
              <w:ind w:left="0"/>
              <w:rPr>
                <w:color w:val="auto"/>
              </w:rPr>
            </w:pPr>
            <w:r w:rsidRPr="0012042A">
              <w:rPr>
                <w:color w:val="auto"/>
              </w:rPr>
              <w:t>Estimated Total Program Funding:</w:t>
            </w:r>
          </w:p>
        </w:tc>
        <w:tc>
          <w:tcPr>
            <w:tcW w:w="5685" w:type="dxa"/>
            <w:shd w:val="clear" w:color="auto" w:fill="auto"/>
          </w:tcPr>
          <w:p w14:paraId="7400370E" w14:textId="77E3F596" w:rsidR="005B787A" w:rsidRPr="0012042A" w:rsidRDefault="007333B4" w:rsidP="00524564">
            <w:pPr>
              <w:ind w:left="0"/>
              <w:rPr>
                <w:color w:val="auto"/>
              </w:rPr>
            </w:pPr>
            <w:r w:rsidRPr="0012042A">
              <w:rPr>
                <w:color w:val="auto"/>
              </w:rPr>
              <w:t>$</w:t>
            </w:r>
            <w:r w:rsidR="00544DAD">
              <w:rPr>
                <w:color w:val="auto"/>
              </w:rPr>
              <w:t>907,500</w:t>
            </w:r>
          </w:p>
        </w:tc>
      </w:tr>
      <w:tr w:rsidR="005B787A" w:rsidRPr="0012042A" w14:paraId="46C726DB" w14:textId="77777777" w:rsidTr="00E3661E">
        <w:tc>
          <w:tcPr>
            <w:tcW w:w="429" w:type="dxa"/>
          </w:tcPr>
          <w:p w14:paraId="71E25A48" w14:textId="77777777" w:rsidR="005B787A" w:rsidRPr="0012042A" w:rsidRDefault="005B787A" w:rsidP="00524564">
            <w:pPr>
              <w:numPr>
                <w:ilvl w:val="0"/>
                <w:numId w:val="1"/>
              </w:numPr>
              <w:ind w:hanging="360"/>
              <w:contextualSpacing/>
              <w:rPr>
                <w:color w:val="auto"/>
              </w:rPr>
            </w:pPr>
          </w:p>
        </w:tc>
        <w:tc>
          <w:tcPr>
            <w:tcW w:w="3459" w:type="dxa"/>
          </w:tcPr>
          <w:p w14:paraId="13AE6E33" w14:textId="77777777" w:rsidR="005B787A" w:rsidRPr="0012042A" w:rsidRDefault="005B787A" w:rsidP="00524564">
            <w:pPr>
              <w:ind w:left="0"/>
              <w:rPr>
                <w:color w:val="auto"/>
              </w:rPr>
            </w:pPr>
            <w:r w:rsidRPr="0012042A">
              <w:rPr>
                <w:color w:val="auto"/>
              </w:rPr>
              <w:t>Award Range</w:t>
            </w:r>
          </w:p>
        </w:tc>
        <w:tc>
          <w:tcPr>
            <w:tcW w:w="5685" w:type="dxa"/>
            <w:shd w:val="clear" w:color="auto" w:fill="auto"/>
          </w:tcPr>
          <w:p w14:paraId="4651AF84" w14:textId="3537F70C" w:rsidR="00EF3955" w:rsidRPr="0012042A" w:rsidRDefault="00B11065" w:rsidP="00524564">
            <w:pPr>
              <w:ind w:left="0"/>
              <w:rPr>
                <w:color w:val="auto"/>
              </w:rPr>
            </w:pPr>
            <w:r w:rsidRPr="0012042A">
              <w:rPr>
                <w:color w:val="auto"/>
              </w:rPr>
              <w:t xml:space="preserve">$75,000 </w:t>
            </w:r>
            <w:r w:rsidR="00A12D92" w:rsidRPr="0012042A">
              <w:rPr>
                <w:color w:val="auto"/>
              </w:rPr>
              <w:t xml:space="preserve">to </w:t>
            </w:r>
            <w:r w:rsidRPr="0012042A">
              <w:rPr>
                <w:color w:val="auto"/>
              </w:rPr>
              <w:t>$1</w:t>
            </w:r>
            <w:r w:rsidR="00776B9E">
              <w:rPr>
                <w:color w:val="auto"/>
              </w:rPr>
              <w:t>21</w:t>
            </w:r>
            <w:r w:rsidRPr="0012042A">
              <w:rPr>
                <w:color w:val="auto"/>
              </w:rPr>
              <w:t>,</w:t>
            </w:r>
            <w:r w:rsidR="00776B9E">
              <w:rPr>
                <w:color w:val="auto"/>
              </w:rPr>
              <w:t>5</w:t>
            </w:r>
            <w:r w:rsidR="00A12D92" w:rsidRPr="0012042A">
              <w:rPr>
                <w:color w:val="auto"/>
              </w:rPr>
              <w:t>00</w:t>
            </w:r>
          </w:p>
        </w:tc>
      </w:tr>
      <w:tr w:rsidR="005B787A" w:rsidRPr="0012042A" w14:paraId="6EF4ED40" w14:textId="77777777" w:rsidTr="00E3661E">
        <w:tc>
          <w:tcPr>
            <w:tcW w:w="429" w:type="dxa"/>
          </w:tcPr>
          <w:p w14:paraId="612A7979" w14:textId="77777777" w:rsidR="005B787A" w:rsidRPr="0012042A" w:rsidRDefault="005B787A" w:rsidP="00524564">
            <w:pPr>
              <w:numPr>
                <w:ilvl w:val="0"/>
                <w:numId w:val="1"/>
              </w:numPr>
              <w:ind w:hanging="360"/>
              <w:contextualSpacing/>
              <w:rPr>
                <w:color w:val="auto"/>
              </w:rPr>
            </w:pPr>
          </w:p>
        </w:tc>
        <w:tc>
          <w:tcPr>
            <w:tcW w:w="3459" w:type="dxa"/>
          </w:tcPr>
          <w:p w14:paraId="3582EF99" w14:textId="77777777" w:rsidR="005B787A" w:rsidRPr="0012042A" w:rsidRDefault="005B787A" w:rsidP="00524564">
            <w:pPr>
              <w:ind w:left="0"/>
              <w:rPr>
                <w:color w:val="auto"/>
              </w:rPr>
            </w:pPr>
            <w:r w:rsidRPr="0012042A">
              <w:rPr>
                <w:color w:val="auto"/>
              </w:rPr>
              <w:t>Source of Funding:</w:t>
            </w:r>
          </w:p>
        </w:tc>
        <w:tc>
          <w:tcPr>
            <w:tcW w:w="5685" w:type="dxa"/>
            <w:shd w:val="clear" w:color="auto" w:fill="auto"/>
          </w:tcPr>
          <w:p w14:paraId="7B2E95D9" w14:textId="042D4F67" w:rsidR="005B787A" w:rsidRPr="0012042A" w:rsidRDefault="00744761" w:rsidP="00524564">
            <w:pPr>
              <w:ind w:left="18" w:firstLine="12"/>
              <w:rPr>
                <w:color w:val="auto"/>
              </w:rPr>
            </w:pPr>
            <w:r w:rsidRPr="0012042A">
              <w:rPr>
                <w:color w:val="auto"/>
              </w:rPr>
              <w:t xml:space="preserve">□ </w:t>
            </w:r>
            <w:r w:rsidR="005B787A" w:rsidRPr="0012042A">
              <w:rPr>
                <w:color w:val="auto"/>
              </w:rPr>
              <w:t>Federal or Federal pass-through</w:t>
            </w:r>
          </w:p>
          <w:p w14:paraId="35DE1EF3" w14:textId="4135541F" w:rsidR="00EF3955" w:rsidRPr="0012042A" w:rsidRDefault="00EF3955" w:rsidP="00524564">
            <w:pPr>
              <w:pStyle w:val="ListParagraph"/>
              <w:numPr>
                <w:ilvl w:val="0"/>
                <w:numId w:val="19"/>
              </w:numPr>
              <w:rPr>
                <w:color w:val="auto"/>
              </w:rPr>
            </w:pPr>
            <w:r w:rsidRPr="0012042A">
              <w:rPr>
                <w:color w:val="auto"/>
              </w:rPr>
              <w:t>State</w:t>
            </w:r>
          </w:p>
          <w:p w14:paraId="013A4C6B" w14:textId="4CA18C24" w:rsidR="005B787A" w:rsidRPr="0012042A" w:rsidRDefault="00744761" w:rsidP="00524564">
            <w:pPr>
              <w:ind w:left="54" w:hanging="18"/>
              <w:rPr>
                <w:color w:val="auto"/>
              </w:rPr>
            </w:pPr>
            <w:r w:rsidRPr="0012042A">
              <w:rPr>
                <w:color w:val="auto"/>
              </w:rPr>
              <w:t xml:space="preserve">□ </w:t>
            </w:r>
            <w:r w:rsidR="005B787A" w:rsidRPr="0012042A">
              <w:rPr>
                <w:color w:val="auto"/>
              </w:rPr>
              <w:t xml:space="preserve">Private / other funding </w:t>
            </w:r>
          </w:p>
          <w:p w14:paraId="34926336" w14:textId="1A53173D" w:rsidR="005B787A" w:rsidRPr="0012042A" w:rsidRDefault="005B787A" w:rsidP="00524564">
            <w:pPr>
              <w:ind w:left="72" w:hanging="18"/>
              <w:rPr>
                <w:color w:val="auto"/>
              </w:rPr>
            </w:pPr>
          </w:p>
        </w:tc>
      </w:tr>
      <w:tr w:rsidR="005B787A" w:rsidRPr="0012042A" w14:paraId="1A884CE8" w14:textId="77777777" w:rsidTr="00E3661E">
        <w:tc>
          <w:tcPr>
            <w:tcW w:w="429" w:type="dxa"/>
          </w:tcPr>
          <w:p w14:paraId="453EA567" w14:textId="77777777" w:rsidR="005B787A" w:rsidRPr="0012042A" w:rsidRDefault="005B787A" w:rsidP="00524564">
            <w:pPr>
              <w:numPr>
                <w:ilvl w:val="0"/>
                <w:numId w:val="1"/>
              </w:numPr>
              <w:ind w:hanging="360"/>
              <w:contextualSpacing/>
              <w:rPr>
                <w:color w:val="auto"/>
              </w:rPr>
            </w:pPr>
          </w:p>
        </w:tc>
        <w:tc>
          <w:tcPr>
            <w:tcW w:w="3459" w:type="dxa"/>
          </w:tcPr>
          <w:p w14:paraId="0F5C26EE" w14:textId="77777777" w:rsidR="005B787A" w:rsidRPr="0012042A" w:rsidRDefault="005B787A" w:rsidP="00524564">
            <w:pPr>
              <w:ind w:left="0"/>
              <w:rPr>
                <w:color w:val="auto"/>
              </w:rPr>
            </w:pPr>
            <w:r w:rsidRPr="0012042A">
              <w:rPr>
                <w:color w:val="auto"/>
              </w:rPr>
              <w:t>Cost Sharing or Matching Requirement:</w:t>
            </w:r>
          </w:p>
        </w:tc>
        <w:tc>
          <w:tcPr>
            <w:tcW w:w="5685" w:type="dxa"/>
            <w:shd w:val="clear" w:color="auto" w:fill="auto"/>
          </w:tcPr>
          <w:p w14:paraId="5119FBEE" w14:textId="142C49C9" w:rsidR="005B787A" w:rsidRPr="0012042A" w:rsidRDefault="00744761" w:rsidP="00524564">
            <w:pPr>
              <w:ind w:left="0"/>
              <w:rPr>
                <w:color w:val="auto"/>
              </w:rPr>
            </w:pPr>
            <w:r w:rsidRPr="0012042A">
              <w:rPr>
                <w:color w:val="auto"/>
              </w:rPr>
              <w:t xml:space="preserve">□ </w:t>
            </w:r>
            <w:r w:rsidR="005B787A" w:rsidRPr="0012042A">
              <w:rPr>
                <w:color w:val="auto"/>
              </w:rPr>
              <w:t xml:space="preserve">Yes    </w:t>
            </w:r>
            <w:r w:rsidR="00955022" w:rsidRPr="0012042A">
              <w:rPr>
                <w:color w:val="auto"/>
              </w:rPr>
              <w:t>X</w:t>
            </w:r>
            <w:r w:rsidRPr="0012042A">
              <w:rPr>
                <w:color w:val="auto"/>
              </w:rPr>
              <w:t xml:space="preserve"> </w:t>
            </w:r>
            <w:r w:rsidR="005B787A" w:rsidRPr="0012042A">
              <w:rPr>
                <w:color w:val="auto"/>
              </w:rPr>
              <w:t xml:space="preserve">No   </w:t>
            </w:r>
          </w:p>
          <w:p w14:paraId="5D4E2903" w14:textId="511D7EA7" w:rsidR="00744761" w:rsidRPr="0012042A" w:rsidRDefault="00744761" w:rsidP="00524564">
            <w:pPr>
              <w:ind w:left="0"/>
              <w:rPr>
                <w:color w:val="auto"/>
              </w:rPr>
            </w:pPr>
          </w:p>
        </w:tc>
      </w:tr>
      <w:tr w:rsidR="005B787A" w:rsidRPr="0012042A" w14:paraId="719357AB" w14:textId="77777777" w:rsidTr="00E3661E">
        <w:tc>
          <w:tcPr>
            <w:tcW w:w="429" w:type="dxa"/>
          </w:tcPr>
          <w:p w14:paraId="79FB1A92" w14:textId="77777777" w:rsidR="005B787A" w:rsidRPr="0012042A" w:rsidRDefault="005B787A" w:rsidP="00524564">
            <w:pPr>
              <w:numPr>
                <w:ilvl w:val="0"/>
                <w:numId w:val="1"/>
              </w:numPr>
              <w:ind w:hanging="360"/>
              <w:contextualSpacing/>
              <w:rPr>
                <w:color w:val="auto"/>
              </w:rPr>
            </w:pPr>
          </w:p>
        </w:tc>
        <w:tc>
          <w:tcPr>
            <w:tcW w:w="3459" w:type="dxa"/>
          </w:tcPr>
          <w:p w14:paraId="31375F62" w14:textId="77777777" w:rsidR="005B787A" w:rsidRPr="0012042A" w:rsidRDefault="005B787A" w:rsidP="00524564">
            <w:pPr>
              <w:ind w:left="0"/>
              <w:rPr>
                <w:color w:val="auto"/>
              </w:rPr>
            </w:pPr>
            <w:r w:rsidRPr="0012042A">
              <w:rPr>
                <w:color w:val="auto"/>
              </w:rPr>
              <w:t>Indirect Costs Allowed</w:t>
            </w:r>
          </w:p>
          <w:p w14:paraId="3452EE52" w14:textId="77777777" w:rsidR="005B787A" w:rsidRPr="0012042A" w:rsidRDefault="005B787A" w:rsidP="00524564">
            <w:pPr>
              <w:rPr>
                <w:color w:val="auto"/>
              </w:rPr>
            </w:pPr>
          </w:p>
          <w:p w14:paraId="6C8D90B6" w14:textId="77777777" w:rsidR="005B787A" w:rsidRPr="0012042A" w:rsidRDefault="005B787A" w:rsidP="00524564">
            <w:pPr>
              <w:ind w:left="0"/>
              <w:rPr>
                <w:color w:val="auto"/>
              </w:rPr>
            </w:pPr>
            <w:r w:rsidRPr="0012042A">
              <w:rPr>
                <w:color w:val="auto"/>
              </w:rPr>
              <w:t>Restrictions on Indirect Costs</w:t>
            </w:r>
          </w:p>
          <w:p w14:paraId="0DF5768E" w14:textId="77777777" w:rsidR="005B787A" w:rsidRPr="0012042A" w:rsidRDefault="005B787A" w:rsidP="00524564">
            <w:pPr>
              <w:rPr>
                <w:color w:val="auto"/>
              </w:rPr>
            </w:pPr>
          </w:p>
        </w:tc>
        <w:tc>
          <w:tcPr>
            <w:tcW w:w="5685" w:type="dxa"/>
            <w:shd w:val="clear" w:color="auto" w:fill="auto"/>
          </w:tcPr>
          <w:p w14:paraId="1CD1D05F" w14:textId="410E2656" w:rsidR="005B787A" w:rsidRPr="0012042A" w:rsidRDefault="00B11065" w:rsidP="00524564">
            <w:pPr>
              <w:ind w:left="0"/>
              <w:rPr>
                <w:color w:val="auto"/>
              </w:rPr>
            </w:pPr>
            <w:r w:rsidRPr="0012042A">
              <w:rPr>
                <w:color w:val="auto"/>
              </w:rPr>
              <w:t xml:space="preserve"> X</w:t>
            </w:r>
            <w:r w:rsidR="00744761" w:rsidRPr="0012042A">
              <w:rPr>
                <w:color w:val="auto"/>
              </w:rPr>
              <w:t xml:space="preserve"> </w:t>
            </w:r>
            <w:r w:rsidR="005B787A" w:rsidRPr="0012042A">
              <w:rPr>
                <w:color w:val="auto"/>
              </w:rPr>
              <w:t xml:space="preserve">Yes   </w:t>
            </w:r>
            <w:r w:rsidR="00744761" w:rsidRPr="0012042A">
              <w:rPr>
                <w:color w:val="auto"/>
              </w:rPr>
              <w:t xml:space="preserve">□ </w:t>
            </w:r>
            <w:r w:rsidR="005B787A" w:rsidRPr="0012042A">
              <w:rPr>
                <w:color w:val="auto"/>
              </w:rPr>
              <w:t xml:space="preserve">No   </w:t>
            </w:r>
          </w:p>
          <w:p w14:paraId="38339B7D" w14:textId="77777777" w:rsidR="005B787A" w:rsidRPr="0012042A" w:rsidRDefault="005B787A" w:rsidP="00524564">
            <w:pPr>
              <w:rPr>
                <w:color w:val="auto"/>
              </w:rPr>
            </w:pPr>
          </w:p>
          <w:p w14:paraId="2EE0CF1F" w14:textId="56E178B9" w:rsidR="005B787A" w:rsidRPr="0012042A" w:rsidRDefault="00744761" w:rsidP="00524564">
            <w:pPr>
              <w:ind w:left="0"/>
              <w:rPr>
                <w:color w:val="auto"/>
              </w:rPr>
            </w:pPr>
            <w:r w:rsidRPr="0012042A">
              <w:rPr>
                <w:color w:val="auto"/>
              </w:rPr>
              <w:t xml:space="preserve">□ </w:t>
            </w:r>
            <w:r w:rsidR="005B787A" w:rsidRPr="0012042A">
              <w:rPr>
                <w:color w:val="auto"/>
              </w:rPr>
              <w:t xml:space="preserve">Yes    </w:t>
            </w:r>
            <w:r w:rsidR="00B11065" w:rsidRPr="0012042A">
              <w:rPr>
                <w:color w:val="auto"/>
              </w:rPr>
              <w:t>X</w:t>
            </w:r>
            <w:r w:rsidRPr="0012042A">
              <w:rPr>
                <w:color w:val="auto"/>
              </w:rPr>
              <w:t xml:space="preserve"> </w:t>
            </w:r>
            <w:r w:rsidR="005B787A" w:rsidRPr="0012042A">
              <w:rPr>
                <w:color w:val="auto"/>
              </w:rPr>
              <w:t xml:space="preserve">No   </w:t>
            </w:r>
          </w:p>
          <w:p w14:paraId="3F1A5DF5" w14:textId="5F4E2262" w:rsidR="005B787A" w:rsidRPr="0012042A" w:rsidRDefault="00D27608" w:rsidP="00524564">
            <w:pPr>
              <w:ind w:left="0"/>
              <w:rPr>
                <w:color w:val="auto"/>
              </w:rPr>
            </w:pPr>
            <w:r w:rsidRPr="0012042A">
              <w:rPr>
                <w:color w:val="auto"/>
              </w:rPr>
              <w:t xml:space="preserve"> </w:t>
            </w:r>
          </w:p>
        </w:tc>
      </w:tr>
      <w:tr w:rsidR="005B787A" w:rsidRPr="0012042A" w14:paraId="1EB6ED26" w14:textId="77777777" w:rsidTr="00E3661E">
        <w:tc>
          <w:tcPr>
            <w:tcW w:w="429" w:type="dxa"/>
          </w:tcPr>
          <w:p w14:paraId="3C97345B" w14:textId="77777777" w:rsidR="005B787A" w:rsidRPr="0012042A" w:rsidRDefault="005B787A" w:rsidP="00524564">
            <w:pPr>
              <w:numPr>
                <w:ilvl w:val="0"/>
                <w:numId w:val="1"/>
              </w:numPr>
              <w:ind w:hanging="360"/>
              <w:contextualSpacing/>
              <w:rPr>
                <w:color w:val="auto"/>
              </w:rPr>
            </w:pPr>
          </w:p>
        </w:tc>
        <w:tc>
          <w:tcPr>
            <w:tcW w:w="3459" w:type="dxa"/>
          </w:tcPr>
          <w:p w14:paraId="0FC05D01" w14:textId="77777777" w:rsidR="005B787A" w:rsidRPr="0012042A" w:rsidRDefault="005B787A" w:rsidP="00524564">
            <w:pPr>
              <w:ind w:left="0"/>
              <w:rPr>
                <w:color w:val="auto"/>
              </w:rPr>
            </w:pPr>
            <w:r w:rsidRPr="0012042A">
              <w:rPr>
                <w:color w:val="auto"/>
              </w:rPr>
              <w:t xml:space="preserve">Posted Date: </w:t>
            </w:r>
            <w:r w:rsidRPr="0012042A">
              <w:rPr>
                <w:color w:val="auto"/>
              </w:rPr>
              <w:tab/>
            </w:r>
          </w:p>
        </w:tc>
        <w:tc>
          <w:tcPr>
            <w:tcW w:w="5685" w:type="dxa"/>
            <w:shd w:val="clear" w:color="auto" w:fill="auto"/>
          </w:tcPr>
          <w:p w14:paraId="61BCAFF3" w14:textId="3657DD3E" w:rsidR="005B787A" w:rsidRPr="00E3661E" w:rsidRDefault="00E3661E" w:rsidP="00524564">
            <w:pPr>
              <w:ind w:left="0"/>
              <w:rPr>
                <w:color w:val="auto"/>
              </w:rPr>
            </w:pPr>
            <w:r w:rsidRPr="00E3661E">
              <w:rPr>
                <w:color w:val="auto"/>
              </w:rPr>
              <w:t>April 11</w:t>
            </w:r>
            <w:r w:rsidR="00DF1D2F" w:rsidRPr="00E3661E">
              <w:rPr>
                <w:color w:val="auto"/>
              </w:rPr>
              <w:t>, 2019</w:t>
            </w:r>
          </w:p>
        </w:tc>
      </w:tr>
      <w:tr w:rsidR="00A0400E" w:rsidRPr="0012042A" w14:paraId="64477ED6" w14:textId="77777777" w:rsidTr="00E3661E">
        <w:tc>
          <w:tcPr>
            <w:tcW w:w="429" w:type="dxa"/>
          </w:tcPr>
          <w:p w14:paraId="4B1D36E3" w14:textId="77777777" w:rsidR="00A0400E" w:rsidRPr="0012042A" w:rsidRDefault="00A0400E" w:rsidP="00524564">
            <w:pPr>
              <w:numPr>
                <w:ilvl w:val="0"/>
                <w:numId w:val="1"/>
              </w:numPr>
              <w:ind w:hanging="360"/>
              <w:contextualSpacing/>
              <w:rPr>
                <w:color w:val="auto"/>
              </w:rPr>
            </w:pPr>
          </w:p>
        </w:tc>
        <w:tc>
          <w:tcPr>
            <w:tcW w:w="3459" w:type="dxa"/>
          </w:tcPr>
          <w:p w14:paraId="3ACF7034" w14:textId="214D1F31" w:rsidR="00A0400E" w:rsidRPr="0012042A" w:rsidRDefault="00A0400E" w:rsidP="00524564">
            <w:pPr>
              <w:ind w:left="0"/>
              <w:rPr>
                <w:color w:val="auto"/>
              </w:rPr>
            </w:pPr>
            <w:r w:rsidRPr="0012042A">
              <w:rPr>
                <w:color w:val="auto"/>
              </w:rPr>
              <w:t>Application Range:</w:t>
            </w:r>
          </w:p>
        </w:tc>
        <w:tc>
          <w:tcPr>
            <w:tcW w:w="5685" w:type="dxa"/>
            <w:shd w:val="clear" w:color="auto" w:fill="auto"/>
          </w:tcPr>
          <w:p w14:paraId="431052DB" w14:textId="56BD5376" w:rsidR="00A0400E" w:rsidRPr="00E3661E" w:rsidRDefault="00DF1D2F" w:rsidP="00524564">
            <w:pPr>
              <w:ind w:left="0"/>
              <w:rPr>
                <w:color w:val="auto"/>
              </w:rPr>
            </w:pPr>
            <w:r w:rsidRPr="00E3661E">
              <w:rPr>
                <w:color w:val="auto"/>
              </w:rPr>
              <w:t>April 1</w:t>
            </w:r>
            <w:r w:rsidR="00E3661E" w:rsidRPr="00E3661E">
              <w:rPr>
                <w:color w:val="auto"/>
              </w:rPr>
              <w:t>1</w:t>
            </w:r>
            <w:r w:rsidRPr="00E3661E">
              <w:rPr>
                <w:color w:val="auto"/>
              </w:rPr>
              <w:t>,</w:t>
            </w:r>
            <w:r w:rsidR="00E30203" w:rsidRPr="00E3661E">
              <w:rPr>
                <w:color w:val="auto"/>
              </w:rPr>
              <w:t xml:space="preserve"> </w:t>
            </w:r>
            <w:r w:rsidRPr="00E3661E">
              <w:rPr>
                <w:color w:val="auto"/>
              </w:rPr>
              <w:t xml:space="preserve">2019 – May </w:t>
            </w:r>
            <w:r w:rsidR="007B38D9">
              <w:rPr>
                <w:color w:val="auto"/>
              </w:rPr>
              <w:t>13</w:t>
            </w:r>
            <w:r w:rsidRPr="00E3661E">
              <w:rPr>
                <w:color w:val="auto"/>
              </w:rPr>
              <w:t>, 2019</w:t>
            </w:r>
          </w:p>
        </w:tc>
      </w:tr>
      <w:tr w:rsidR="00A0400E" w:rsidRPr="0012042A" w14:paraId="32D11888" w14:textId="77777777" w:rsidTr="00E3661E">
        <w:tc>
          <w:tcPr>
            <w:tcW w:w="429" w:type="dxa"/>
          </w:tcPr>
          <w:p w14:paraId="0C6FFA46" w14:textId="77777777" w:rsidR="00A0400E" w:rsidRPr="0012042A" w:rsidRDefault="00A0400E" w:rsidP="00524564">
            <w:pPr>
              <w:numPr>
                <w:ilvl w:val="0"/>
                <w:numId w:val="1"/>
              </w:numPr>
              <w:ind w:hanging="360"/>
              <w:contextualSpacing/>
              <w:rPr>
                <w:color w:val="auto"/>
              </w:rPr>
            </w:pPr>
          </w:p>
        </w:tc>
        <w:tc>
          <w:tcPr>
            <w:tcW w:w="3459" w:type="dxa"/>
          </w:tcPr>
          <w:p w14:paraId="3EE11796" w14:textId="77777777" w:rsidR="00A0400E" w:rsidRPr="0012042A" w:rsidRDefault="00A0400E" w:rsidP="00524564">
            <w:pPr>
              <w:ind w:left="0"/>
              <w:rPr>
                <w:color w:val="auto"/>
              </w:rPr>
            </w:pPr>
            <w:r w:rsidRPr="005E5D9B">
              <w:rPr>
                <w:color w:val="auto"/>
              </w:rPr>
              <w:t>Technical Assistance Session</w:t>
            </w:r>
            <w:r w:rsidRPr="0012042A">
              <w:rPr>
                <w:color w:val="auto"/>
              </w:rPr>
              <w:t>:</w:t>
            </w:r>
          </w:p>
        </w:tc>
        <w:tc>
          <w:tcPr>
            <w:tcW w:w="5685" w:type="dxa"/>
            <w:shd w:val="clear" w:color="auto" w:fill="auto"/>
          </w:tcPr>
          <w:p w14:paraId="5C52AC42" w14:textId="42C105D5" w:rsidR="00A0400E" w:rsidRPr="00E3661E" w:rsidRDefault="00A0400E" w:rsidP="00524564">
            <w:pPr>
              <w:ind w:left="0"/>
              <w:rPr>
                <w:color w:val="auto"/>
              </w:rPr>
            </w:pPr>
            <w:r w:rsidRPr="00E3661E">
              <w:rPr>
                <w:color w:val="auto"/>
              </w:rPr>
              <w:t xml:space="preserve">Session Offered:  </w:t>
            </w:r>
            <w:r w:rsidR="003E7903" w:rsidRPr="00E3661E">
              <w:rPr>
                <w:color w:val="auto"/>
              </w:rPr>
              <w:t>□</w:t>
            </w:r>
            <w:r w:rsidRPr="00E3661E">
              <w:rPr>
                <w:color w:val="auto"/>
              </w:rPr>
              <w:t xml:space="preserve">Yes    </w:t>
            </w:r>
            <w:proofErr w:type="gramStart"/>
            <w:r w:rsidR="003E7903" w:rsidRPr="00E3661E">
              <w:rPr>
                <w:color w:val="auto"/>
              </w:rPr>
              <w:t>X</w:t>
            </w:r>
            <w:r w:rsidR="00744761" w:rsidRPr="00E3661E">
              <w:rPr>
                <w:color w:val="auto"/>
              </w:rPr>
              <w:t xml:space="preserve"> </w:t>
            </w:r>
            <w:r w:rsidRPr="00E3661E">
              <w:rPr>
                <w:rFonts w:ascii="Calibri" w:hAnsi="Calibri"/>
                <w:color w:val="auto"/>
                <w:sz w:val="18"/>
                <w:szCs w:val="18"/>
              </w:rPr>
              <w:t xml:space="preserve"> </w:t>
            </w:r>
            <w:r w:rsidRPr="00E3661E">
              <w:rPr>
                <w:color w:val="auto"/>
              </w:rPr>
              <w:t>No</w:t>
            </w:r>
            <w:proofErr w:type="gramEnd"/>
            <w:r w:rsidRPr="00E3661E">
              <w:rPr>
                <w:color w:val="auto"/>
              </w:rPr>
              <w:t xml:space="preserve">   </w:t>
            </w:r>
          </w:p>
          <w:p w14:paraId="6AA746DA" w14:textId="77777777" w:rsidR="00A0400E" w:rsidRPr="00E3661E" w:rsidRDefault="00A0400E" w:rsidP="00524564">
            <w:pPr>
              <w:rPr>
                <w:color w:val="auto"/>
              </w:rPr>
            </w:pPr>
          </w:p>
          <w:p w14:paraId="349B37F3" w14:textId="1E701BF0" w:rsidR="003E7903" w:rsidRPr="00E3661E" w:rsidRDefault="00A0400E" w:rsidP="003E7903">
            <w:pPr>
              <w:ind w:left="0"/>
              <w:rPr>
                <w:color w:val="auto"/>
              </w:rPr>
            </w:pPr>
            <w:r w:rsidRPr="00E3661E">
              <w:rPr>
                <w:color w:val="auto"/>
              </w:rPr>
              <w:t xml:space="preserve">Session Mandatory:  </w:t>
            </w:r>
            <w:r w:rsidR="00744761" w:rsidRPr="00E3661E">
              <w:rPr>
                <w:color w:val="auto"/>
              </w:rPr>
              <w:t xml:space="preserve">□ </w:t>
            </w:r>
            <w:proofErr w:type="gramStart"/>
            <w:r w:rsidRPr="00E3661E">
              <w:rPr>
                <w:color w:val="auto"/>
              </w:rPr>
              <w:t xml:space="preserve">Yes  </w:t>
            </w:r>
            <w:r w:rsidR="008A1322" w:rsidRPr="00E3661E">
              <w:rPr>
                <w:color w:val="auto"/>
              </w:rPr>
              <w:t>X</w:t>
            </w:r>
            <w:proofErr w:type="gramEnd"/>
            <w:r w:rsidR="00744761" w:rsidRPr="00E3661E">
              <w:rPr>
                <w:color w:val="auto"/>
              </w:rPr>
              <w:t xml:space="preserve"> </w:t>
            </w:r>
            <w:r w:rsidRPr="00E3661E">
              <w:rPr>
                <w:rFonts w:ascii="Calibri" w:hAnsi="Calibri"/>
                <w:color w:val="auto"/>
                <w:sz w:val="18"/>
                <w:szCs w:val="18"/>
              </w:rPr>
              <w:t xml:space="preserve"> </w:t>
            </w:r>
            <w:r w:rsidR="003E7903" w:rsidRPr="00E3661E">
              <w:rPr>
                <w:color w:val="auto"/>
              </w:rPr>
              <w:t>No</w:t>
            </w:r>
          </w:p>
          <w:p w14:paraId="7B317136" w14:textId="14CA471A" w:rsidR="00A0400E" w:rsidRPr="00E3661E" w:rsidRDefault="00A0400E" w:rsidP="00524564">
            <w:pPr>
              <w:ind w:left="0"/>
              <w:contextualSpacing/>
              <w:rPr>
                <w:color w:val="auto"/>
              </w:rPr>
            </w:pPr>
          </w:p>
        </w:tc>
      </w:tr>
    </w:tbl>
    <w:p w14:paraId="30EAED9E" w14:textId="77777777" w:rsidR="005E5D9B" w:rsidRDefault="005E5D9B" w:rsidP="00524564">
      <w:pPr>
        <w:ind w:left="0"/>
        <w:jc w:val="center"/>
        <w:rPr>
          <w:b/>
          <w:color w:val="auto"/>
          <w:sz w:val="28"/>
          <w:szCs w:val="28"/>
        </w:rPr>
      </w:pPr>
    </w:p>
    <w:p w14:paraId="0D932FB3" w14:textId="77777777" w:rsidR="005E5D9B" w:rsidRDefault="005E5D9B">
      <w:pPr>
        <w:rPr>
          <w:b/>
          <w:color w:val="auto"/>
          <w:sz w:val="28"/>
          <w:szCs w:val="28"/>
        </w:rPr>
      </w:pPr>
      <w:r>
        <w:rPr>
          <w:b/>
          <w:color w:val="auto"/>
          <w:sz w:val="28"/>
          <w:szCs w:val="28"/>
        </w:rPr>
        <w:br w:type="page"/>
      </w:r>
    </w:p>
    <w:p w14:paraId="552BC607" w14:textId="4DDA57F8" w:rsidR="00EF183E" w:rsidRPr="0012042A" w:rsidRDefault="00EF183E" w:rsidP="00524564">
      <w:pPr>
        <w:rPr>
          <w:b/>
          <w:color w:val="auto"/>
          <w:sz w:val="28"/>
          <w:szCs w:val="28"/>
        </w:rPr>
      </w:pPr>
    </w:p>
    <w:p w14:paraId="33A6606F" w14:textId="2B09A13F" w:rsidR="00EF183E" w:rsidRPr="0012042A" w:rsidRDefault="00B509F2" w:rsidP="00524564">
      <w:pPr>
        <w:ind w:left="0"/>
        <w:jc w:val="center"/>
        <w:rPr>
          <w:b/>
          <w:color w:val="auto"/>
          <w:sz w:val="28"/>
          <w:szCs w:val="28"/>
        </w:rPr>
      </w:pPr>
      <w:r w:rsidRPr="0012042A">
        <w:rPr>
          <w:b/>
          <w:color w:val="auto"/>
          <w:sz w:val="28"/>
          <w:szCs w:val="28"/>
        </w:rPr>
        <w:t xml:space="preserve">Notice of Funding Opportunity </w:t>
      </w:r>
    </w:p>
    <w:p w14:paraId="431DA51C" w14:textId="73DD284D" w:rsidR="00B509F2" w:rsidRPr="0012042A" w:rsidRDefault="00084170" w:rsidP="00524564">
      <w:pPr>
        <w:ind w:left="0"/>
        <w:jc w:val="center"/>
        <w:rPr>
          <w:color w:val="auto"/>
        </w:rPr>
      </w:pPr>
      <w:r w:rsidRPr="0012042A">
        <w:rPr>
          <w:color w:val="auto"/>
        </w:rPr>
        <w:t>SAFE FROM THE START</w:t>
      </w:r>
    </w:p>
    <w:p w14:paraId="4F68A78C" w14:textId="77777777" w:rsidR="00A0400E" w:rsidRPr="0012042A" w:rsidRDefault="00A0400E" w:rsidP="00524564">
      <w:pPr>
        <w:pStyle w:val="ListParagraph"/>
        <w:ind w:left="0"/>
        <w:rPr>
          <w:b/>
          <w:color w:val="auto"/>
          <w:sz w:val="28"/>
          <w:szCs w:val="28"/>
        </w:rPr>
      </w:pPr>
    </w:p>
    <w:p w14:paraId="11CE8990" w14:textId="0EF3C2C2" w:rsidR="00F808E9" w:rsidRPr="0012042A" w:rsidRDefault="006D2857" w:rsidP="00524564">
      <w:pPr>
        <w:pStyle w:val="ListParagraph"/>
        <w:numPr>
          <w:ilvl w:val="0"/>
          <w:numId w:val="9"/>
        </w:numPr>
        <w:ind w:left="360"/>
        <w:rPr>
          <w:color w:val="auto"/>
          <w:sz w:val="28"/>
          <w:szCs w:val="28"/>
        </w:rPr>
      </w:pPr>
      <w:r w:rsidRPr="0012042A">
        <w:rPr>
          <w:b/>
          <w:color w:val="auto"/>
          <w:sz w:val="28"/>
          <w:szCs w:val="28"/>
        </w:rPr>
        <w:t>Program Description</w:t>
      </w:r>
    </w:p>
    <w:p w14:paraId="11B9DB2A" w14:textId="686BA635" w:rsidR="00414C97" w:rsidRPr="0012042A" w:rsidRDefault="00414C97" w:rsidP="00524564">
      <w:pPr>
        <w:ind w:left="0"/>
        <w:rPr>
          <w:color w:val="auto"/>
          <w:sz w:val="28"/>
          <w:szCs w:val="28"/>
        </w:rPr>
      </w:pPr>
    </w:p>
    <w:p w14:paraId="59451B5C" w14:textId="2DC30CF0" w:rsidR="002977C6" w:rsidRPr="0012042A" w:rsidRDefault="002977C6" w:rsidP="00524564">
      <w:pPr>
        <w:pStyle w:val="Default"/>
        <w:rPr>
          <w:rFonts w:ascii="Times New Roman" w:hAnsi="Times New Roman" w:cs="Times New Roman"/>
          <w:color w:val="auto"/>
        </w:rPr>
      </w:pPr>
      <w:r w:rsidRPr="0012042A">
        <w:rPr>
          <w:rFonts w:ascii="Times New Roman" w:hAnsi="Times New Roman" w:cs="Times New Roman"/>
          <w:color w:val="auto"/>
        </w:rPr>
        <w:t xml:space="preserve">The Illinois Criminal Justice Information Authority (ICJIA) is a state agency dedicated to improving the administration of criminal </w:t>
      </w:r>
      <w:r w:rsidRPr="00182423">
        <w:rPr>
          <w:rFonts w:ascii="Times New Roman" w:hAnsi="Times New Roman" w:cs="Times New Roman"/>
          <w:color w:val="auto"/>
        </w:rPr>
        <w:t>justice</w:t>
      </w:r>
      <w:r w:rsidR="003062DD" w:rsidRPr="00182423">
        <w:rPr>
          <w:rFonts w:ascii="Times New Roman" w:hAnsi="Times New Roman" w:cs="Times New Roman"/>
          <w:color w:val="auto"/>
        </w:rPr>
        <w:t xml:space="preserve"> and violence prevention</w:t>
      </w:r>
      <w:r w:rsidRPr="00182423">
        <w:rPr>
          <w:rFonts w:ascii="Times New Roman" w:hAnsi="Times New Roman" w:cs="Times New Roman"/>
          <w:color w:val="auto"/>
        </w:rPr>
        <w:t>. ICJIA brings</w:t>
      </w:r>
      <w:r w:rsidRPr="0012042A">
        <w:rPr>
          <w:rFonts w:ascii="Times New Roman" w:hAnsi="Times New Roman" w:cs="Times New Roman"/>
          <w:color w:val="auto"/>
        </w:rPr>
        <w:t xml:space="preserve"> together key leaders from the justice system and the public to identify critical issues facing the criminal justice system in Illinois, and to propose and evaluate policies, programs, and legislation that address those issues. The statutory responsibilities of ICJIA fit into four areas: grants administration; research and analysis; policy and planning; and information systems and technology.</w:t>
      </w:r>
    </w:p>
    <w:p w14:paraId="6EF6D174" w14:textId="3942246E" w:rsidR="00F501B0" w:rsidRPr="0012042A" w:rsidRDefault="00F501B0" w:rsidP="00524564">
      <w:pPr>
        <w:ind w:left="0"/>
        <w:rPr>
          <w:color w:val="auto"/>
        </w:rPr>
      </w:pPr>
    </w:p>
    <w:p w14:paraId="6C208B70" w14:textId="3009D158" w:rsidR="004B4A3F" w:rsidRPr="0012042A" w:rsidRDefault="004B4A3F" w:rsidP="00524564">
      <w:pPr>
        <w:ind w:left="0"/>
        <w:rPr>
          <w:color w:val="auto"/>
        </w:rPr>
      </w:pPr>
      <w:bookmarkStart w:id="1" w:name="_Hlk534786745"/>
      <w:r w:rsidRPr="0012042A">
        <w:rPr>
          <w:color w:val="auto"/>
        </w:rPr>
        <w:t>Section 7 of the</w:t>
      </w:r>
      <w:r w:rsidR="003B6E3A" w:rsidRPr="0012042A">
        <w:rPr>
          <w:color w:val="auto"/>
        </w:rPr>
        <w:t xml:space="preserve"> Illinois Cr</w:t>
      </w:r>
      <w:r w:rsidRPr="0012042A">
        <w:rPr>
          <w:color w:val="auto"/>
        </w:rPr>
        <w:t>iminal Justice Information Act grants ICJIA authority “to apply for, receive, establish priorities for, allocate, disburse, and spend grants of funds that are made available by and received on or after January 1, 1983 from private sources or from the United States pursuant to the federal Crime Control Act of 1973, as amended, and similar federal legislation, and to enter into agreements with the United States government to further the purposes of this Act, or as may be required as a condition of obtaining federal funds” and “to receive, expend, and account for such funds of the State of Illinois as may be made available to further the purposes of this Act.</w:t>
      </w:r>
      <w:r w:rsidR="00BE6F26" w:rsidRPr="0012042A">
        <w:rPr>
          <w:color w:val="auto"/>
        </w:rPr>
        <w:t>”</w:t>
      </w:r>
      <w:r w:rsidR="00CD4DA5" w:rsidRPr="0012042A">
        <w:rPr>
          <w:color w:val="auto"/>
        </w:rPr>
        <w:t xml:space="preserve"> (20 ILCS 3930/7(k), (l</w:t>
      </w:r>
      <w:r w:rsidRPr="0012042A">
        <w:rPr>
          <w:color w:val="auto"/>
        </w:rPr>
        <w:t>))</w:t>
      </w:r>
      <w:bookmarkEnd w:id="1"/>
    </w:p>
    <w:p w14:paraId="6401EFE8" w14:textId="55BEF41C" w:rsidR="00F501B0" w:rsidRPr="0012042A" w:rsidRDefault="00F501B0" w:rsidP="00524564">
      <w:pPr>
        <w:ind w:left="0"/>
        <w:rPr>
          <w:color w:val="auto"/>
        </w:rPr>
      </w:pPr>
      <w:r w:rsidRPr="0012042A">
        <w:rPr>
          <w:color w:val="auto"/>
        </w:rPr>
        <w:t>ICJIA must comply with all applicable provisions of state and federal laws and regulations pertaining to nondiscrimination, sexual harassment and equal employment opportunity, including, but not limited to: The Illinois Human Rights Act (775 ILCS 5/1-101 et seq.), The Public Works Employment Discrimination Act (775 ILCS 10/1 et seq</w:t>
      </w:r>
      <w:r w:rsidR="00F316D0" w:rsidRPr="0012042A">
        <w:rPr>
          <w:color w:val="auto"/>
        </w:rPr>
        <w:t>.</w:t>
      </w:r>
      <w:r w:rsidRPr="0012042A">
        <w:rPr>
          <w:color w:val="auto"/>
        </w:rPr>
        <w:t>), The United States Civil Rights Act of 1964 ( as amended) (42 USC 2000a-and 2000H-6), Section 504 of the Rehabilitation Act of 1973 (29 USC 794), The Americans with Disabilities Act of 1990 (42 USC 12101 et seq.), and The Age Discrimination Act (42 USC 6101 et seq.).</w:t>
      </w:r>
    </w:p>
    <w:p w14:paraId="5FC403A5" w14:textId="77777777" w:rsidR="00FB3A74" w:rsidRPr="0012042A" w:rsidRDefault="00FB3A74" w:rsidP="00524564">
      <w:pPr>
        <w:ind w:left="0"/>
        <w:rPr>
          <w:color w:val="auto"/>
        </w:rPr>
      </w:pPr>
    </w:p>
    <w:p w14:paraId="54E76C88" w14:textId="1C01078F" w:rsidR="00CD3C31" w:rsidRPr="0012042A" w:rsidRDefault="00CD3C31" w:rsidP="00524564">
      <w:pPr>
        <w:ind w:left="0"/>
        <w:rPr>
          <w:color w:val="auto"/>
        </w:rPr>
      </w:pPr>
    </w:p>
    <w:p w14:paraId="119BA37F" w14:textId="6956936E" w:rsidR="00CD3C31" w:rsidRPr="0012042A" w:rsidRDefault="00CD3C31" w:rsidP="00524564">
      <w:pPr>
        <w:tabs>
          <w:tab w:val="center" w:pos="4680"/>
          <w:tab w:val="right" w:pos="9360"/>
        </w:tabs>
        <w:ind w:left="0"/>
        <w:rPr>
          <w:rFonts w:eastAsia="Calibri"/>
          <w:b/>
          <w:bCs/>
          <w:color w:val="auto"/>
        </w:rPr>
      </w:pPr>
      <w:r w:rsidRPr="0012042A">
        <w:rPr>
          <w:rFonts w:eastAsia="Calibri"/>
          <w:b/>
          <w:bCs/>
          <w:color w:val="auto"/>
        </w:rPr>
        <w:t xml:space="preserve">Safe </w:t>
      </w:r>
      <w:proofErr w:type="gramStart"/>
      <w:r w:rsidRPr="0012042A">
        <w:rPr>
          <w:rFonts w:eastAsia="Calibri"/>
          <w:b/>
          <w:bCs/>
          <w:color w:val="auto"/>
        </w:rPr>
        <w:t>From</w:t>
      </w:r>
      <w:proofErr w:type="gramEnd"/>
      <w:r w:rsidRPr="0012042A">
        <w:rPr>
          <w:rFonts w:eastAsia="Calibri"/>
          <w:b/>
          <w:bCs/>
          <w:color w:val="auto"/>
        </w:rPr>
        <w:t xml:space="preserve"> the Start Background  </w:t>
      </w:r>
    </w:p>
    <w:p w14:paraId="0427F501" w14:textId="6C847DAB" w:rsidR="00CD3C31" w:rsidRPr="0012042A" w:rsidRDefault="00CD3C31" w:rsidP="00524564">
      <w:pPr>
        <w:ind w:left="0"/>
        <w:rPr>
          <w:rFonts w:eastAsia="Calibri"/>
          <w:color w:val="auto"/>
        </w:rPr>
      </w:pPr>
      <w:r w:rsidRPr="0012042A">
        <w:rPr>
          <w:rFonts w:eastAsia="Calibri"/>
          <w:color w:val="auto"/>
        </w:rPr>
        <w:t xml:space="preserve">Childhood exposure to violence (CEV) is a pervasive and profoundly damaging epidemic in the United States. CEV includes a wide range of violence, including physical abuse, neglect, or maltreatment, and witnessing domestic violence, sexual assault, or other violent crimes.  It is estimated that between 3.3 and 10 million children are exposed to domestic violence annually (Family Violence Prevention Fund, 2006).  In 2008, the first ever national survey, National Children’s Exposure to Violence Survey, found that 60% of children and youth ages 0-17, were exposed to violence in the past year, either directly or indirectly (Department of Justice, 2009).  The U.S. Advisory Board on Child Abuse suggests that domestic violence may be the single major precursor to child abuse and neglect fatalities in this county (Family Violence Prevention Fund, 2006).  </w:t>
      </w:r>
    </w:p>
    <w:p w14:paraId="0845D7A8" w14:textId="77777777" w:rsidR="00CC2046" w:rsidRPr="0012042A" w:rsidRDefault="00CC2046" w:rsidP="00524564">
      <w:pPr>
        <w:ind w:left="0"/>
        <w:rPr>
          <w:rFonts w:eastAsia="Calibri"/>
          <w:color w:val="auto"/>
        </w:rPr>
      </w:pPr>
    </w:p>
    <w:p w14:paraId="0BEECB8F" w14:textId="3CDB20F1" w:rsidR="00CD3C31" w:rsidRPr="0012042A" w:rsidRDefault="00CD3C31" w:rsidP="00524564">
      <w:pPr>
        <w:ind w:left="0"/>
        <w:rPr>
          <w:rFonts w:eastAsia="Calibri"/>
          <w:color w:val="auto"/>
        </w:rPr>
      </w:pPr>
      <w:r w:rsidRPr="0012042A">
        <w:rPr>
          <w:rFonts w:eastAsia="Calibri"/>
          <w:color w:val="auto"/>
        </w:rPr>
        <w:t xml:space="preserve">The impact of the violence varies by child, age and degree of exposure but it does have a profound effect on children. Some of the negative effects may include developmental delays, eating and sleeping disturbances, cognitive difficulties, hyper-vigilance, anxiety, </w:t>
      </w:r>
      <w:r w:rsidRPr="0012042A">
        <w:rPr>
          <w:rFonts w:eastAsia="Calibri"/>
          <w:color w:val="auto"/>
        </w:rPr>
        <w:lastRenderedPageBreak/>
        <w:t>depression, attachment disorders, and aggression associated with lack of empathy and poor impulse control, and inappropriate modeling of abusive adult behavior.</w:t>
      </w:r>
    </w:p>
    <w:p w14:paraId="7887D54A" w14:textId="77777777" w:rsidR="002452B7" w:rsidRPr="0012042A" w:rsidRDefault="002452B7" w:rsidP="00524564">
      <w:pPr>
        <w:ind w:left="0"/>
        <w:rPr>
          <w:rFonts w:eastAsia="Calibri"/>
          <w:color w:val="auto"/>
        </w:rPr>
      </w:pPr>
    </w:p>
    <w:p w14:paraId="6BE9B4C1" w14:textId="763D666A" w:rsidR="006D5880" w:rsidRPr="0012042A" w:rsidRDefault="00CD3C31" w:rsidP="00524564">
      <w:pPr>
        <w:ind w:left="0"/>
        <w:rPr>
          <w:color w:val="auto"/>
        </w:rPr>
      </w:pPr>
      <w:r w:rsidRPr="0012042A">
        <w:rPr>
          <w:rFonts w:eastAsia="Calibri"/>
          <w:color w:val="auto"/>
        </w:rPr>
        <w:t>Without intervention, the child’s behaviors may become worse as he or she attempts to communicate that</w:t>
      </w:r>
      <w:r w:rsidR="00097635" w:rsidRPr="0012042A">
        <w:rPr>
          <w:rFonts w:eastAsia="Calibri"/>
          <w:color w:val="auto"/>
        </w:rPr>
        <w:t xml:space="preserve"> he or she does not feel safe. </w:t>
      </w:r>
      <w:r w:rsidRPr="0012042A">
        <w:rPr>
          <w:rFonts w:eastAsia="Calibri"/>
          <w:color w:val="auto"/>
        </w:rPr>
        <w:t>In addition, there are often attachment issues within families exposed to violence, as the primary care-giving adult, usually the mother, may be preocc</w:t>
      </w:r>
      <w:r w:rsidR="00097635" w:rsidRPr="0012042A">
        <w:rPr>
          <w:rFonts w:eastAsia="Calibri"/>
          <w:color w:val="auto"/>
        </w:rPr>
        <w:t xml:space="preserve">upied with an abusive partner. </w:t>
      </w:r>
      <w:r w:rsidRPr="0012042A">
        <w:rPr>
          <w:rFonts w:eastAsia="Calibri"/>
          <w:color w:val="auto"/>
        </w:rPr>
        <w:t>As these children develop they are often without the interpersonal skills and healthy coping strategies that allow them to succeed.  This can lead to exacerbated interpersonal problems and even mental and physical</w:t>
      </w:r>
      <w:r w:rsidR="00097635" w:rsidRPr="0012042A">
        <w:rPr>
          <w:rFonts w:eastAsia="Calibri"/>
          <w:color w:val="auto"/>
        </w:rPr>
        <w:t xml:space="preserve"> illnesses as the child grows. </w:t>
      </w:r>
      <w:r w:rsidRPr="0012042A">
        <w:rPr>
          <w:rFonts w:eastAsia="Calibri"/>
          <w:color w:val="auto"/>
        </w:rPr>
        <w:t>A groundbreaking study, the Adverse Childhood Experiences Study (ACES), demonstrated that childhood maltreatment or ACES can be correlated to later adult health problems and early death (</w:t>
      </w:r>
      <w:hyperlink r:id="rId8" w:history="1">
        <w:r w:rsidR="006D5880" w:rsidRPr="0012042A">
          <w:rPr>
            <w:rStyle w:val="Hyperlink"/>
            <w:color w:val="auto"/>
          </w:rPr>
          <w:t>https://www.cdc.gov/violenceprevention/childabuseandneglect/acestudy/index.html</w:t>
        </w:r>
      </w:hyperlink>
      <w:r w:rsidR="006D5880" w:rsidRPr="0012042A">
        <w:rPr>
          <w:color w:val="auto"/>
        </w:rPr>
        <w:t>)</w:t>
      </w:r>
      <w:r w:rsidR="00CA65B5" w:rsidRPr="0012042A">
        <w:rPr>
          <w:color w:val="auto"/>
        </w:rPr>
        <w:t>.</w:t>
      </w:r>
    </w:p>
    <w:p w14:paraId="253BB8FD" w14:textId="63EAFAEF" w:rsidR="00CD3C31" w:rsidRPr="0012042A" w:rsidRDefault="00CD3C31" w:rsidP="00524564">
      <w:pPr>
        <w:ind w:left="0"/>
        <w:rPr>
          <w:rFonts w:eastAsia="Calibri"/>
          <w:color w:val="auto"/>
        </w:rPr>
      </w:pPr>
      <w:r w:rsidRPr="0012042A">
        <w:rPr>
          <w:rFonts w:eastAsia="Calibri"/>
          <w:color w:val="auto"/>
        </w:rPr>
        <w:t>The hopeful news is that many children are resilient and can continue to have healthy lives despi</w:t>
      </w:r>
      <w:r w:rsidR="00097635" w:rsidRPr="0012042A">
        <w:rPr>
          <w:rFonts w:eastAsia="Calibri"/>
          <w:color w:val="auto"/>
        </w:rPr>
        <w:t xml:space="preserve">te the exposure. </w:t>
      </w:r>
      <w:r w:rsidRPr="0012042A">
        <w:rPr>
          <w:rFonts w:eastAsia="Calibri"/>
          <w:color w:val="auto"/>
        </w:rPr>
        <w:t xml:space="preserve">These resilient children often have at least one consistent, caring adult in their lives.  </w:t>
      </w:r>
    </w:p>
    <w:p w14:paraId="61DC9788" w14:textId="77777777" w:rsidR="002452B7" w:rsidRPr="0012042A" w:rsidRDefault="002452B7" w:rsidP="00524564">
      <w:pPr>
        <w:ind w:left="0"/>
        <w:rPr>
          <w:rFonts w:eastAsia="Calibri"/>
          <w:color w:val="auto"/>
        </w:rPr>
      </w:pPr>
    </w:p>
    <w:p w14:paraId="1E95D9F4" w14:textId="33839955" w:rsidR="00CD3C31" w:rsidRPr="0012042A" w:rsidRDefault="008F3B31" w:rsidP="00431DFD">
      <w:pPr>
        <w:ind w:left="0"/>
        <w:rPr>
          <w:rFonts w:eastAsia="Calibri"/>
          <w:color w:val="auto"/>
        </w:rPr>
      </w:pPr>
      <w:r w:rsidRPr="0012042A">
        <w:rPr>
          <w:rFonts w:eastAsia="Calibri"/>
          <w:color w:val="auto"/>
        </w:rPr>
        <w:t xml:space="preserve">In 1999, the </w:t>
      </w:r>
      <w:r w:rsidR="00CD3C31" w:rsidRPr="0012042A">
        <w:rPr>
          <w:rFonts w:eastAsia="Calibri"/>
          <w:color w:val="auto"/>
        </w:rPr>
        <w:t xml:space="preserve">U.S. Department of Justice and the U.S. Department of Health and Human Services held Safe </w:t>
      </w:r>
      <w:proofErr w:type="gramStart"/>
      <w:r w:rsidR="00CD3C31" w:rsidRPr="0012042A">
        <w:rPr>
          <w:rFonts w:eastAsia="Calibri"/>
          <w:color w:val="auto"/>
        </w:rPr>
        <w:t>From</w:t>
      </w:r>
      <w:proofErr w:type="gramEnd"/>
      <w:r w:rsidR="00CD3C31" w:rsidRPr="0012042A">
        <w:rPr>
          <w:rFonts w:eastAsia="Calibri"/>
          <w:color w:val="auto"/>
        </w:rPr>
        <w:t xml:space="preserve"> the Start: The National Summit on Children Exposed to Viole</w:t>
      </w:r>
      <w:r w:rsidRPr="0012042A">
        <w:rPr>
          <w:rFonts w:eastAsia="Calibri"/>
          <w:color w:val="auto"/>
        </w:rPr>
        <w:t xml:space="preserve">nce in Washington D.C. In </w:t>
      </w:r>
      <w:r w:rsidR="001F2966" w:rsidRPr="0012042A">
        <w:rPr>
          <w:rFonts w:eastAsia="Calibri"/>
          <w:color w:val="auto"/>
        </w:rPr>
        <w:t>2000, t</w:t>
      </w:r>
      <w:r w:rsidR="00431DFD" w:rsidRPr="0012042A">
        <w:rPr>
          <w:rFonts w:eastAsia="Calibri"/>
          <w:color w:val="auto"/>
        </w:rPr>
        <w:t xml:space="preserve">he Illinois </w:t>
      </w:r>
      <w:r w:rsidR="00CD3C31" w:rsidRPr="0012042A">
        <w:rPr>
          <w:rFonts w:eastAsia="Calibri"/>
          <w:color w:val="auto"/>
        </w:rPr>
        <w:t xml:space="preserve">Attorney General </w:t>
      </w:r>
      <w:r w:rsidR="00431DFD" w:rsidRPr="0012042A">
        <w:rPr>
          <w:rFonts w:eastAsia="Calibri"/>
          <w:color w:val="auto"/>
        </w:rPr>
        <w:t xml:space="preserve">held </w:t>
      </w:r>
      <w:r w:rsidR="00CD3C31" w:rsidRPr="0012042A">
        <w:rPr>
          <w:rFonts w:eastAsia="Calibri"/>
          <w:color w:val="auto"/>
        </w:rPr>
        <w:t xml:space="preserve">a Safe </w:t>
      </w:r>
      <w:proofErr w:type="gramStart"/>
      <w:r w:rsidR="00CD3C31" w:rsidRPr="0012042A">
        <w:rPr>
          <w:rFonts w:eastAsia="Calibri"/>
          <w:color w:val="auto"/>
        </w:rPr>
        <w:t>From</w:t>
      </w:r>
      <w:proofErr w:type="gramEnd"/>
      <w:r w:rsidR="00CD3C31" w:rsidRPr="0012042A">
        <w:rPr>
          <w:rFonts w:eastAsia="Calibri"/>
          <w:color w:val="auto"/>
        </w:rPr>
        <w:t xml:space="preserve"> the Start Illinois Summit. </w:t>
      </w:r>
      <w:r w:rsidR="001F2966" w:rsidRPr="0012042A">
        <w:rPr>
          <w:rFonts w:eastAsia="Calibri"/>
          <w:color w:val="auto"/>
        </w:rPr>
        <w:t xml:space="preserve">Since then, the State has funded sites throughout Illinois </w:t>
      </w:r>
      <w:r w:rsidR="00CD3C31" w:rsidRPr="0012042A">
        <w:rPr>
          <w:rFonts w:eastAsia="Calibri"/>
          <w:color w:val="auto"/>
        </w:rPr>
        <w:t>to develop, implement, and evaluate comprehensive and coordinated community models to identify and respond to primarily young children (ages 0-5) exposed to viol</w:t>
      </w:r>
      <w:r w:rsidR="00F6787D" w:rsidRPr="0012042A">
        <w:rPr>
          <w:rFonts w:eastAsia="Calibri"/>
          <w:color w:val="auto"/>
        </w:rPr>
        <w:t xml:space="preserve">ence in the home or community. </w:t>
      </w:r>
      <w:r w:rsidR="00A21662" w:rsidRPr="0012042A">
        <w:rPr>
          <w:rFonts w:eastAsia="Calibri"/>
          <w:color w:val="auto"/>
        </w:rPr>
        <w:t xml:space="preserve">Currently, the program funds nine </w:t>
      </w:r>
      <w:r w:rsidR="002452B7" w:rsidRPr="0012042A">
        <w:rPr>
          <w:rFonts w:eastAsia="Calibri"/>
          <w:color w:val="auto"/>
        </w:rPr>
        <w:t xml:space="preserve">implementation </w:t>
      </w:r>
      <w:r w:rsidR="00A21662" w:rsidRPr="0012042A">
        <w:rPr>
          <w:rFonts w:eastAsia="Calibri"/>
          <w:color w:val="auto"/>
        </w:rPr>
        <w:t>SFS sites throughout the State</w:t>
      </w:r>
      <w:r w:rsidR="002452B7" w:rsidRPr="0012042A">
        <w:rPr>
          <w:rFonts w:eastAsia="Calibri"/>
          <w:color w:val="auto"/>
        </w:rPr>
        <w:t xml:space="preserve">. </w:t>
      </w:r>
      <w:r w:rsidR="00A21662" w:rsidRPr="0012042A">
        <w:rPr>
          <w:rFonts w:eastAsia="Calibri"/>
          <w:color w:val="auto"/>
        </w:rPr>
        <w:t xml:space="preserve"> </w:t>
      </w:r>
    </w:p>
    <w:p w14:paraId="2082FFB5" w14:textId="77777777" w:rsidR="00524564" w:rsidRPr="0012042A" w:rsidRDefault="00524564" w:rsidP="00524564">
      <w:pPr>
        <w:ind w:left="0"/>
        <w:rPr>
          <w:b/>
          <w:bCs/>
          <w:color w:val="auto"/>
          <w:u w:val="single"/>
        </w:rPr>
      </w:pPr>
    </w:p>
    <w:p w14:paraId="51EC5E80" w14:textId="401FD6DF" w:rsidR="00325F8A" w:rsidRPr="0012042A" w:rsidRDefault="00325F8A" w:rsidP="00524564">
      <w:pPr>
        <w:ind w:left="0"/>
        <w:rPr>
          <w:b/>
          <w:bCs/>
          <w:color w:val="auto"/>
          <w:u w:val="single"/>
        </w:rPr>
      </w:pPr>
      <w:r w:rsidRPr="0012042A">
        <w:rPr>
          <w:b/>
          <w:bCs/>
          <w:color w:val="auto"/>
          <w:u w:val="single"/>
        </w:rPr>
        <w:t xml:space="preserve">Safe </w:t>
      </w:r>
      <w:proofErr w:type="gramStart"/>
      <w:r w:rsidRPr="0012042A">
        <w:rPr>
          <w:b/>
          <w:bCs/>
          <w:color w:val="auto"/>
          <w:u w:val="single"/>
        </w:rPr>
        <w:t>From</w:t>
      </w:r>
      <w:proofErr w:type="gramEnd"/>
      <w:r w:rsidRPr="0012042A">
        <w:rPr>
          <w:b/>
          <w:bCs/>
          <w:color w:val="auto"/>
          <w:u w:val="single"/>
        </w:rPr>
        <w:t xml:space="preserve"> the Start Program Model</w:t>
      </w:r>
    </w:p>
    <w:p w14:paraId="2C5E977D" w14:textId="59EED52F" w:rsidR="00325F8A" w:rsidRPr="0012042A" w:rsidRDefault="00325F8A" w:rsidP="00524564">
      <w:pPr>
        <w:ind w:left="0"/>
        <w:rPr>
          <w:rFonts w:eastAsia="Calibri"/>
          <w:color w:val="auto"/>
        </w:rPr>
      </w:pPr>
      <w:r w:rsidRPr="0012042A">
        <w:rPr>
          <w:rFonts w:eastAsia="Calibri"/>
          <w:color w:val="auto"/>
        </w:rPr>
        <w:t xml:space="preserve">The Safe </w:t>
      </w:r>
      <w:proofErr w:type="gramStart"/>
      <w:r w:rsidRPr="0012042A">
        <w:rPr>
          <w:rFonts w:eastAsia="Calibri"/>
          <w:color w:val="auto"/>
        </w:rPr>
        <w:t>From</w:t>
      </w:r>
      <w:proofErr w:type="gramEnd"/>
      <w:r w:rsidRPr="0012042A">
        <w:rPr>
          <w:rFonts w:eastAsia="Calibri"/>
          <w:color w:val="auto"/>
        </w:rPr>
        <w:t xml:space="preserve"> the Start (SFS) Program Model consists of three major components, Coalition and Collaboration building; Direct Services and Public Awareness.  The applications funded through this renewal application must comply with the SFS Program Model outlined below.</w:t>
      </w:r>
    </w:p>
    <w:p w14:paraId="47A149B4" w14:textId="77777777" w:rsidR="00524564" w:rsidRPr="0012042A" w:rsidRDefault="00524564" w:rsidP="00524564">
      <w:pPr>
        <w:ind w:left="0"/>
        <w:rPr>
          <w:rFonts w:eastAsia="Calibri"/>
          <w:b/>
          <w:i/>
          <w:color w:val="auto"/>
        </w:rPr>
      </w:pPr>
    </w:p>
    <w:p w14:paraId="43E64F95" w14:textId="033B115D" w:rsidR="00325F8A" w:rsidRPr="0012042A" w:rsidRDefault="00325F8A" w:rsidP="008C4D4A">
      <w:pPr>
        <w:ind w:left="0"/>
        <w:rPr>
          <w:rFonts w:eastAsia="Calibri"/>
          <w:b/>
          <w:color w:val="auto"/>
        </w:rPr>
      </w:pPr>
      <w:r w:rsidRPr="0012042A">
        <w:rPr>
          <w:rFonts w:eastAsia="Calibri"/>
          <w:b/>
          <w:color w:val="auto"/>
        </w:rPr>
        <w:t xml:space="preserve">Coalition-Building and Collaboration </w:t>
      </w:r>
    </w:p>
    <w:p w14:paraId="7587D14E" w14:textId="7CCF6E63" w:rsidR="00325F8A" w:rsidRPr="0012042A" w:rsidRDefault="00325F8A" w:rsidP="008C4D4A">
      <w:pPr>
        <w:ind w:left="0"/>
        <w:rPr>
          <w:rFonts w:eastAsia="Calibri"/>
          <w:color w:val="auto"/>
        </w:rPr>
      </w:pPr>
      <w:r w:rsidRPr="0012042A">
        <w:rPr>
          <w:rFonts w:eastAsia="Calibri"/>
          <w:color w:val="auto"/>
        </w:rPr>
        <w:t xml:space="preserve">Coalition building, collaboration, and coordination are central components of Safe </w:t>
      </w:r>
      <w:proofErr w:type="gramStart"/>
      <w:r w:rsidRPr="0012042A">
        <w:rPr>
          <w:rFonts w:eastAsia="Calibri"/>
          <w:color w:val="auto"/>
        </w:rPr>
        <w:t>From</w:t>
      </w:r>
      <w:proofErr w:type="gramEnd"/>
      <w:r w:rsidRPr="0012042A">
        <w:rPr>
          <w:rFonts w:eastAsia="Calibri"/>
          <w:color w:val="auto"/>
        </w:rPr>
        <w:t xml:space="preserve"> the Start. </w:t>
      </w:r>
      <w:r w:rsidR="00FD62FF" w:rsidRPr="0012042A">
        <w:rPr>
          <w:rFonts w:eastAsia="Calibri"/>
          <w:color w:val="auto"/>
        </w:rPr>
        <w:t>S</w:t>
      </w:r>
      <w:r w:rsidRPr="0012042A">
        <w:rPr>
          <w:rFonts w:eastAsia="Calibri"/>
          <w:color w:val="auto"/>
        </w:rPr>
        <w:t>ites are expected to demonstrate and continue coordinatio</w:t>
      </w:r>
      <w:r w:rsidR="000F2373" w:rsidRPr="0012042A">
        <w:rPr>
          <w:rFonts w:eastAsia="Calibri"/>
          <w:color w:val="auto"/>
        </w:rPr>
        <w:t xml:space="preserve">n and collaboration among state and </w:t>
      </w:r>
      <w:r w:rsidRPr="0012042A">
        <w:rPr>
          <w:rFonts w:eastAsia="Calibri"/>
          <w:color w:val="auto"/>
        </w:rPr>
        <w:t>local agencies</w:t>
      </w:r>
      <w:r w:rsidR="000F2373" w:rsidRPr="0012042A">
        <w:rPr>
          <w:rFonts w:eastAsia="Calibri"/>
          <w:color w:val="auto"/>
        </w:rPr>
        <w:t>, as well as local community-based service providers</w:t>
      </w:r>
      <w:r w:rsidRPr="0012042A">
        <w:rPr>
          <w:rFonts w:eastAsia="Calibri"/>
          <w:color w:val="auto"/>
        </w:rPr>
        <w:t xml:space="preserve">. </w:t>
      </w:r>
      <w:r w:rsidR="00683DC0" w:rsidRPr="0012042A">
        <w:rPr>
          <w:rFonts w:eastAsia="Calibri"/>
          <w:color w:val="auto"/>
        </w:rPr>
        <w:t xml:space="preserve">Renewal sites may continue a SFS Coalition whose purpose is exclusively focused on SFS or </w:t>
      </w:r>
      <w:r w:rsidR="00FD42EC" w:rsidRPr="0012042A">
        <w:rPr>
          <w:rFonts w:eastAsia="Calibri"/>
          <w:color w:val="auto"/>
        </w:rPr>
        <w:t xml:space="preserve">they may join with another </w:t>
      </w:r>
      <w:r w:rsidR="000F2373" w:rsidRPr="0012042A">
        <w:rPr>
          <w:rFonts w:eastAsia="Calibri"/>
          <w:color w:val="auto"/>
        </w:rPr>
        <w:t xml:space="preserve">coalition, </w:t>
      </w:r>
      <w:proofErr w:type="gramStart"/>
      <w:r w:rsidR="00FD42EC" w:rsidRPr="0012042A">
        <w:rPr>
          <w:rFonts w:eastAsia="Calibri"/>
          <w:color w:val="auto"/>
        </w:rPr>
        <w:t xml:space="preserve">as long </w:t>
      </w:r>
      <w:r w:rsidR="00A22835" w:rsidRPr="0012042A">
        <w:rPr>
          <w:rFonts w:eastAsia="Calibri"/>
          <w:color w:val="auto"/>
        </w:rPr>
        <w:t>as</w:t>
      </w:r>
      <w:proofErr w:type="gramEnd"/>
      <w:r w:rsidR="00A22835" w:rsidRPr="0012042A">
        <w:rPr>
          <w:rFonts w:eastAsia="Calibri"/>
          <w:color w:val="auto"/>
        </w:rPr>
        <w:t xml:space="preserve"> the coalition can help inform the work of the program, </w:t>
      </w:r>
      <w:r w:rsidR="0094538D" w:rsidRPr="0012042A">
        <w:rPr>
          <w:rFonts w:eastAsia="Calibri"/>
          <w:color w:val="auto"/>
        </w:rPr>
        <w:t xml:space="preserve">focuses on childhood exposure to violence, and </w:t>
      </w:r>
      <w:r w:rsidR="000F2373" w:rsidRPr="0012042A">
        <w:rPr>
          <w:rFonts w:eastAsia="Calibri"/>
          <w:color w:val="auto"/>
        </w:rPr>
        <w:t xml:space="preserve">has </w:t>
      </w:r>
      <w:r w:rsidR="0094538D" w:rsidRPr="0012042A">
        <w:rPr>
          <w:rFonts w:eastAsia="Calibri"/>
          <w:color w:val="auto"/>
        </w:rPr>
        <w:t xml:space="preserve">membership from primary and secondary partners as outlined below. </w:t>
      </w:r>
      <w:r w:rsidRPr="0012042A">
        <w:rPr>
          <w:rFonts w:eastAsia="Calibri"/>
          <w:color w:val="auto"/>
        </w:rPr>
        <w:t>To ensure that a comprehensive service delivery system is provided, key partnerships mus</w:t>
      </w:r>
      <w:r w:rsidR="00524564" w:rsidRPr="0012042A">
        <w:rPr>
          <w:rFonts w:eastAsia="Calibri"/>
          <w:color w:val="auto"/>
        </w:rPr>
        <w:t>t be established and expanded.</w:t>
      </w:r>
    </w:p>
    <w:p w14:paraId="6C06DD6C" w14:textId="77777777" w:rsidR="00C4706A" w:rsidRPr="0012042A" w:rsidRDefault="00C4706A" w:rsidP="008C4D4A">
      <w:pPr>
        <w:ind w:left="0"/>
        <w:rPr>
          <w:rFonts w:eastAsia="Calibri"/>
          <w:color w:val="auto"/>
        </w:rPr>
      </w:pPr>
    </w:p>
    <w:p w14:paraId="24B3C603" w14:textId="2FBE0E55" w:rsidR="00325F8A" w:rsidRPr="0012042A" w:rsidRDefault="00325F8A" w:rsidP="008C4D4A">
      <w:pPr>
        <w:ind w:left="0"/>
        <w:rPr>
          <w:rFonts w:eastAsia="Calibri"/>
          <w:color w:val="auto"/>
        </w:rPr>
      </w:pPr>
      <w:r w:rsidRPr="0012042A">
        <w:rPr>
          <w:rFonts w:eastAsia="Calibri"/>
          <w:color w:val="auto"/>
        </w:rPr>
        <w:t>Primary partners represent key points of entry for prevention and intervention and must</w:t>
      </w:r>
      <w:r w:rsidR="00C4706A" w:rsidRPr="0012042A">
        <w:rPr>
          <w:rFonts w:eastAsia="Calibri"/>
          <w:color w:val="auto"/>
        </w:rPr>
        <w:t xml:space="preserve"> be </w:t>
      </w:r>
      <w:r w:rsidRPr="0012042A">
        <w:rPr>
          <w:rFonts w:eastAsia="Calibri"/>
          <w:color w:val="auto"/>
        </w:rPr>
        <w:t xml:space="preserve">included in the coalition (to the extent available in your community).  </w:t>
      </w:r>
      <w:r w:rsidR="00A67D78" w:rsidRPr="0012042A">
        <w:rPr>
          <w:rFonts w:eastAsia="Calibri"/>
          <w:color w:val="auto"/>
        </w:rPr>
        <w:t xml:space="preserve">Secondary partners are </w:t>
      </w:r>
      <w:r w:rsidRPr="0012042A">
        <w:rPr>
          <w:rFonts w:eastAsia="Calibri"/>
          <w:color w:val="auto"/>
        </w:rPr>
        <w:t>recommended and can provide support resources as needed.</w:t>
      </w:r>
    </w:p>
    <w:p w14:paraId="1FC036CF" w14:textId="45D24614" w:rsidR="00325F8A" w:rsidRPr="0012042A" w:rsidRDefault="00325F8A" w:rsidP="008C4D4A">
      <w:pPr>
        <w:ind w:left="0"/>
        <w:rPr>
          <w:rFonts w:eastAsia="Calibri"/>
          <w:color w:val="auto"/>
        </w:rPr>
      </w:pPr>
      <w:r w:rsidRPr="0012042A">
        <w:rPr>
          <w:rFonts w:eastAsia="Calibri"/>
          <w:color w:val="auto"/>
        </w:rPr>
        <w:t>Primary Partners:</w:t>
      </w:r>
    </w:p>
    <w:p w14:paraId="2C03753F"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lastRenderedPageBreak/>
        <w:t>Child Advocacy Centers (CACs)</w:t>
      </w:r>
    </w:p>
    <w:p w14:paraId="1BB5C7C2"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 xml:space="preserve">Child Welfare agencies </w:t>
      </w:r>
    </w:p>
    <w:p w14:paraId="27BD1719"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Domestic violence agencies</w:t>
      </w:r>
    </w:p>
    <w:p w14:paraId="1C2BE7B6" w14:textId="4C8C8548" w:rsidR="00325F8A" w:rsidRPr="0012042A" w:rsidRDefault="00325F8A" w:rsidP="005C5CB8">
      <w:pPr>
        <w:pStyle w:val="ListParagraph"/>
        <w:numPr>
          <w:ilvl w:val="0"/>
          <w:numId w:val="33"/>
        </w:numPr>
        <w:rPr>
          <w:rFonts w:eastAsia="Calibri"/>
          <w:color w:val="auto"/>
        </w:rPr>
      </w:pPr>
      <w:r w:rsidRPr="0012042A">
        <w:rPr>
          <w:rFonts w:eastAsia="Calibri"/>
          <w:color w:val="auto"/>
        </w:rPr>
        <w:t>Head</w:t>
      </w:r>
      <w:r w:rsidR="00256F13">
        <w:rPr>
          <w:rFonts w:eastAsia="Calibri"/>
          <w:color w:val="auto"/>
        </w:rPr>
        <w:t xml:space="preserve"> S</w:t>
      </w:r>
      <w:r w:rsidRPr="0012042A">
        <w:rPr>
          <w:rFonts w:eastAsia="Calibri"/>
          <w:color w:val="auto"/>
        </w:rPr>
        <w:t>tart; pre-school and early childhood programs; and childcare providers</w:t>
      </w:r>
    </w:p>
    <w:p w14:paraId="5B64EB7C"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Healthy Families Illinois sites</w:t>
      </w:r>
    </w:p>
    <w:p w14:paraId="49AAE0FE"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Illinois Department of Children and Family Services (DCFS)</w:t>
      </w:r>
      <w:r w:rsidRPr="0012042A">
        <w:rPr>
          <w:rFonts w:eastAsia="Calibri"/>
          <w:color w:val="auto"/>
        </w:rPr>
        <w:tab/>
      </w:r>
    </w:p>
    <w:p w14:paraId="3B864E29"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Illinois Family Violence Coordinating Councils (FVCCs)</w:t>
      </w:r>
    </w:p>
    <w:p w14:paraId="2A71453A"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Law enforcement agencies</w:t>
      </w:r>
    </w:p>
    <w:p w14:paraId="56797CBD"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Local Area Networks (LANs)</w:t>
      </w:r>
    </w:p>
    <w:p w14:paraId="0DB3411F"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Public health departments</w:t>
      </w:r>
    </w:p>
    <w:p w14:paraId="30D5E94D" w14:textId="77777777" w:rsidR="00325F8A" w:rsidRPr="0012042A" w:rsidRDefault="00325F8A" w:rsidP="005C5CB8">
      <w:pPr>
        <w:pStyle w:val="ListParagraph"/>
        <w:numPr>
          <w:ilvl w:val="0"/>
          <w:numId w:val="33"/>
        </w:numPr>
        <w:rPr>
          <w:rFonts w:eastAsia="Calibri"/>
          <w:color w:val="auto"/>
        </w:rPr>
      </w:pPr>
      <w:r w:rsidRPr="0012042A">
        <w:rPr>
          <w:rFonts w:eastAsia="Calibri"/>
          <w:color w:val="auto"/>
        </w:rPr>
        <w:t>Sexual assault agencies</w:t>
      </w:r>
    </w:p>
    <w:p w14:paraId="1817D217" w14:textId="77777777" w:rsidR="00524564" w:rsidRPr="0012042A" w:rsidRDefault="00524564" w:rsidP="008C4D4A">
      <w:pPr>
        <w:ind w:left="0"/>
        <w:rPr>
          <w:rFonts w:eastAsia="Calibri"/>
          <w:color w:val="auto"/>
        </w:rPr>
      </w:pPr>
    </w:p>
    <w:p w14:paraId="2B995D6B" w14:textId="06522310" w:rsidR="00325F8A" w:rsidRPr="0012042A" w:rsidRDefault="00325F8A" w:rsidP="008C4D4A">
      <w:pPr>
        <w:ind w:left="0"/>
        <w:rPr>
          <w:rFonts w:eastAsia="Calibri"/>
          <w:color w:val="auto"/>
        </w:rPr>
      </w:pPr>
      <w:r w:rsidRPr="0012042A">
        <w:rPr>
          <w:rFonts w:eastAsia="Calibri"/>
          <w:color w:val="auto"/>
        </w:rPr>
        <w:t>Secondary Partners:</w:t>
      </w:r>
    </w:p>
    <w:p w14:paraId="35A1AEA2"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Batterers treatment programs</w:t>
      </w:r>
    </w:p>
    <w:p w14:paraId="16B551C0"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Community leaders/stakeholders</w:t>
      </w:r>
    </w:p>
    <w:p w14:paraId="450DDE82"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 xml:space="preserve">Courts:  judges, attorneys, </w:t>
      </w:r>
      <w:proofErr w:type="gramStart"/>
      <w:r w:rsidRPr="0012042A">
        <w:rPr>
          <w:rFonts w:eastAsia="Calibri"/>
          <w:color w:val="auto"/>
        </w:rPr>
        <w:t>guardians</w:t>
      </w:r>
      <w:proofErr w:type="gramEnd"/>
      <w:r w:rsidRPr="0012042A">
        <w:rPr>
          <w:rFonts w:eastAsia="Calibri"/>
          <w:color w:val="auto"/>
        </w:rPr>
        <w:t xml:space="preserve"> ad litem, court appointed special advocates, victim-witness advocates, administrative staff in the dependency/juvenile courts, family courts, domestic violence courts, and drug courts</w:t>
      </w:r>
    </w:p>
    <w:p w14:paraId="401DFE10"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Crisis nurseries</w:t>
      </w:r>
    </w:p>
    <w:p w14:paraId="59A887AC"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Early Intervention Programs, such as your local Child and Family Connections for ages 0-3</w:t>
      </w:r>
    </w:p>
    <w:p w14:paraId="3169C5D9"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Faith-based leaders</w:t>
      </w:r>
    </w:p>
    <w:p w14:paraId="41D7F30B"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Family case management; e.g., WIC, child protective services, family support services, child welfare agencies, foster care programs</w:t>
      </w:r>
    </w:p>
    <w:p w14:paraId="1493C557"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Hospitals, Emergency Medical Services (EMS), primary health care providers</w:t>
      </w:r>
    </w:p>
    <w:p w14:paraId="04065401"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Housing authorities</w:t>
      </w:r>
    </w:p>
    <w:p w14:paraId="01D16317"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Local parent groups (e.g., PTA)</w:t>
      </w:r>
    </w:p>
    <w:p w14:paraId="58D309B9"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Mental health services</w:t>
      </w:r>
    </w:p>
    <w:p w14:paraId="3328EA08"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Schools, including Special Education Programs</w:t>
      </w:r>
    </w:p>
    <w:p w14:paraId="43A70DFF"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Social service agencies</w:t>
      </w:r>
    </w:p>
    <w:p w14:paraId="7AD0C859" w14:textId="77777777" w:rsidR="00325F8A" w:rsidRPr="0012042A" w:rsidRDefault="00325F8A" w:rsidP="005C5CB8">
      <w:pPr>
        <w:pStyle w:val="ListParagraph"/>
        <w:numPr>
          <w:ilvl w:val="0"/>
          <w:numId w:val="34"/>
        </w:numPr>
        <w:rPr>
          <w:rFonts w:eastAsia="Calibri"/>
          <w:color w:val="auto"/>
        </w:rPr>
      </w:pPr>
      <w:r w:rsidRPr="0012042A">
        <w:rPr>
          <w:rFonts w:eastAsia="Calibri"/>
          <w:color w:val="auto"/>
        </w:rPr>
        <w:t>Substance abuse prevention and treatment services</w:t>
      </w:r>
    </w:p>
    <w:p w14:paraId="37EB7C13" w14:textId="77777777" w:rsidR="002B757F" w:rsidRPr="0012042A" w:rsidRDefault="002B757F" w:rsidP="008C4D4A">
      <w:pPr>
        <w:ind w:left="0"/>
        <w:rPr>
          <w:rFonts w:eastAsia="Calibri"/>
          <w:color w:val="auto"/>
        </w:rPr>
      </w:pPr>
    </w:p>
    <w:p w14:paraId="26679B61" w14:textId="068859D9" w:rsidR="00325F8A" w:rsidRPr="0012042A" w:rsidRDefault="00325F8A" w:rsidP="008C4D4A">
      <w:pPr>
        <w:ind w:left="0"/>
        <w:rPr>
          <w:rFonts w:eastAsia="Calibri"/>
          <w:color w:val="auto"/>
        </w:rPr>
      </w:pPr>
      <w:r w:rsidRPr="0012042A">
        <w:rPr>
          <w:rFonts w:eastAsia="Calibri"/>
          <w:color w:val="auto"/>
        </w:rPr>
        <w:t xml:space="preserve">Primary and secondary partners may vary based on the </w:t>
      </w:r>
      <w:proofErr w:type="gramStart"/>
      <w:r w:rsidRPr="0012042A">
        <w:rPr>
          <w:rFonts w:eastAsia="Calibri"/>
          <w:color w:val="auto"/>
        </w:rPr>
        <w:t>particular needs</w:t>
      </w:r>
      <w:proofErr w:type="gramEnd"/>
      <w:r w:rsidRPr="0012042A">
        <w:rPr>
          <w:rFonts w:eastAsia="Calibri"/>
          <w:color w:val="auto"/>
        </w:rPr>
        <w:t xml:space="preserve"> and existing service delivery systems of individual communities.  </w:t>
      </w:r>
    </w:p>
    <w:p w14:paraId="660F237C" w14:textId="77777777" w:rsidR="00524564" w:rsidRPr="0012042A" w:rsidRDefault="00524564" w:rsidP="008C4D4A">
      <w:pPr>
        <w:ind w:left="0"/>
        <w:rPr>
          <w:rFonts w:eastAsia="Calibri"/>
          <w:color w:val="auto"/>
        </w:rPr>
      </w:pPr>
    </w:p>
    <w:p w14:paraId="4CF2ACA8" w14:textId="0C3B9D53" w:rsidR="00325F8A" w:rsidRPr="0012042A" w:rsidRDefault="00325F8A" w:rsidP="008C4D4A">
      <w:pPr>
        <w:ind w:left="0"/>
        <w:rPr>
          <w:rFonts w:eastAsia="Calibri"/>
          <w:b/>
          <w:color w:val="auto"/>
        </w:rPr>
      </w:pPr>
      <w:r w:rsidRPr="0012042A">
        <w:rPr>
          <w:rFonts w:eastAsia="Calibri"/>
          <w:b/>
          <w:color w:val="auto"/>
        </w:rPr>
        <w:t>Direct Services</w:t>
      </w:r>
    </w:p>
    <w:p w14:paraId="47F76770" w14:textId="77777777" w:rsidR="005845D7" w:rsidRPr="0012042A" w:rsidRDefault="00325F8A" w:rsidP="008C4D4A">
      <w:pPr>
        <w:ind w:left="0"/>
        <w:rPr>
          <w:rFonts w:eastAsia="Calibri"/>
          <w:color w:val="auto"/>
          <w:u w:val="single"/>
        </w:rPr>
      </w:pPr>
      <w:r w:rsidRPr="0012042A">
        <w:rPr>
          <w:rFonts w:eastAsia="Calibri"/>
          <w:color w:val="auto"/>
          <w:u w:val="single"/>
        </w:rPr>
        <w:t>Services to the Target Population</w:t>
      </w:r>
    </w:p>
    <w:p w14:paraId="14D677A2" w14:textId="05772C9E" w:rsidR="00325F8A" w:rsidRPr="0012042A" w:rsidRDefault="00325F8A" w:rsidP="008C4D4A">
      <w:pPr>
        <w:ind w:left="0"/>
        <w:rPr>
          <w:rFonts w:eastAsia="Calibri"/>
          <w:color w:val="auto"/>
        </w:rPr>
      </w:pPr>
      <w:r w:rsidRPr="0012042A">
        <w:rPr>
          <w:rFonts w:eastAsia="Calibri"/>
          <w:color w:val="auto"/>
        </w:rPr>
        <w:t xml:space="preserve">Safe </w:t>
      </w:r>
      <w:proofErr w:type="gramStart"/>
      <w:r w:rsidRPr="0012042A">
        <w:rPr>
          <w:rFonts w:eastAsia="Calibri"/>
          <w:color w:val="auto"/>
        </w:rPr>
        <w:t>From</w:t>
      </w:r>
      <w:proofErr w:type="gramEnd"/>
      <w:r w:rsidRPr="0012042A">
        <w:rPr>
          <w:rFonts w:eastAsia="Calibri"/>
          <w:color w:val="auto"/>
        </w:rPr>
        <w:t xml:space="preserve"> the Start targets young children (primarily from birth to 5 years of age) who have been exposed to, or have witnessed violence in the home or community, and their families or other caregivers.</w:t>
      </w:r>
      <w:r w:rsidR="0070717D" w:rsidRPr="0012042A">
        <w:rPr>
          <w:rFonts w:eastAsia="Calibri"/>
          <w:color w:val="auto"/>
        </w:rPr>
        <w:t xml:space="preserve"> </w:t>
      </w:r>
      <w:r w:rsidRPr="0012042A">
        <w:rPr>
          <w:rFonts w:eastAsia="Calibri"/>
          <w:color w:val="auto"/>
        </w:rPr>
        <w:t>“Exposure to violence” is defined as being a victim of abuse, neglect, or maltreatment or a witness to domestic, physical, or sexual violence, or other violent crime. Children older than 5 years can also be served</w:t>
      </w:r>
      <w:r w:rsidR="0070717D" w:rsidRPr="0012042A">
        <w:rPr>
          <w:rFonts w:eastAsia="Calibri"/>
          <w:color w:val="auto"/>
        </w:rPr>
        <w:t>, if the primary client is ages 0-5</w:t>
      </w:r>
      <w:r w:rsidRPr="0012042A">
        <w:rPr>
          <w:rFonts w:eastAsia="Calibri"/>
          <w:color w:val="auto"/>
        </w:rPr>
        <w:t>.</w:t>
      </w:r>
    </w:p>
    <w:p w14:paraId="694FA52A" w14:textId="77777777" w:rsidR="005845D7" w:rsidRPr="0012042A" w:rsidRDefault="005845D7" w:rsidP="008C4D4A">
      <w:pPr>
        <w:ind w:left="0"/>
        <w:rPr>
          <w:rFonts w:eastAsia="Calibri"/>
          <w:color w:val="auto"/>
        </w:rPr>
      </w:pPr>
    </w:p>
    <w:p w14:paraId="62FFEA1D" w14:textId="77777777" w:rsidR="005845D7" w:rsidRPr="0012042A" w:rsidRDefault="00325F8A" w:rsidP="008C4D4A">
      <w:pPr>
        <w:ind w:left="0"/>
        <w:rPr>
          <w:rFonts w:eastAsia="Calibri"/>
          <w:color w:val="auto"/>
          <w:u w:val="single"/>
        </w:rPr>
      </w:pPr>
      <w:r w:rsidRPr="0012042A">
        <w:rPr>
          <w:rFonts w:eastAsia="Calibri"/>
          <w:color w:val="auto"/>
          <w:u w:val="single"/>
        </w:rPr>
        <w:t>Services</w:t>
      </w:r>
      <w:r w:rsidR="005845D7" w:rsidRPr="0012042A">
        <w:rPr>
          <w:rFonts w:eastAsia="Calibri"/>
          <w:color w:val="auto"/>
          <w:u w:val="single"/>
        </w:rPr>
        <w:t xml:space="preserve"> to the Targeted Community Area</w:t>
      </w:r>
    </w:p>
    <w:p w14:paraId="72FEE55D" w14:textId="637645DC" w:rsidR="00325F8A" w:rsidRPr="0012042A" w:rsidRDefault="0070717D" w:rsidP="008C4D4A">
      <w:pPr>
        <w:ind w:left="0"/>
        <w:rPr>
          <w:rFonts w:eastAsia="Calibri"/>
          <w:color w:val="auto"/>
        </w:rPr>
      </w:pPr>
      <w:r w:rsidRPr="0012042A">
        <w:rPr>
          <w:rFonts w:eastAsia="Calibri"/>
          <w:color w:val="auto"/>
        </w:rPr>
        <w:lastRenderedPageBreak/>
        <w:t xml:space="preserve">The </w:t>
      </w:r>
      <w:r w:rsidR="00325F8A" w:rsidRPr="0012042A">
        <w:rPr>
          <w:rFonts w:eastAsia="Calibri"/>
          <w:color w:val="auto"/>
        </w:rPr>
        <w:t xml:space="preserve">application must include adequate justification for the targeted community area in terms of need.  The targeted geographic areas must represent identifiable cities, communities, or neighborhoods where the investment of Safe </w:t>
      </w:r>
      <w:proofErr w:type="gramStart"/>
      <w:r w:rsidR="00325F8A" w:rsidRPr="0012042A">
        <w:rPr>
          <w:rFonts w:eastAsia="Calibri"/>
          <w:color w:val="auto"/>
        </w:rPr>
        <w:t>From</w:t>
      </w:r>
      <w:proofErr w:type="gramEnd"/>
      <w:r w:rsidR="00325F8A" w:rsidRPr="0012042A">
        <w:rPr>
          <w:rFonts w:eastAsia="Calibri"/>
          <w:color w:val="auto"/>
        </w:rPr>
        <w:t xml:space="preserve"> the Start resources will result in appreciable improvements in the community’s response to young children exposed to violence.</w:t>
      </w:r>
    </w:p>
    <w:p w14:paraId="24531AC2" w14:textId="77777777" w:rsidR="005845D7" w:rsidRPr="0012042A" w:rsidRDefault="005845D7" w:rsidP="008C4D4A">
      <w:pPr>
        <w:ind w:left="0"/>
        <w:rPr>
          <w:rFonts w:eastAsia="Calibri"/>
          <w:color w:val="auto"/>
        </w:rPr>
      </w:pPr>
    </w:p>
    <w:p w14:paraId="190933DC" w14:textId="77777777" w:rsidR="005845D7" w:rsidRPr="0012042A" w:rsidRDefault="00325F8A" w:rsidP="008C4D4A">
      <w:pPr>
        <w:ind w:left="0"/>
        <w:rPr>
          <w:rFonts w:eastAsia="Calibri"/>
          <w:color w:val="auto"/>
          <w:u w:val="single"/>
        </w:rPr>
      </w:pPr>
      <w:r w:rsidRPr="0012042A">
        <w:rPr>
          <w:rFonts w:eastAsia="Calibri"/>
          <w:color w:val="auto"/>
          <w:u w:val="single"/>
        </w:rPr>
        <w:t>Direct Services</w:t>
      </w:r>
    </w:p>
    <w:p w14:paraId="37B2038B" w14:textId="1646110F" w:rsidR="00325F8A" w:rsidRPr="0012042A" w:rsidRDefault="00325F8A" w:rsidP="008C4D4A">
      <w:pPr>
        <w:ind w:left="0"/>
        <w:rPr>
          <w:rFonts w:eastAsia="Calibri"/>
          <w:color w:val="auto"/>
        </w:rPr>
      </w:pPr>
      <w:r w:rsidRPr="0012042A">
        <w:rPr>
          <w:rFonts w:eastAsia="Calibri"/>
          <w:color w:val="auto"/>
        </w:rPr>
        <w:t>Although each site operates slightly differently, there is a core of trained case management and clinical staff who provide the direct services to children and their families. All sites have a referral/outreach system (that addresses confidentiality issues; implement</w:t>
      </w:r>
      <w:r w:rsidR="005845D7" w:rsidRPr="0012042A">
        <w:rPr>
          <w:rFonts w:eastAsia="Calibri"/>
          <w:color w:val="auto"/>
        </w:rPr>
        <w:t>ing</w:t>
      </w:r>
      <w:r w:rsidRPr="0012042A">
        <w:rPr>
          <w:rFonts w:eastAsia="Calibri"/>
          <w:color w:val="auto"/>
        </w:rPr>
        <w:t xml:space="preserve"> organizational change; enhance information sharing and management information systems; create protocols, etc.); intake and assessment process (including evaluation and post</w:t>
      </w:r>
      <w:r w:rsidR="005845D7" w:rsidRPr="0012042A">
        <w:rPr>
          <w:rFonts w:eastAsia="Calibri"/>
          <w:color w:val="auto"/>
        </w:rPr>
        <w:t>-</w:t>
      </w:r>
      <w:r w:rsidRPr="0012042A">
        <w:rPr>
          <w:rFonts w:eastAsia="Calibri"/>
          <w:color w:val="auto"/>
        </w:rPr>
        <w:t>service assessment); clinical and family support services. Once the referral is received, a SFS staff member meets with the primary caregiver and child(</w:t>
      </w:r>
      <w:proofErr w:type="spellStart"/>
      <w:r w:rsidRPr="0012042A">
        <w:rPr>
          <w:rFonts w:eastAsia="Calibri"/>
          <w:color w:val="auto"/>
        </w:rPr>
        <w:t>ren</w:t>
      </w:r>
      <w:proofErr w:type="spellEnd"/>
      <w:r w:rsidRPr="0012042A">
        <w:rPr>
          <w:rFonts w:eastAsia="Calibri"/>
          <w:color w:val="auto"/>
        </w:rPr>
        <w:t>) to share SFS se</w:t>
      </w:r>
      <w:r w:rsidR="005845D7" w:rsidRPr="0012042A">
        <w:rPr>
          <w:rFonts w:eastAsia="Calibri"/>
          <w:color w:val="auto"/>
        </w:rPr>
        <w:t xml:space="preserve">rvices and assess their needs. </w:t>
      </w:r>
      <w:r w:rsidRPr="0012042A">
        <w:rPr>
          <w:rFonts w:eastAsia="Calibri"/>
          <w:color w:val="auto"/>
        </w:rPr>
        <w:t xml:space="preserve">During the first 1-3 visits, comprehensive assessment tools are completed with the primary caregiver for each child receiving services. These assessment tools, discussed below, allow the staff and the larger SFS </w:t>
      </w:r>
      <w:r w:rsidR="00E456E8" w:rsidRPr="0012042A">
        <w:rPr>
          <w:rFonts w:eastAsia="Calibri"/>
          <w:color w:val="auto"/>
        </w:rPr>
        <w:t xml:space="preserve">program and evaluation team to </w:t>
      </w:r>
      <w:r w:rsidRPr="0012042A">
        <w:rPr>
          <w:rFonts w:eastAsia="Calibri"/>
          <w:color w:val="auto"/>
        </w:rPr>
        <w:t xml:space="preserve">best understand what children exposed to violence are experiencing, and how to best support them.  They also serve as an education tool for the caregiver and can facilitate relationship building between SFS staff and family. </w:t>
      </w:r>
    </w:p>
    <w:p w14:paraId="68C9A4B0" w14:textId="77777777" w:rsidR="005845D7" w:rsidRPr="0012042A" w:rsidRDefault="005845D7" w:rsidP="008C4D4A">
      <w:pPr>
        <w:ind w:left="0"/>
        <w:rPr>
          <w:color w:val="auto"/>
        </w:rPr>
      </w:pPr>
    </w:p>
    <w:p w14:paraId="433EC57C" w14:textId="490891AE" w:rsidR="00325F8A" w:rsidRPr="0012042A" w:rsidRDefault="00325F8A" w:rsidP="008C4D4A">
      <w:pPr>
        <w:ind w:left="0"/>
        <w:rPr>
          <w:color w:val="auto"/>
          <w:u w:val="single"/>
        </w:rPr>
      </w:pPr>
      <w:r w:rsidRPr="0012042A">
        <w:rPr>
          <w:color w:val="auto"/>
          <w:u w:val="single"/>
        </w:rPr>
        <w:t>Assessment Tools</w:t>
      </w:r>
    </w:p>
    <w:p w14:paraId="00ED9B1B" w14:textId="77777777" w:rsidR="0094538D" w:rsidRPr="0012042A" w:rsidRDefault="004528D9" w:rsidP="008C4D4A">
      <w:pPr>
        <w:ind w:left="0"/>
        <w:rPr>
          <w:rFonts w:eastAsia="Calibri"/>
          <w:color w:val="auto"/>
        </w:rPr>
      </w:pPr>
      <w:r w:rsidRPr="0012042A">
        <w:rPr>
          <w:rFonts w:eastAsia="Calibri"/>
          <w:color w:val="auto"/>
        </w:rPr>
        <w:t>I</w:t>
      </w:r>
      <w:r w:rsidR="00325F8A" w:rsidRPr="0012042A">
        <w:rPr>
          <w:rFonts w:eastAsia="Calibri"/>
          <w:color w:val="auto"/>
        </w:rPr>
        <w:t xml:space="preserve">n 2001, a subcommittee of the Advisory Committee was formed and advised by Joy Osofsky, Professor of Pediatrics, Psychiatry and Public Health at Louisiana State University, to develop a packet of appropriate assessment tools to be used by all SFS sites.  After review and discussion of </w:t>
      </w:r>
      <w:proofErr w:type="gramStart"/>
      <w:r w:rsidR="00325F8A" w:rsidRPr="0012042A">
        <w:rPr>
          <w:rFonts w:eastAsia="Calibri"/>
          <w:color w:val="auto"/>
        </w:rPr>
        <w:t>a number of</w:t>
      </w:r>
      <w:proofErr w:type="gramEnd"/>
      <w:r w:rsidR="00325F8A" w:rsidRPr="0012042A">
        <w:rPr>
          <w:rFonts w:eastAsia="Calibri"/>
          <w:color w:val="auto"/>
        </w:rPr>
        <w:t xml:space="preserve"> existing assessment tools, the subcommittee recommended, and the project adopted seven assessment tools.  During implementation, the number of assessment tools has been adapted to the following four tools that are used with all consenting</w:t>
      </w:r>
      <w:r w:rsidR="0094538D" w:rsidRPr="0012042A">
        <w:rPr>
          <w:rFonts w:eastAsia="Calibri"/>
          <w:color w:val="auto"/>
        </w:rPr>
        <w:t xml:space="preserve"> clients served by SFS sites:  </w:t>
      </w:r>
    </w:p>
    <w:p w14:paraId="3F84CF2E" w14:textId="24A07CDE" w:rsidR="00325F8A" w:rsidRPr="0012042A" w:rsidRDefault="00325F8A" w:rsidP="004C10D4">
      <w:pPr>
        <w:pStyle w:val="ListParagraph"/>
        <w:numPr>
          <w:ilvl w:val="0"/>
          <w:numId w:val="35"/>
        </w:numPr>
        <w:rPr>
          <w:rFonts w:eastAsia="Calibri"/>
          <w:color w:val="auto"/>
        </w:rPr>
      </w:pPr>
      <w:r w:rsidRPr="0012042A">
        <w:rPr>
          <w:rFonts w:eastAsia="Calibri"/>
          <w:color w:val="auto"/>
        </w:rPr>
        <w:t>Child Behavior Checklist (CBCL)</w:t>
      </w:r>
    </w:p>
    <w:p w14:paraId="3AFAB2A6" w14:textId="3585949F" w:rsidR="00325F8A" w:rsidRPr="0012042A" w:rsidRDefault="00325F8A" w:rsidP="004C10D4">
      <w:pPr>
        <w:pStyle w:val="ListParagraph"/>
        <w:numPr>
          <w:ilvl w:val="0"/>
          <w:numId w:val="35"/>
        </w:numPr>
        <w:rPr>
          <w:rFonts w:eastAsia="Calibri"/>
          <w:color w:val="auto"/>
        </w:rPr>
      </w:pPr>
      <w:r w:rsidRPr="0012042A">
        <w:rPr>
          <w:rFonts w:eastAsia="Calibri"/>
          <w:color w:val="auto"/>
        </w:rPr>
        <w:t xml:space="preserve">Ages </w:t>
      </w:r>
      <w:proofErr w:type="gramStart"/>
      <w:r w:rsidRPr="0012042A">
        <w:rPr>
          <w:rFonts w:eastAsia="Calibri"/>
          <w:color w:val="auto"/>
        </w:rPr>
        <w:t>And</w:t>
      </w:r>
      <w:proofErr w:type="gramEnd"/>
      <w:r w:rsidRPr="0012042A">
        <w:rPr>
          <w:rFonts w:eastAsia="Calibri"/>
          <w:color w:val="auto"/>
        </w:rPr>
        <w:t xml:space="preserve"> Stages</w:t>
      </w:r>
      <w:r w:rsidR="00AF0476">
        <w:rPr>
          <w:rFonts w:eastAsia="Calibri"/>
          <w:color w:val="auto"/>
        </w:rPr>
        <w:t xml:space="preserve"> Questionnaire</w:t>
      </w:r>
    </w:p>
    <w:p w14:paraId="4121ADF4" w14:textId="121179F0" w:rsidR="00325F8A" w:rsidRPr="0012042A" w:rsidRDefault="00325F8A" w:rsidP="004C10D4">
      <w:pPr>
        <w:pStyle w:val="ListParagraph"/>
        <w:numPr>
          <w:ilvl w:val="0"/>
          <w:numId w:val="35"/>
        </w:numPr>
        <w:rPr>
          <w:rFonts w:eastAsia="Calibri"/>
          <w:color w:val="auto"/>
        </w:rPr>
      </w:pPr>
      <w:r w:rsidRPr="0012042A">
        <w:rPr>
          <w:rFonts w:eastAsia="Calibri"/>
          <w:color w:val="auto"/>
        </w:rPr>
        <w:t>Ages and Stages-Social and Emotional</w:t>
      </w:r>
    </w:p>
    <w:p w14:paraId="64A53B1B" w14:textId="7B37B274" w:rsidR="00325F8A" w:rsidRPr="0012042A" w:rsidRDefault="00325F8A" w:rsidP="004C10D4">
      <w:pPr>
        <w:pStyle w:val="ListParagraph"/>
        <w:numPr>
          <w:ilvl w:val="0"/>
          <w:numId w:val="35"/>
        </w:numPr>
        <w:rPr>
          <w:rFonts w:eastAsia="Calibri"/>
          <w:color w:val="auto"/>
        </w:rPr>
      </w:pPr>
      <w:r w:rsidRPr="0012042A">
        <w:rPr>
          <w:rFonts w:eastAsia="Calibri"/>
          <w:color w:val="auto"/>
        </w:rPr>
        <w:t>Parenting Stress Index-Short Form (PSI)</w:t>
      </w:r>
    </w:p>
    <w:p w14:paraId="37FC1592" w14:textId="2F38F6AF" w:rsidR="00325F8A" w:rsidRDefault="00325F8A" w:rsidP="004C10D4">
      <w:pPr>
        <w:pStyle w:val="ListParagraph"/>
        <w:numPr>
          <w:ilvl w:val="0"/>
          <w:numId w:val="35"/>
        </w:numPr>
        <w:rPr>
          <w:rFonts w:eastAsia="Calibri"/>
          <w:color w:val="auto"/>
        </w:rPr>
      </w:pPr>
      <w:r w:rsidRPr="0012042A">
        <w:rPr>
          <w:rFonts w:eastAsia="Calibri"/>
          <w:color w:val="auto"/>
        </w:rPr>
        <w:t xml:space="preserve">SFS Background Information Form </w:t>
      </w:r>
    </w:p>
    <w:p w14:paraId="375C54CB" w14:textId="198E25CD" w:rsidR="00A339AD" w:rsidRDefault="00A339AD" w:rsidP="004C10D4">
      <w:pPr>
        <w:pStyle w:val="ListParagraph"/>
        <w:numPr>
          <w:ilvl w:val="0"/>
          <w:numId w:val="35"/>
        </w:numPr>
        <w:rPr>
          <w:rFonts w:eastAsia="Calibri"/>
          <w:color w:val="auto"/>
        </w:rPr>
      </w:pPr>
      <w:r>
        <w:rPr>
          <w:rFonts w:eastAsia="Calibri"/>
          <w:color w:val="auto"/>
        </w:rPr>
        <w:t>Caregiver Completion of Services Form</w:t>
      </w:r>
    </w:p>
    <w:p w14:paraId="7D4CFBE4" w14:textId="24F39D8F" w:rsidR="00A339AD" w:rsidRPr="0012042A" w:rsidRDefault="00A339AD" w:rsidP="004C10D4">
      <w:pPr>
        <w:pStyle w:val="ListParagraph"/>
        <w:numPr>
          <w:ilvl w:val="0"/>
          <w:numId w:val="35"/>
        </w:numPr>
        <w:rPr>
          <w:rFonts w:eastAsia="Calibri"/>
          <w:color w:val="auto"/>
        </w:rPr>
      </w:pPr>
      <w:r>
        <w:rPr>
          <w:rFonts w:eastAsia="Calibri"/>
          <w:color w:val="auto"/>
        </w:rPr>
        <w:t>Child Completion of Services Form</w:t>
      </w:r>
    </w:p>
    <w:p w14:paraId="6C9A6DA5" w14:textId="77777777" w:rsidR="00B2260E" w:rsidRPr="0012042A" w:rsidRDefault="00B2260E" w:rsidP="008C4D4A">
      <w:pPr>
        <w:ind w:left="0"/>
        <w:rPr>
          <w:rFonts w:eastAsia="Calibri"/>
          <w:color w:val="auto"/>
        </w:rPr>
      </w:pPr>
    </w:p>
    <w:p w14:paraId="5CD45C41" w14:textId="352D636F" w:rsidR="00325F8A" w:rsidRPr="0012042A" w:rsidRDefault="00325F8A" w:rsidP="008C4D4A">
      <w:pPr>
        <w:ind w:left="0"/>
        <w:rPr>
          <w:rFonts w:eastAsia="Calibri"/>
          <w:b/>
          <w:color w:val="auto"/>
        </w:rPr>
      </w:pPr>
      <w:r w:rsidRPr="0012042A">
        <w:rPr>
          <w:rFonts w:eastAsia="Calibri"/>
          <w:b/>
          <w:color w:val="auto"/>
        </w:rPr>
        <w:t>Public Awareness</w:t>
      </w:r>
    </w:p>
    <w:p w14:paraId="59E4033A" w14:textId="73E06813" w:rsidR="00325F8A" w:rsidRPr="0012042A" w:rsidRDefault="00325F8A" w:rsidP="008C4D4A">
      <w:pPr>
        <w:ind w:left="0"/>
        <w:rPr>
          <w:rFonts w:eastAsia="Calibri"/>
          <w:color w:val="auto"/>
        </w:rPr>
      </w:pPr>
      <w:r w:rsidRPr="0012042A">
        <w:rPr>
          <w:rFonts w:eastAsia="Calibri"/>
          <w:color w:val="auto"/>
        </w:rPr>
        <w:t>The third component to the SFS Prog</w:t>
      </w:r>
      <w:r w:rsidR="004C10D4" w:rsidRPr="0012042A">
        <w:rPr>
          <w:rFonts w:eastAsia="Calibri"/>
          <w:color w:val="auto"/>
        </w:rPr>
        <w:t xml:space="preserve">ram model is public awareness. </w:t>
      </w:r>
      <w:r w:rsidRPr="0012042A">
        <w:rPr>
          <w:rFonts w:eastAsia="Calibri"/>
          <w:color w:val="auto"/>
        </w:rPr>
        <w:t>Efforts to involve community members, increase public awareness, incorporate community input into the planning process, and educate residents about the scope</w:t>
      </w:r>
      <w:r w:rsidR="004C10D4" w:rsidRPr="0012042A">
        <w:rPr>
          <w:rFonts w:eastAsia="Calibri"/>
          <w:color w:val="auto"/>
        </w:rPr>
        <w:t xml:space="preserve"> of the problem are essential. </w:t>
      </w:r>
      <w:r w:rsidRPr="0012042A">
        <w:rPr>
          <w:rFonts w:eastAsia="Calibri"/>
          <w:color w:val="auto"/>
        </w:rPr>
        <w:t xml:space="preserve">These efforts range from community presentations; community events; professional trainings, media campaigns; and other methods of increasing awareness on this important topic. </w:t>
      </w:r>
    </w:p>
    <w:p w14:paraId="55EDB0B9" w14:textId="66242DF9" w:rsidR="00CC7F07" w:rsidRDefault="00EA01D6" w:rsidP="008C4D4A">
      <w:pPr>
        <w:ind w:left="0"/>
        <w:rPr>
          <w:rStyle w:val="Hyperlink"/>
          <w:rFonts w:eastAsia="Calibri"/>
          <w:color w:val="auto"/>
        </w:rPr>
      </w:pPr>
      <w:r w:rsidRPr="0012042A">
        <w:rPr>
          <w:rFonts w:eastAsia="Calibri"/>
          <w:color w:val="auto"/>
        </w:rPr>
        <w:t>More recently, ICJIA</w:t>
      </w:r>
      <w:r w:rsidR="00325F8A" w:rsidRPr="0012042A">
        <w:rPr>
          <w:rFonts w:eastAsia="Calibri"/>
          <w:color w:val="auto"/>
        </w:rPr>
        <w:t xml:space="preserve"> has </w:t>
      </w:r>
      <w:r w:rsidR="00436B5A" w:rsidRPr="0012042A">
        <w:rPr>
          <w:rFonts w:eastAsia="Calibri"/>
          <w:color w:val="auto"/>
        </w:rPr>
        <w:t>collaborated</w:t>
      </w:r>
      <w:r w:rsidR="00325F8A" w:rsidRPr="0012042A">
        <w:rPr>
          <w:rFonts w:eastAsia="Calibri"/>
          <w:color w:val="auto"/>
        </w:rPr>
        <w:t xml:space="preserve"> with the Illinois Child Trauma Coalition to create a series of short animated </w:t>
      </w:r>
      <w:r w:rsidR="0038688C" w:rsidRPr="0012042A">
        <w:rPr>
          <w:rFonts w:eastAsia="Calibri"/>
          <w:color w:val="auto"/>
        </w:rPr>
        <w:t>videos</w:t>
      </w:r>
      <w:r w:rsidR="00325F8A" w:rsidRPr="0012042A">
        <w:rPr>
          <w:rFonts w:eastAsia="Calibri"/>
          <w:color w:val="auto"/>
        </w:rPr>
        <w:t xml:space="preserve"> with an accompanying coloring book entitled, “Stories for Children that Grown Ups Can Watch</w:t>
      </w:r>
      <w:r w:rsidR="00436B5A" w:rsidRPr="0012042A">
        <w:rPr>
          <w:rFonts w:eastAsia="Calibri"/>
          <w:color w:val="auto"/>
        </w:rPr>
        <w:t>.”</w:t>
      </w:r>
      <w:r w:rsidR="00325F8A" w:rsidRPr="0012042A">
        <w:rPr>
          <w:rFonts w:eastAsia="Calibri"/>
          <w:color w:val="auto"/>
        </w:rPr>
        <w:t xml:space="preserve"> The first</w:t>
      </w:r>
      <w:r w:rsidR="000C3ED8" w:rsidRPr="0012042A">
        <w:rPr>
          <w:rFonts w:eastAsia="Calibri"/>
          <w:color w:val="auto"/>
        </w:rPr>
        <w:t xml:space="preserve"> video</w:t>
      </w:r>
      <w:r w:rsidR="00325F8A" w:rsidRPr="0012042A">
        <w:rPr>
          <w:rFonts w:eastAsia="Calibri"/>
          <w:color w:val="auto"/>
        </w:rPr>
        <w:t xml:space="preserve">, “Inside Him” depicts a young boy’s </w:t>
      </w:r>
      <w:r w:rsidR="00325F8A" w:rsidRPr="0012042A">
        <w:rPr>
          <w:rFonts w:eastAsia="Calibri"/>
          <w:color w:val="auto"/>
        </w:rPr>
        <w:lastRenderedPageBreak/>
        <w:t>response to violence in his life and how family and community member</w:t>
      </w:r>
      <w:r w:rsidR="0038688C" w:rsidRPr="0012042A">
        <w:rPr>
          <w:rFonts w:eastAsia="Calibri"/>
          <w:color w:val="auto"/>
        </w:rPr>
        <w:t>s can best support him.  The video</w:t>
      </w:r>
      <w:r w:rsidR="00325F8A" w:rsidRPr="0012042A">
        <w:rPr>
          <w:rFonts w:eastAsia="Calibri"/>
          <w:color w:val="auto"/>
        </w:rPr>
        <w:t xml:space="preserve"> also contains an accessible explanation of symptoms and positive things caring adults can do to support children.  The second, “Clingy Thing” depicts a young girl’s response and regression to her </w:t>
      </w:r>
      <w:r w:rsidR="0038688C" w:rsidRPr="0012042A">
        <w:rPr>
          <w:rFonts w:eastAsia="Calibri"/>
          <w:color w:val="auto"/>
        </w:rPr>
        <w:t>parent’s fighting. The third</w:t>
      </w:r>
      <w:r w:rsidR="00325F8A" w:rsidRPr="0012042A">
        <w:rPr>
          <w:rFonts w:eastAsia="Calibri"/>
          <w:color w:val="auto"/>
        </w:rPr>
        <w:t xml:space="preserve">, “Mobile” depicts the impact of violence from an infant’s perspective. </w:t>
      </w:r>
      <w:r w:rsidR="0038688C" w:rsidRPr="0012042A">
        <w:rPr>
          <w:rFonts w:eastAsia="Calibri"/>
          <w:color w:val="auto"/>
        </w:rPr>
        <w:t xml:space="preserve">These videos in English and Spanish can be found here: </w:t>
      </w:r>
      <w:hyperlink r:id="rId9" w:history="1">
        <w:r w:rsidR="00013187" w:rsidRPr="00013187">
          <w:rPr>
            <w:rStyle w:val="Hyperlink"/>
            <w:rFonts w:eastAsia="Calibri"/>
            <w:color w:val="1F4E79" w:themeColor="accent1" w:themeShade="80"/>
          </w:rPr>
          <w:t>http://lookthroughtheireyes.org/videos-2/</w:t>
        </w:r>
      </w:hyperlink>
    </w:p>
    <w:p w14:paraId="790AFC41" w14:textId="191F27C4" w:rsidR="00325F8A" w:rsidRPr="0012042A" w:rsidRDefault="00325F8A" w:rsidP="008C4D4A">
      <w:pPr>
        <w:ind w:left="0"/>
        <w:rPr>
          <w:rFonts w:eastAsia="Calibri"/>
          <w:color w:val="auto"/>
        </w:rPr>
      </w:pPr>
      <w:r w:rsidRPr="0012042A">
        <w:rPr>
          <w:rFonts w:eastAsia="Calibri"/>
          <w:color w:val="auto"/>
        </w:rPr>
        <w:t xml:space="preserve">  </w:t>
      </w:r>
    </w:p>
    <w:p w14:paraId="7679328A" w14:textId="33C899C1" w:rsidR="00325F8A" w:rsidRPr="0012042A" w:rsidRDefault="00325F8A" w:rsidP="008C4D4A">
      <w:pPr>
        <w:ind w:left="0"/>
        <w:rPr>
          <w:rFonts w:eastAsia="Calibri"/>
          <w:b/>
          <w:color w:val="auto"/>
          <w:u w:val="single"/>
        </w:rPr>
      </w:pPr>
      <w:r w:rsidRPr="0012042A">
        <w:rPr>
          <w:rFonts w:eastAsia="Calibri"/>
          <w:b/>
          <w:color w:val="auto"/>
          <w:u w:val="single"/>
        </w:rPr>
        <w:t>Evaluation</w:t>
      </w:r>
    </w:p>
    <w:p w14:paraId="5C075172" w14:textId="44234DDF" w:rsidR="00DE037D" w:rsidRPr="0012042A" w:rsidRDefault="00325F8A" w:rsidP="008C4D4A">
      <w:pPr>
        <w:ind w:left="0"/>
        <w:rPr>
          <w:rFonts w:eastAsia="Calibri"/>
          <w:color w:val="auto"/>
        </w:rPr>
      </w:pPr>
      <w:r w:rsidRPr="0012042A">
        <w:rPr>
          <w:rFonts w:eastAsia="Calibri"/>
          <w:color w:val="auto"/>
        </w:rPr>
        <w:t>The Safe from the Start evaluation is conducted by University of Illinois at Chicago (UIC)</w:t>
      </w:r>
      <w:r w:rsidR="004C10D4" w:rsidRPr="0012042A">
        <w:rPr>
          <w:rFonts w:eastAsia="Calibri"/>
          <w:color w:val="auto"/>
        </w:rPr>
        <w:t xml:space="preserve"> across all SFS sites. </w:t>
      </w:r>
      <w:r w:rsidRPr="0012042A">
        <w:rPr>
          <w:rFonts w:eastAsia="Calibri"/>
          <w:color w:val="auto"/>
        </w:rPr>
        <w:t>UIC maintains a central database that contains specific data on children and families from each site that is gathered as part of the assessm</w:t>
      </w:r>
      <w:r w:rsidR="004C10D4" w:rsidRPr="0012042A">
        <w:rPr>
          <w:rFonts w:eastAsia="Calibri"/>
          <w:color w:val="auto"/>
        </w:rPr>
        <w:t xml:space="preserve">ent process (described above). </w:t>
      </w:r>
      <w:r w:rsidRPr="0012042A">
        <w:rPr>
          <w:rFonts w:eastAsia="Calibri"/>
          <w:color w:val="auto"/>
        </w:rPr>
        <w:t xml:space="preserve">Each site has been provided training on data entry and utilization of the database.  The sites enter the information from the assessment tools into the database, (without identifying information) </w:t>
      </w:r>
      <w:proofErr w:type="gramStart"/>
      <w:r w:rsidRPr="0012042A">
        <w:rPr>
          <w:rFonts w:eastAsia="Calibri"/>
          <w:color w:val="auto"/>
        </w:rPr>
        <w:t>on a monthly basis</w:t>
      </w:r>
      <w:proofErr w:type="gramEnd"/>
      <w:r w:rsidRPr="0012042A">
        <w:rPr>
          <w:rFonts w:eastAsia="Calibri"/>
          <w:color w:val="auto"/>
        </w:rPr>
        <w:t xml:space="preserve"> where it </w:t>
      </w:r>
      <w:r w:rsidR="000F79AA" w:rsidRPr="0012042A">
        <w:rPr>
          <w:rFonts w:eastAsia="Calibri"/>
          <w:color w:val="auto"/>
        </w:rPr>
        <w:t xml:space="preserve">will be analyzed across sites. All sites must continue to use this on-line database. </w:t>
      </w:r>
      <w:r w:rsidRPr="0012042A">
        <w:rPr>
          <w:rFonts w:eastAsia="Calibri"/>
          <w:color w:val="auto"/>
        </w:rPr>
        <w:t xml:space="preserve">Each site </w:t>
      </w:r>
      <w:proofErr w:type="gramStart"/>
      <w:r w:rsidRPr="0012042A">
        <w:rPr>
          <w:rFonts w:eastAsia="Calibri"/>
          <w:color w:val="auto"/>
        </w:rPr>
        <w:t>is able to</w:t>
      </w:r>
      <w:proofErr w:type="gramEnd"/>
      <w:r w:rsidRPr="0012042A">
        <w:rPr>
          <w:rFonts w:eastAsia="Calibri"/>
          <w:color w:val="auto"/>
        </w:rPr>
        <w:t xml:space="preserve"> analyze specific data culled from these </w:t>
      </w:r>
      <w:r w:rsidR="004C10D4" w:rsidRPr="0012042A">
        <w:rPr>
          <w:rFonts w:eastAsia="Calibri"/>
          <w:color w:val="auto"/>
        </w:rPr>
        <w:t xml:space="preserve">instruments for their program. </w:t>
      </w:r>
      <w:r w:rsidRPr="0012042A">
        <w:rPr>
          <w:rFonts w:eastAsia="Calibri"/>
          <w:color w:val="auto"/>
        </w:rPr>
        <w:t>This process provides a comprehensive overview of the accomplishments and activit</w:t>
      </w:r>
      <w:r w:rsidR="00B54550" w:rsidRPr="0012042A">
        <w:rPr>
          <w:rFonts w:eastAsia="Calibri"/>
          <w:color w:val="auto"/>
        </w:rPr>
        <w:t>ies of the project statewide.</w:t>
      </w:r>
      <w:r w:rsidRPr="0012042A">
        <w:rPr>
          <w:rFonts w:eastAsia="Calibri"/>
          <w:color w:val="auto"/>
        </w:rPr>
        <w:t xml:space="preserve"> SFS Sites may contact </w:t>
      </w:r>
      <w:r w:rsidR="00804E15" w:rsidRPr="0012042A">
        <w:rPr>
          <w:rFonts w:eastAsia="Calibri"/>
          <w:color w:val="auto"/>
        </w:rPr>
        <w:t>UIC</w:t>
      </w:r>
      <w:r w:rsidRPr="0012042A">
        <w:rPr>
          <w:rFonts w:eastAsia="Calibri"/>
          <w:color w:val="auto"/>
        </w:rPr>
        <w:t xml:space="preserve"> for assessment tools, data base training</w:t>
      </w:r>
      <w:r w:rsidR="004C10D4" w:rsidRPr="0012042A">
        <w:rPr>
          <w:rFonts w:eastAsia="Calibri"/>
          <w:color w:val="auto"/>
        </w:rPr>
        <w:t xml:space="preserve"> and outcome questions. </w:t>
      </w:r>
      <w:r w:rsidRPr="0012042A">
        <w:rPr>
          <w:rFonts w:eastAsia="Calibri"/>
          <w:color w:val="auto"/>
        </w:rPr>
        <w:t xml:space="preserve">SFS sites should utilize the data for program model review, grant applications and reports. </w:t>
      </w:r>
    </w:p>
    <w:p w14:paraId="6B357BDF" w14:textId="77777777" w:rsidR="00DE037D" w:rsidRPr="0012042A" w:rsidRDefault="00DE037D" w:rsidP="008C4D4A">
      <w:pPr>
        <w:ind w:left="0"/>
        <w:rPr>
          <w:rFonts w:eastAsia="Calibri"/>
          <w:color w:val="auto"/>
        </w:rPr>
      </w:pPr>
    </w:p>
    <w:p w14:paraId="5BC94DC2" w14:textId="634BBA43" w:rsidR="00F501B0" w:rsidRPr="0012042A" w:rsidRDefault="00F501B0" w:rsidP="008C4D4A">
      <w:pPr>
        <w:ind w:left="0"/>
        <w:rPr>
          <w:rFonts w:eastAsia="Calibri"/>
          <w:b/>
          <w:color w:val="auto"/>
          <w:u w:val="single"/>
        </w:rPr>
      </w:pPr>
      <w:r w:rsidRPr="0012042A">
        <w:rPr>
          <w:b/>
          <w:color w:val="auto"/>
          <w:u w:val="single"/>
        </w:rPr>
        <w:t xml:space="preserve">Program Requirements </w:t>
      </w:r>
    </w:p>
    <w:p w14:paraId="734EF275" w14:textId="4267FA2E" w:rsidR="00BE4CDC" w:rsidRPr="0012042A" w:rsidRDefault="00BE4CDC" w:rsidP="008C4D4A">
      <w:pPr>
        <w:ind w:left="0"/>
        <w:rPr>
          <w:color w:val="auto"/>
        </w:rPr>
      </w:pPr>
      <w:r w:rsidRPr="0012042A">
        <w:rPr>
          <w:color w:val="auto"/>
        </w:rPr>
        <w:t>Renewal sites are required to:</w:t>
      </w:r>
    </w:p>
    <w:p w14:paraId="17FBF53E" w14:textId="68463A72" w:rsidR="00BE4CDC" w:rsidRPr="0012042A" w:rsidRDefault="00BE4CDC" w:rsidP="00E02465">
      <w:pPr>
        <w:pStyle w:val="ListParagraph"/>
        <w:numPr>
          <w:ilvl w:val="0"/>
          <w:numId w:val="37"/>
        </w:numPr>
        <w:rPr>
          <w:color w:val="auto"/>
        </w:rPr>
      </w:pPr>
      <w:r w:rsidRPr="0012042A">
        <w:rPr>
          <w:color w:val="auto"/>
        </w:rPr>
        <w:t>Follow the SFS program model</w:t>
      </w:r>
      <w:r w:rsidR="004524F6" w:rsidRPr="0012042A">
        <w:rPr>
          <w:color w:val="auto"/>
        </w:rPr>
        <w:t xml:space="preserve"> as described in the Program Design section</w:t>
      </w:r>
    </w:p>
    <w:p w14:paraId="51BCB56C" w14:textId="53D7C2DC" w:rsidR="004524F6" w:rsidRPr="0012042A" w:rsidRDefault="004524F6" w:rsidP="00E02465">
      <w:pPr>
        <w:pStyle w:val="ListParagraph"/>
        <w:numPr>
          <w:ilvl w:val="0"/>
          <w:numId w:val="37"/>
        </w:numPr>
        <w:rPr>
          <w:color w:val="auto"/>
        </w:rPr>
      </w:pPr>
      <w:r w:rsidRPr="0012042A">
        <w:rPr>
          <w:color w:val="auto"/>
        </w:rPr>
        <w:t>Comply with the evaluation protocol</w:t>
      </w:r>
    </w:p>
    <w:p w14:paraId="175B4D0A" w14:textId="1200A1A9" w:rsidR="004524F6" w:rsidRPr="0012042A" w:rsidRDefault="004524F6" w:rsidP="00E02465">
      <w:pPr>
        <w:pStyle w:val="ListParagraph"/>
        <w:numPr>
          <w:ilvl w:val="0"/>
          <w:numId w:val="37"/>
        </w:numPr>
        <w:rPr>
          <w:color w:val="auto"/>
        </w:rPr>
      </w:pPr>
      <w:r w:rsidRPr="0012042A">
        <w:rPr>
          <w:color w:val="auto"/>
        </w:rPr>
        <w:t xml:space="preserve">Include 50 % FTE Program Coordinator (for non-Chicago sites) </w:t>
      </w:r>
      <w:r w:rsidR="0060123D" w:rsidRPr="0012042A">
        <w:rPr>
          <w:color w:val="auto"/>
        </w:rPr>
        <w:t>funded with SFS or other funds</w:t>
      </w:r>
    </w:p>
    <w:p w14:paraId="03D87D59" w14:textId="2D54411F" w:rsidR="00BF3BE1" w:rsidRPr="0012042A" w:rsidRDefault="00BF3BE1" w:rsidP="00E02465">
      <w:pPr>
        <w:pStyle w:val="ListParagraph"/>
        <w:numPr>
          <w:ilvl w:val="0"/>
          <w:numId w:val="37"/>
        </w:numPr>
        <w:rPr>
          <w:color w:val="auto"/>
        </w:rPr>
      </w:pPr>
      <w:r w:rsidRPr="0012042A">
        <w:rPr>
          <w:color w:val="auto"/>
        </w:rPr>
        <w:t>Attend</w:t>
      </w:r>
      <w:r w:rsidR="00090719" w:rsidRPr="0012042A">
        <w:rPr>
          <w:color w:val="auto"/>
        </w:rPr>
        <w:t xml:space="preserve"> SFS</w:t>
      </w:r>
      <w:r w:rsidRPr="0012042A">
        <w:rPr>
          <w:color w:val="auto"/>
        </w:rPr>
        <w:t xml:space="preserve"> coordinator’s meeting (to be held in </w:t>
      </w:r>
      <w:r w:rsidR="004836A5" w:rsidRPr="0012042A">
        <w:rPr>
          <w:color w:val="auto"/>
        </w:rPr>
        <w:t>the 2nd Quarter</w:t>
      </w:r>
      <w:r w:rsidRPr="0012042A">
        <w:rPr>
          <w:color w:val="auto"/>
        </w:rPr>
        <w:t>) in Central Illinois</w:t>
      </w:r>
    </w:p>
    <w:p w14:paraId="311FDD6F" w14:textId="1C7333D7" w:rsidR="0060123D" w:rsidRPr="0012042A" w:rsidRDefault="0060123D" w:rsidP="00E02465">
      <w:pPr>
        <w:pStyle w:val="ListParagraph"/>
        <w:numPr>
          <w:ilvl w:val="0"/>
          <w:numId w:val="37"/>
        </w:numPr>
        <w:rPr>
          <w:color w:val="auto"/>
        </w:rPr>
      </w:pPr>
      <w:r w:rsidRPr="0012042A">
        <w:rPr>
          <w:color w:val="auto"/>
        </w:rPr>
        <w:t>Submit all quarterly and year end reports</w:t>
      </w:r>
    </w:p>
    <w:p w14:paraId="5DE2E4D4" w14:textId="77777777" w:rsidR="00F26B21" w:rsidRPr="0012042A" w:rsidRDefault="00F26B21" w:rsidP="00524564">
      <w:pPr>
        <w:ind w:left="360"/>
        <w:rPr>
          <w:color w:val="auto"/>
        </w:rPr>
      </w:pPr>
    </w:p>
    <w:p w14:paraId="6A56AD6A" w14:textId="75F22F4A" w:rsidR="00F501B0" w:rsidRPr="0012042A" w:rsidRDefault="00F501B0" w:rsidP="00F60C68">
      <w:pPr>
        <w:ind w:left="0"/>
        <w:rPr>
          <w:color w:val="auto"/>
        </w:rPr>
      </w:pPr>
      <w:r w:rsidRPr="0012042A">
        <w:rPr>
          <w:b/>
          <w:i/>
          <w:color w:val="auto"/>
        </w:rPr>
        <w:t>Evidence-Based Programs or Practices</w:t>
      </w:r>
      <w:r w:rsidRPr="0012042A">
        <w:rPr>
          <w:color w:val="auto"/>
        </w:rPr>
        <w:t xml:space="preserve"> Applicants are strongly urged to incorporate research-based best practices into their program design</w:t>
      </w:r>
      <w:r w:rsidR="00E041FD" w:rsidRPr="0012042A">
        <w:rPr>
          <w:color w:val="auto"/>
        </w:rPr>
        <w:t>, when appropriate</w:t>
      </w:r>
      <w:r w:rsidRPr="0012042A">
        <w:rPr>
          <w:color w:val="auto"/>
        </w:rPr>
        <w:t>. Applicants should identify the evidence-based practice being proposed for implementation, identify and discuss the evidence that shows that the practice is effective, discuss the population(s) for which this practice has been shown to be effective, and show that it is appropriate for the proposed target population.</w:t>
      </w:r>
    </w:p>
    <w:p w14:paraId="1AF601B8" w14:textId="77777777" w:rsidR="00927335" w:rsidRPr="0012042A" w:rsidRDefault="00927335" w:rsidP="00927335">
      <w:pPr>
        <w:ind w:left="0"/>
        <w:rPr>
          <w:color w:val="auto"/>
        </w:rPr>
      </w:pPr>
    </w:p>
    <w:p w14:paraId="5C894E70" w14:textId="7D5758C9" w:rsidR="00F501B0" w:rsidRPr="0012042A" w:rsidRDefault="00F501B0" w:rsidP="00927335">
      <w:pPr>
        <w:ind w:left="0"/>
        <w:rPr>
          <w:b/>
          <w:color w:val="auto"/>
        </w:rPr>
      </w:pPr>
      <w:r w:rsidRPr="0012042A">
        <w:rPr>
          <w:b/>
          <w:i/>
          <w:color w:val="auto"/>
        </w:rPr>
        <w:t>Goals, Objectives, and Performance Metrics</w:t>
      </w:r>
    </w:p>
    <w:p w14:paraId="0C236044" w14:textId="3EAB1E04" w:rsidR="00F501B0" w:rsidRPr="0012042A" w:rsidRDefault="00F501B0" w:rsidP="00524564">
      <w:pPr>
        <w:pStyle w:val="Default"/>
        <w:rPr>
          <w:rFonts w:ascii="Times New Roman" w:hAnsi="Times New Roman" w:cs="Times New Roman"/>
          <w:color w:val="auto"/>
        </w:rPr>
      </w:pPr>
      <w:r w:rsidRPr="0012042A">
        <w:rPr>
          <w:rFonts w:ascii="Times New Roman" w:hAnsi="Times New Roman" w:cs="Times New Roman"/>
          <w:color w:val="auto"/>
        </w:rPr>
        <w:t xml:space="preserve">Funded programs will be required to submit quarterly progress reports that will minimally include the following information based on the objectives the applicant agencies propose in their response to this solicitation. </w:t>
      </w:r>
    </w:p>
    <w:p w14:paraId="4430C2AE" w14:textId="77777777" w:rsidR="00F501B0" w:rsidRPr="0012042A" w:rsidRDefault="00F501B0" w:rsidP="00524564">
      <w:pPr>
        <w:pStyle w:val="Default"/>
        <w:rPr>
          <w:rFonts w:ascii="Times New Roman" w:hAnsi="Times New Roman" w:cs="Times New Roman"/>
          <w:color w:val="auto"/>
        </w:rPr>
      </w:pPr>
    </w:p>
    <w:tbl>
      <w:tblPr>
        <w:tblStyle w:val="TableGrid31"/>
        <w:tblpPr w:leftFromText="180" w:rightFromText="180" w:vertAnchor="text" w:tblpY="1"/>
        <w:tblOverlap w:val="never"/>
        <w:tblW w:w="0" w:type="auto"/>
        <w:tblLook w:val="04A0" w:firstRow="1" w:lastRow="0" w:firstColumn="1" w:lastColumn="0" w:noHBand="0" w:noVBand="1"/>
      </w:tblPr>
      <w:tblGrid>
        <w:gridCol w:w="4442"/>
        <w:gridCol w:w="4458"/>
      </w:tblGrid>
      <w:tr w:rsidR="00F501B0" w:rsidRPr="0012042A" w14:paraId="07C6452E" w14:textId="77777777" w:rsidTr="00087124">
        <w:tc>
          <w:tcPr>
            <w:tcW w:w="8900" w:type="dxa"/>
            <w:gridSpan w:val="2"/>
            <w:shd w:val="clear" w:color="auto" w:fill="auto"/>
          </w:tcPr>
          <w:p w14:paraId="1DA96CF9" w14:textId="0C027882" w:rsidR="00F501B0" w:rsidRPr="0012042A" w:rsidRDefault="0079602F" w:rsidP="00524564">
            <w:pPr>
              <w:rPr>
                <w:rFonts w:ascii="Times New Roman" w:hAnsi="Times New Roman"/>
                <w:b/>
              </w:rPr>
            </w:pPr>
            <w:bookmarkStart w:id="2" w:name="_Hlk3277231"/>
            <w:r w:rsidRPr="0012042A">
              <w:rPr>
                <w:rFonts w:ascii="Times New Roman" w:hAnsi="Times New Roman"/>
                <w:b/>
                <w:sz w:val="24"/>
                <w:szCs w:val="24"/>
              </w:rPr>
              <w:t>Goal 1:  Provide assessment and direct services to children who have been exposed to violence in their home and/or communities.</w:t>
            </w:r>
          </w:p>
        </w:tc>
      </w:tr>
      <w:tr w:rsidR="00F501B0" w:rsidRPr="0012042A" w14:paraId="2BDA2177" w14:textId="77777777" w:rsidTr="00087124">
        <w:tc>
          <w:tcPr>
            <w:tcW w:w="4442" w:type="dxa"/>
            <w:shd w:val="clear" w:color="auto" w:fill="D9D9D9"/>
          </w:tcPr>
          <w:p w14:paraId="5C58BC71" w14:textId="77777777" w:rsidR="00F501B0" w:rsidRPr="0012042A" w:rsidRDefault="00F501B0" w:rsidP="00524564">
            <w:pPr>
              <w:rPr>
                <w:rFonts w:ascii="Times New Roman" w:hAnsi="Times New Roman"/>
                <w:b/>
              </w:rPr>
            </w:pPr>
            <w:r w:rsidRPr="0012042A">
              <w:rPr>
                <w:rFonts w:ascii="Times New Roman" w:hAnsi="Times New Roman"/>
                <w:b/>
              </w:rPr>
              <w:t>Process Objectives</w:t>
            </w:r>
          </w:p>
        </w:tc>
        <w:tc>
          <w:tcPr>
            <w:tcW w:w="4458" w:type="dxa"/>
            <w:shd w:val="clear" w:color="auto" w:fill="D9D9D9"/>
          </w:tcPr>
          <w:p w14:paraId="534226DF" w14:textId="77777777" w:rsidR="00F501B0" w:rsidRPr="0012042A" w:rsidRDefault="00F501B0" w:rsidP="00524564">
            <w:pPr>
              <w:rPr>
                <w:rFonts w:ascii="Times New Roman" w:hAnsi="Times New Roman"/>
                <w:b/>
              </w:rPr>
            </w:pPr>
            <w:r w:rsidRPr="0012042A">
              <w:rPr>
                <w:rFonts w:ascii="Times New Roman" w:hAnsi="Times New Roman"/>
                <w:b/>
              </w:rPr>
              <w:t>Performance Measures</w:t>
            </w:r>
          </w:p>
        </w:tc>
      </w:tr>
      <w:bookmarkEnd w:id="2"/>
      <w:tr w:rsidR="00087124" w:rsidRPr="0012042A" w14:paraId="54F90165" w14:textId="77777777" w:rsidTr="00087124">
        <w:tc>
          <w:tcPr>
            <w:tcW w:w="4442" w:type="dxa"/>
          </w:tcPr>
          <w:p w14:paraId="6A428DA5" w14:textId="0EFA523F" w:rsidR="00087124" w:rsidRPr="0012042A" w:rsidRDefault="00087124" w:rsidP="00524564">
            <w:pPr>
              <w:rPr>
                <w:rFonts w:ascii="Times New Roman" w:hAnsi="Times New Roman"/>
              </w:rPr>
            </w:pPr>
            <w:r w:rsidRPr="0012042A">
              <w:rPr>
                <w:rFonts w:ascii="Times New Roman" w:hAnsi="Times New Roman"/>
                <w:sz w:val="24"/>
                <w:szCs w:val="24"/>
              </w:rPr>
              <w:t xml:space="preserve">Provide developmentally and culturally appropriate direct services to (#) young </w:t>
            </w:r>
            <w:r w:rsidRPr="0012042A">
              <w:rPr>
                <w:rFonts w:ascii="Times New Roman" w:hAnsi="Times New Roman"/>
                <w:sz w:val="24"/>
                <w:szCs w:val="24"/>
              </w:rPr>
              <w:lastRenderedPageBreak/>
              <w:t>children, (ages 0-5) exposed to violence, (#) adults, and (#) families</w:t>
            </w:r>
          </w:p>
        </w:tc>
        <w:tc>
          <w:tcPr>
            <w:tcW w:w="4458" w:type="dxa"/>
          </w:tcPr>
          <w:p w14:paraId="3431FB7A" w14:textId="77777777" w:rsidR="00087124" w:rsidRPr="0012042A" w:rsidRDefault="00087124" w:rsidP="00524564">
            <w:pPr>
              <w:rPr>
                <w:rFonts w:ascii="Times New Roman" w:hAnsi="Times New Roman"/>
                <w:sz w:val="24"/>
                <w:szCs w:val="24"/>
              </w:rPr>
            </w:pPr>
            <w:r w:rsidRPr="0012042A">
              <w:rPr>
                <w:rFonts w:ascii="Times New Roman" w:hAnsi="Times New Roman"/>
                <w:sz w:val="24"/>
                <w:szCs w:val="24"/>
              </w:rPr>
              <w:lastRenderedPageBreak/>
              <w:t xml:space="preserve">Number of adults, children and families to be served </w:t>
            </w:r>
          </w:p>
          <w:p w14:paraId="1640F4B8" w14:textId="77777777" w:rsidR="00087124" w:rsidRPr="0012042A" w:rsidRDefault="00087124" w:rsidP="00524564">
            <w:pPr>
              <w:numPr>
                <w:ilvl w:val="0"/>
                <w:numId w:val="2"/>
              </w:numPr>
              <w:ind w:left="0"/>
              <w:contextualSpacing/>
              <w:rPr>
                <w:rFonts w:ascii="Times New Roman" w:hAnsi="Times New Roman"/>
              </w:rPr>
            </w:pPr>
          </w:p>
        </w:tc>
      </w:tr>
      <w:tr w:rsidR="00087124" w:rsidRPr="0012042A" w14:paraId="67805DBA" w14:textId="77777777" w:rsidTr="00087124">
        <w:tc>
          <w:tcPr>
            <w:tcW w:w="4442" w:type="dxa"/>
          </w:tcPr>
          <w:p w14:paraId="6FB775A0" w14:textId="7C8940D2" w:rsidR="00087124" w:rsidRPr="0012042A" w:rsidRDefault="00087124" w:rsidP="00524564">
            <w:pPr>
              <w:rPr>
                <w:rFonts w:ascii="Times New Roman" w:hAnsi="Times New Roman"/>
              </w:rPr>
            </w:pPr>
            <w:r w:rsidRPr="0012042A">
              <w:rPr>
                <w:rFonts w:ascii="Times New Roman" w:hAnsi="Times New Roman"/>
                <w:sz w:val="24"/>
                <w:szCs w:val="24"/>
              </w:rPr>
              <w:lastRenderedPageBreak/>
              <w:t xml:space="preserve"># referrals received by our agency (from an external source) for families with children, ages 0-5, exposed to violence </w:t>
            </w:r>
          </w:p>
        </w:tc>
        <w:tc>
          <w:tcPr>
            <w:tcW w:w="4458" w:type="dxa"/>
          </w:tcPr>
          <w:p w14:paraId="6C287794" w14:textId="3888BFC3" w:rsidR="00087124" w:rsidRPr="0012042A" w:rsidRDefault="00087124" w:rsidP="00524564">
            <w:pPr>
              <w:numPr>
                <w:ilvl w:val="0"/>
                <w:numId w:val="2"/>
              </w:numPr>
              <w:ind w:left="0"/>
              <w:contextualSpacing/>
              <w:rPr>
                <w:rFonts w:ascii="Times New Roman" w:hAnsi="Times New Roman"/>
              </w:rPr>
            </w:pPr>
            <w:r w:rsidRPr="0012042A">
              <w:rPr>
                <w:rFonts w:ascii="Times New Roman" w:hAnsi="Times New Roman"/>
                <w:sz w:val="24"/>
                <w:szCs w:val="24"/>
              </w:rPr>
              <w:t>Number of referrals to be received</w:t>
            </w:r>
          </w:p>
        </w:tc>
      </w:tr>
      <w:tr w:rsidR="00087124" w:rsidRPr="0012042A" w14:paraId="51A873EB" w14:textId="77777777" w:rsidTr="00087124">
        <w:tc>
          <w:tcPr>
            <w:tcW w:w="4442" w:type="dxa"/>
          </w:tcPr>
          <w:p w14:paraId="71315EE6" w14:textId="77777777" w:rsidR="00087124" w:rsidRPr="0012042A" w:rsidRDefault="00087124" w:rsidP="00524564">
            <w:pPr>
              <w:rPr>
                <w:rFonts w:ascii="Times New Roman" w:hAnsi="Times New Roman"/>
                <w:sz w:val="24"/>
                <w:szCs w:val="24"/>
              </w:rPr>
            </w:pPr>
            <w:r w:rsidRPr="0012042A">
              <w:rPr>
                <w:rFonts w:ascii="Times New Roman" w:hAnsi="Times New Roman"/>
                <w:sz w:val="24"/>
                <w:szCs w:val="24"/>
              </w:rPr>
              <w:t xml:space="preserve">Complete evaluation tools per the SFS Evaluation Protocol for children (and caregivers) receiving SFS services. Grantee will complete: </w:t>
            </w:r>
          </w:p>
          <w:p w14:paraId="0E128D34" w14:textId="77777777" w:rsidR="00087124" w:rsidRPr="0012042A" w:rsidRDefault="00087124" w:rsidP="00524564">
            <w:pPr>
              <w:rPr>
                <w:rFonts w:ascii="Times New Roman" w:hAnsi="Times New Roman"/>
                <w:sz w:val="24"/>
                <w:szCs w:val="24"/>
              </w:rPr>
            </w:pPr>
            <w:r w:rsidRPr="0012042A">
              <w:rPr>
                <w:rFonts w:ascii="Times New Roman" w:hAnsi="Times New Roman"/>
                <w:sz w:val="24"/>
                <w:szCs w:val="24"/>
              </w:rPr>
              <w:t xml:space="preserve"># Time One Assessments; </w:t>
            </w:r>
            <w:r w:rsidRPr="0012042A">
              <w:rPr>
                <w:rFonts w:ascii="Times New Roman" w:hAnsi="Times New Roman"/>
                <w:sz w:val="24"/>
                <w:szCs w:val="24"/>
              </w:rPr>
              <w:br/>
              <w:t xml:space="preserve"># Time Two Assessments; and </w:t>
            </w:r>
          </w:p>
          <w:p w14:paraId="4298973D" w14:textId="78BFA9E0" w:rsidR="00087124" w:rsidRPr="0012042A" w:rsidRDefault="00087124" w:rsidP="00524564">
            <w:pPr>
              <w:rPr>
                <w:rFonts w:ascii="Times New Roman" w:hAnsi="Times New Roman"/>
              </w:rPr>
            </w:pPr>
            <w:r w:rsidRPr="0012042A">
              <w:rPr>
                <w:rFonts w:ascii="Times New Roman" w:hAnsi="Times New Roman"/>
                <w:sz w:val="24"/>
                <w:szCs w:val="24"/>
              </w:rPr>
              <w:t># Time Three assessments.</w:t>
            </w:r>
          </w:p>
        </w:tc>
        <w:tc>
          <w:tcPr>
            <w:tcW w:w="4458" w:type="dxa"/>
          </w:tcPr>
          <w:p w14:paraId="6BE4FA19" w14:textId="77777777" w:rsidR="00087124" w:rsidRPr="0012042A" w:rsidRDefault="00087124" w:rsidP="00524564">
            <w:pPr>
              <w:rPr>
                <w:rFonts w:ascii="Times New Roman" w:hAnsi="Times New Roman"/>
                <w:sz w:val="24"/>
                <w:szCs w:val="24"/>
              </w:rPr>
            </w:pPr>
            <w:r w:rsidRPr="0012042A">
              <w:rPr>
                <w:rFonts w:ascii="Times New Roman" w:hAnsi="Times New Roman"/>
                <w:sz w:val="24"/>
                <w:szCs w:val="24"/>
              </w:rPr>
              <w:t>Number of Time One, Time Two and Time Three Assessments completed</w:t>
            </w:r>
          </w:p>
          <w:p w14:paraId="72EEE3DC" w14:textId="77777777" w:rsidR="00087124" w:rsidRPr="0012042A" w:rsidRDefault="00087124" w:rsidP="00524564">
            <w:pPr>
              <w:numPr>
                <w:ilvl w:val="0"/>
                <w:numId w:val="2"/>
              </w:numPr>
              <w:ind w:left="0"/>
              <w:contextualSpacing/>
              <w:rPr>
                <w:rFonts w:ascii="Times New Roman" w:hAnsi="Times New Roman"/>
              </w:rPr>
            </w:pPr>
          </w:p>
        </w:tc>
      </w:tr>
      <w:tr w:rsidR="00D6037A" w:rsidRPr="0012042A" w14:paraId="6A4D4ABC" w14:textId="77777777" w:rsidTr="00183095">
        <w:tc>
          <w:tcPr>
            <w:tcW w:w="8900" w:type="dxa"/>
            <w:gridSpan w:val="2"/>
          </w:tcPr>
          <w:p w14:paraId="77D2BA98" w14:textId="7A40778A" w:rsidR="00D6037A" w:rsidRPr="0012042A" w:rsidRDefault="00D6037A" w:rsidP="00524564">
            <w:pPr>
              <w:numPr>
                <w:ilvl w:val="0"/>
                <w:numId w:val="3"/>
              </w:numPr>
              <w:ind w:left="0"/>
              <w:contextualSpacing/>
              <w:rPr>
                <w:rFonts w:ascii="Times New Roman" w:hAnsi="Times New Roman"/>
              </w:rPr>
            </w:pPr>
            <w:r w:rsidRPr="0012042A">
              <w:rPr>
                <w:rFonts w:ascii="Times New Roman" w:hAnsi="Times New Roman"/>
                <w:b/>
                <w:sz w:val="24"/>
                <w:szCs w:val="24"/>
              </w:rPr>
              <w:t>Goal 2: Ensure local governmental, social service and community engagement in the SFS program</w:t>
            </w:r>
          </w:p>
        </w:tc>
      </w:tr>
      <w:tr w:rsidR="00087124" w:rsidRPr="0012042A" w14:paraId="0ECFA2D0" w14:textId="77777777" w:rsidTr="00087124">
        <w:tc>
          <w:tcPr>
            <w:tcW w:w="4442" w:type="dxa"/>
          </w:tcPr>
          <w:p w14:paraId="17B8D616" w14:textId="77777777" w:rsidR="00087124" w:rsidRPr="0012042A" w:rsidRDefault="00087124" w:rsidP="00524564">
            <w:pPr>
              <w:rPr>
                <w:rFonts w:ascii="Times New Roman" w:hAnsi="Times New Roman"/>
                <w:b/>
              </w:rPr>
            </w:pPr>
            <w:r w:rsidRPr="0012042A">
              <w:rPr>
                <w:rFonts w:ascii="Times New Roman" w:hAnsi="Times New Roman"/>
                <w:b/>
              </w:rPr>
              <w:t>Process Objectives</w:t>
            </w:r>
          </w:p>
        </w:tc>
        <w:tc>
          <w:tcPr>
            <w:tcW w:w="4458" w:type="dxa"/>
          </w:tcPr>
          <w:p w14:paraId="28F9B634" w14:textId="77777777" w:rsidR="00087124" w:rsidRPr="0012042A" w:rsidRDefault="00087124" w:rsidP="00524564">
            <w:pPr>
              <w:rPr>
                <w:rFonts w:ascii="Times New Roman" w:hAnsi="Times New Roman"/>
                <w:b/>
              </w:rPr>
            </w:pPr>
            <w:r w:rsidRPr="0012042A">
              <w:rPr>
                <w:rFonts w:ascii="Times New Roman" w:hAnsi="Times New Roman"/>
                <w:b/>
              </w:rPr>
              <w:t>Performance Measures</w:t>
            </w:r>
          </w:p>
        </w:tc>
      </w:tr>
      <w:tr w:rsidR="00D6037A" w:rsidRPr="0012042A" w14:paraId="3781AAE0" w14:textId="77777777" w:rsidTr="00087124">
        <w:tc>
          <w:tcPr>
            <w:tcW w:w="4442" w:type="dxa"/>
          </w:tcPr>
          <w:p w14:paraId="4EA5C8B3" w14:textId="26212080" w:rsidR="00D6037A" w:rsidRPr="0012042A" w:rsidRDefault="00D6037A" w:rsidP="00524564">
            <w:pPr>
              <w:rPr>
                <w:rFonts w:ascii="Times New Roman" w:hAnsi="Times New Roman"/>
              </w:rPr>
            </w:pPr>
            <w:r w:rsidRPr="0012042A">
              <w:rPr>
                <w:rFonts w:ascii="Times New Roman" w:hAnsi="Times New Roman"/>
                <w:sz w:val="24"/>
                <w:szCs w:val="24"/>
              </w:rPr>
              <w:t>Convene and maintain the SFS coalition to ensure better collaboration among service providers by holding # coalition meetings</w:t>
            </w:r>
          </w:p>
        </w:tc>
        <w:tc>
          <w:tcPr>
            <w:tcW w:w="4458" w:type="dxa"/>
          </w:tcPr>
          <w:p w14:paraId="5FE88E7D" w14:textId="77777777" w:rsidR="00D6037A" w:rsidRPr="0012042A" w:rsidRDefault="00D6037A" w:rsidP="00524564">
            <w:pPr>
              <w:rPr>
                <w:rFonts w:ascii="Times New Roman" w:hAnsi="Times New Roman"/>
                <w:sz w:val="24"/>
                <w:szCs w:val="24"/>
              </w:rPr>
            </w:pPr>
            <w:r w:rsidRPr="0012042A">
              <w:rPr>
                <w:rFonts w:ascii="Times New Roman" w:hAnsi="Times New Roman"/>
                <w:sz w:val="24"/>
                <w:szCs w:val="24"/>
              </w:rPr>
              <w:t>Number of coalition meetings in which, among other items, the SFS referral systems and services are discussed</w:t>
            </w:r>
          </w:p>
          <w:p w14:paraId="49114B46" w14:textId="77777777" w:rsidR="00D6037A" w:rsidRPr="0012042A" w:rsidRDefault="00D6037A" w:rsidP="00524564">
            <w:pPr>
              <w:numPr>
                <w:ilvl w:val="0"/>
                <w:numId w:val="2"/>
              </w:numPr>
              <w:ind w:left="0"/>
              <w:contextualSpacing/>
              <w:rPr>
                <w:rFonts w:ascii="Times New Roman" w:hAnsi="Times New Roman"/>
              </w:rPr>
            </w:pPr>
          </w:p>
        </w:tc>
      </w:tr>
      <w:tr w:rsidR="00D6037A" w:rsidRPr="0012042A" w14:paraId="4AF43AB5" w14:textId="77777777" w:rsidTr="00087124">
        <w:tc>
          <w:tcPr>
            <w:tcW w:w="4442" w:type="dxa"/>
          </w:tcPr>
          <w:p w14:paraId="0485232D" w14:textId="77AF2FE4" w:rsidR="00D6037A" w:rsidRPr="0012042A" w:rsidRDefault="00D6037A" w:rsidP="00524564">
            <w:pPr>
              <w:rPr>
                <w:rFonts w:ascii="Times New Roman" w:hAnsi="Times New Roman"/>
              </w:rPr>
            </w:pPr>
            <w:r w:rsidRPr="0012042A">
              <w:rPr>
                <w:rFonts w:ascii="Times New Roman" w:hAnsi="Times New Roman"/>
                <w:sz w:val="24"/>
                <w:szCs w:val="24"/>
              </w:rPr>
              <w:t>Maintain an active coalition by ensuring that % of coalition members attend at least 75% of the meetings</w:t>
            </w:r>
          </w:p>
        </w:tc>
        <w:tc>
          <w:tcPr>
            <w:tcW w:w="4458" w:type="dxa"/>
          </w:tcPr>
          <w:p w14:paraId="02A339FC" w14:textId="16CD3FE8" w:rsidR="00D6037A" w:rsidRPr="0012042A" w:rsidRDefault="00D6037A" w:rsidP="00524564">
            <w:pPr>
              <w:numPr>
                <w:ilvl w:val="0"/>
                <w:numId w:val="2"/>
              </w:numPr>
              <w:ind w:left="0"/>
              <w:contextualSpacing/>
              <w:rPr>
                <w:rFonts w:ascii="Times New Roman" w:hAnsi="Times New Roman"/>
              </w:rPr>
            </w:pPr>
            <w:r w:rsidRPr="0012042A">
              <w:rPr>
                <w:rFonts w:ascii="Times New Roman" w:hAnsi="Times New Roman"/>
                <w:sz w:val="24"/>
                <w:szCs w:val="24"/>
              </w:rPr>
              <w:t>Percent of coalition members who attend at least 75% percent of meetings;</w:t>
            </w:r>
          </w:p>
        </w:tc>
      </w:tr>
      <w:tr w:rsidR="00D6037A" w:rsidRPr="0012042A" w14:paraId="2A28A7C2" w14:textId="77777777" w:rsidTr="00087124">
        <w:tc>
          <w:tcPr>
            <w:tcW w:w="4442" w:type="dxa"/>
          </w:tcPr>
          <w:p w14:paraId="167D1A82" w14:textId="5B196758" w:rsidR="00D6037A" w:rsidRPr="0012042A" w:rsidRDefault="00D6037A" w:rsidP="00524564">
            <w:pPr>
              <w:rPr>
                <w:rFonts w:ascii="Times New Roman" w:hAnsi="Times New Roman"/>
              </w:rPr>
            </w:pPr>
            <w:r w:rsidRPr="0012042A">
              <w:rPr>
                <w:rFonts w:ascii="Times New Roman" w:hAnsi="Times New Roman"/>
                <w:sz w:val="24"/>
                <w:szCs w:val="24"/>
              </w:rPr>
              <w:t>Provide on-going education to coalition members through # professional development trainings using the SFS modules</w:t>
            </w:r>
          </w:p>
        </w:tc>
        <w:tc>
          <w:tcPr>
            <w:tcW w:w="4458" w:type="dxa"/>
          </w:tcPr>
          <w:p w14:paraId="789E806B" w14:textId="77777777" w:rsidR="00D6037A" w:rsidRPr="0012042A" w:rsidRDefault="00D6037A" w:rsidP="00524564">
            <w:pPr>
              <w:rPr>
                <w:rFonts w:ascii="Times New Roman" w:hAnsi="Times New Roman"/>
                <w:sz w:val="24"/>
                <w:szCs w:val="24"/>
              </w:rPr>
            </w:pPr>
            <w:r w:rsidRPr="0012042A">
              <w:rPr>
                <w:rFonts w:ascii="Times New Roman" w:hAnsi="Times New Roman"/>
                <w:sz w:val="24"/>
                <w:szCs w:val="24"/>
              </w:rPr>
              <w:t>Number of professional development trainings</w:t>
            </w:r>
            <w:r w:rsidRPr="0012042A" w:rsidDel="004E077B">
              <w:rPr>
                <w:rFonts w:ascii="Times New Roman" w:hAnsi="Times New Roman"/>
                <w:sz w:val="24"/>
                <w:szCs w:val="24"/>
              </w:rPr>
              <w:t xml:space="preserve"> </w:t>
            </w:r>
            <w:r w:rsidRPr="0012042A">
              <w:rPr>
                <w:rFonts w:ascii="Times New Roman" w:hAnsi="Times New Roman"/>
                <w:sz w:val="24"/>
                <w:szCs w:val="24"/>
              </w:rPr>
              <w:t>(using the SFS modules) provided to coalition members.</w:t>
            </w:r>
          </w:p>
          <w:p w14:paraId="586EB528" w14:textId="77777777" w:rsidR="00D6037A" w:rsidRPr="0012042A" w:rsidRDefault="00D6037A" w:rsidP="00524564">
            <w:pPr>
              <w:numPr>
                <w:ilvl w:val="0"/>
                <w:numId w:val="2"/>
              </w:numPr>
              <w:ind w:left="0"/>
              <w:contextualSpacing/>
              <w:rPr>
                <w:rFonts w:ascii="Times New Roman" w:hAnsi="Times New Roman"/>
              </w:rPr>
            </w:pPr>
          </w:p>
        </w:tc>
      </w:tr>
      <w:tr w:rsidR="00D6037A" w:rsidRPr="0012042A" w14:paraId="5DB46675" w14:textId="77777777" w:rsidTr="00183095">
        <w:tc>
          <w:tcPr>
            <w:tcW w:w="8900" w:type="dxa"/>
            <w:gridSpan w:val="2"/>
          </w:tcPr>
          <w:p w14:paraId="6D9DE704" w14:textId="2E08F9F3" w:rsidR="00D6037A" w:rsidRPr="0012042A" w:rsidRDefault="00D6037A" w:rsidP="00524564">
            <w:pPr>
              <w:numPr>
                <w:ilvl w:val="0"/>
                <w:numId w:val="3"/>
              </w:numPr>
              <w:ind w:left="0"/>
              <w:contextualSpacing/>
              <w:rPr>
                <w:rFonts w:ascii="Times New Roman" w:hAnsi="Times New Roman"/>
              </w:rPr>
            </w:pPr>
            <w:r w:rsidRPr="0012042A">
              <w:rPr>
                <w:rFonts w:ascii="Times New Roman" w:hAnsi="Times New Roman"/>
                <w:b/>
                <w:sz w:val="24"/>
                <w:szCs w:val="24"/>
              </w:rPr>
              <w:t>Goal 3: Provide public awareness regarding children exposed to violence</w:t>
            </w:r>
          </w:p>
        </w:tc>
      </w:tr>
      <w:tr w:rsidR="00087124" w:rsidRPr="0012042A" w14:paraId="11625566" w14:textId="77777777" w:rsidTr="00087124">
        <w:tc>
          <w:tcPr>
            <w:tcW w:w="4442" w:type="dxa"/>
          </w:tcPr>
          <w:p w14:paraId="28D1B1D7" w14:textId="77777777" w:rsidR="00087124" w:rsidRPr="0012042A" w:rsidRDefault="00087124" w:rsidP="00524564">
            <w:pPr>
              <w:rPr>
                <w:rFonts w:ascii="Times New Roman" w:hAnsi="Times New Roman"/>
                <w:b/>
              </w:rPr>
            </w:pPr>
            <w:r w:rsidRPr="0012042A">
              <w:rPr>
                <w:rFonts w:ascii="Times New Roman" w:hAnsi="Times New Roman"/>
                <w:b/>
              </w:rPr>
              <w:t>Process Objectives</w:t>
            </w:r>
          </w:p>
        </w:tc>
        <w:tc>
          <w:tcPr>
            <w:tcW w:w="4458" w:type="dxa"/>
          </w:tcPr>
          <w:p w14:paraId="0FA03D74" w14:textId="77777777" w:rsidR="00087124" w:rsidRPr="0012042A" w:rsidRDefault="00087124" w:rsidP="00524564">
            <w:pPr>
              <w:rPr>
                <w:rFonts w:ascii="Times New Roman" w:hAnsi="Times New Roman"/>
                <w:b/>
              </w:rPr>
            </w:pPr>
            <w:r w:rsidRPr="0012042A">
              <w:rPr>
                <w:rFonts w:ascii="Times New Roman" w:hAnsi="Times New Roman"/>
                <w:b/>
              </w:rPr>
              <w:t>Performance Measures</w:t>
            </w:r>
          </w:p>
        </w:tc>
      </w:tr>
      <w:tr w:rsidR="00777DB5" w:rsidRPr="0012042A" w14:paraId="5CDD2253" w14:textId="77777777" w:rsidTr="00087124">
        <w:tc>
          <w:tcPr>
            <w:tcW w:w="4442" w:type="dxa"/>
          </w:tcPr>
          <w:p w14:paraId="0472DDC2" w14:textId="194717FC" w:rsidR="00777DB5" w:rsidRPr="0012042A" w:rsidRDefault="00777DB5" w:rsidP="00524564">
            <w:pPr>
              <w:rPr>
                <w:rFonts w:ascii="Times New Roman" w:hAnsi="Times New Roman"/>
              </w:rPr>
            </w:pPr>
            <w:r w:rsidRPr="0012042A">
              <w:rPr>
                <w:rFonts w:ascii="Times New Roman" w:hAnsi="Times New Roman"/>
                <w:sz w:val="24"/>
                <w:szCs w:val="24"/>
              </w:rPr>
              <w:t>Implement # community presentations (using the SFS modules) to # individuals.</w:t>
            </w:r>
          </w:p>
        </w:tc>
        <w:tc>
          <w:tcPr>
            <w:tcW w:w="4458" w:type="dxa"/>
          </w:tcPr>
          <w:p w14:paraId="4DB168DF" w14:textId="77777777" w:rsidR="00777DB5" w:rsidRPr="0012042A" w:rsidRDefault="00777DB5" w:rsidP="00524564">
            <w:pPr>
              <w:numPr>
                <w:ilvl w:val="0"/>
                <w:numId w:val="2"/>
              </w:numPr>
              <w:ind w:left="0"/>
              <w:contextualSpacing/>
              <w:rPr>
                <w:rFonts w:ascii="Times New Roman" w:hAnsi="Times New Roman"/>
              </w:rPr>
            </w:pPr>
            <w:r w:rsidRPr="0012042A">
              <w:rPr>
                <w:rFonts w:ascii="Times New Roman" w:hAnsi="Times New Roman"/>
                <w:sz w:val="24"/>
                <w:szCs w:val="24"/>
              </w:rPr>
              <w:t xml:space="preserve">Number of community presentations </w:t>
            </w:r>
          </w:p>
          <w:p w14:paraId="45B21BB1" w14:textId="088338AE" w:rsidR="00BA3607" w:rsidRPr="0012042A" w:rsidRDefault="00BA3607" w:rsidP="00524564">
            <w:pPr>
              <w:numPr>
                <w:ilvl w:val="0"/>
                <w:numId w:val="2"/>
              </w:numPr>
              <w:ind w:left="0"/>
              <w:contextualSpacing/>
              <w:rPr>
                <w:rFonts w:ascii="Times New Roman" w:hAnsi="Times New Roman"/>
              </w:rPr>
            </w:pPr>
            <w:r w:rsidRPr="0012042A">
              <w:rPr>
                <w:rFonts w:ascii="Times New Roman" w:hAnsi="Times New Roman"/>
                <w:sz w:val="24"/>
                <w:szCs w:val="24"/>
              </w:rPr>
              <w:t>Number of individuals</w:t>
            </w:r>
          </w:p>
        </w:tc>
      </w:tr>
      <w:tr w:rsidR="00777DB5" w:rsidRPr="0012042A" w14:paraId="4A05B4A1" w14:textId="77777777" w:rsidTr="00087124">
        <w:tc>
          <w:tcPr>
            <w:tcW w:w="4442" w:type="dxa"/>
          </w:tcPr>
          <w:p w14:paraId="2A7ABFDE" w14:textId="77777777" w:rsidR="00777DB5" w:rsidRPr="0012042A" w:rsidRDefault="00777DB5" w:rsidP="00524564">
            <w:pPr>
              <w:rPr>
                <w:rFonts w:ascii="Times New Roman" w:hAnsi="Times New Roman"/>
              </w:rPr>
            </w:pPr>
          </w:p>
        </w:tc>
        <w:tc>
          <w:tcPr>
            <w:tcW w:w="4458" w:type="dxa"/>
          </w:tcPr>
          <w:p w14:paraId="421F68D6" w14:textId="30D66F63" w:rsidR="00777DB5" w:rsidRPr="0012042A" w:rsidRDefault="00777DB5" w:rsidP="00524564">
            <w:pPr>
              <w:numPr>
                <w:ilvl w:val="0"/>
                <w:numId w:val="2"/>
              </w:numPr>
              <w:ind w:left="0"/>
              <w:contextualSpacing/>
              <w:rPr>
                <w:rFonts w:ascii="Times New Roman" w:hAnsi="Times New Roman"/>
              </w:rPr>
            </w:pPr>
          </w:p>
        </w:tc>
      </w:tr>
      <w:tr w:rsidR="00777DB5" w:rsidRPr="0012042A" w14:paraId="6A918859" w14:textId="77777777" w:rsidTr="00087124">
        <w:tc>
          <w:tcPr>
            <w:tcW w:w="4442" w:type="dxa"/>
          </w:tcPr>
          <w:p w14:paraId="57EF6AFD" w14:textId="3F51459F" w:rsidR="00777DB5" w:rsidRPr="0012042A" w:rsidRDefault="00777DB5" w:rsidP="00524564">
            <w:pPr>
              <w:rPr>
                <w:rFonts w:ascii="Times New Roman" w:hAnsi="Times New Roman"/>
              </w:rPr>
            </w:pPr>
            <w:r w:rsidRPr="0012042A">
              <w:rPr>
                <w:rFonts w:ascii="Times New Roman" w:hAnsi="Times New Roman"/>
                <w:sz w:val="24"/>
                <w:szCs w:val="24"/>
              </w:rPr>
              <w:t>Objective/Standard 2: Implement # community events to approximately # individuals</w:t>
            </w:r>
          </w:p>
        </w:tc>
        <w:tc>
          <w:tcPr>
            <w:tcW w:w="4458" w:type="dxa"/>
          </w:tcPr>
          <w:p w14:paraId="4DADDC8D" w14:textId="77777777" w:rsidR="00777DB5" w:rsidRPr="0012042A" w:rsidRDefault="00777DB5" w:rsidP="00524564">
            <w:pPr>
              <w:numPr>
                <w:ilvl w:val="0"/>
                <w:numId w:val="2"/>
              </w:numPr>
              <w:ind w:left="0"/>
              <w:contextualSpacing/>
              <w:rPr>
                <w:rFonts w:ascii="Times New Roman" w:hAnsi="Times New Roman"/>
              </w:rPr>
            </w:pPr>
            <w:r w:rsidRPr="0012042A">
              <w:rPr>
                <w:rFonts w:ascii="Times New Roman" w:hAnsi="Times New Roman"/>
                <w:sz w:val="24"/>
                <w:szCs w:val="24"/>
              </w:rPr>
              <w:t>Number of community events</w:t>
            </w:r>
          </w:p>
          <w:p w14:paraId="16E85856" w14:textId="48255AC1" w:rsidR="00BA3607" w:rsidRPr="0012042A" w:rsidRDefault="00BA3607" w:rsidP="00524564">
            <w:pPr>
              <w:numPr>
                <w:ilvl w:val="0"/>
                <w:numId w:val="2"/>
              </w:numPr>
              <w:ind w:left="0"/>
              <w:contextualSpacing/>
              <w:rPr>
                <w:rFonts w:ascii="Times New Roman" w:hAnsi="Times New Roman"/>
              </w:rPr>
            </w:pPr>
            <w:r w:rsidRPr="0012042A">
              <w:rPr>
                <w:rFonts w:ascii="Times New Roman" w:hAnsi="Times New Roman"/>
                <w:sz w:val="24"/>
                <w:szCs w:val="24"/>
              </w:rPr>
              <w:t>Number of individuals</w:t>
            </w:r>
          </w:p>
        </w:tc>
      </w:tr>
    </w:tbl>
    <w:p w14:paraId="6B1C9007" w14:textId="4492F912" w:rsidR="00F501B0" w:rsidRPr="0012042A" w:rsidRDefault="00F501B0" w:rsidP="00524564">
      <w:pPr>
        <w:ind w:left="360"/>
        <w:rPr>
          <w:color w:val="auto"/>
        </w:rPr>
      </w:pPr>
    </w:p>
    <w:p w14:paraId="18D09441" w14:textId="7C24FFEE" w:rsidR="008C6B7D" w:rsidRPr="0012042A" w:rsidRDefault="008C6B7D" w:rsidP="00524564">
      <w:pPr>
        <w:ind w:left="0"/>
        <w:rPr>
          <w:b/>
          <w:color w:val="auto"/>
          <w:sz w:val="28"/>
          <w:szCs w:val="28"/>
        </w:rPr>
      </w:pPr>
      <w:r w:rsidRPr="0012042A">
        <w:rPr>
          <w:b/>
          <w:color w:val="auto"/>
          <w:sz w:val="28"/>
          <w:szCs w:val="28"/>
        </w:rPr>
        <w:t>B. Funding Information</w:t>
      </w:r>
    </w:p>
    <w:p w14:paraId="1F99C909" w14:textId="62D83B12" w:rsidR="00245C12" w:rsidRPr="0012042A" w:rsidRDefault="008C6B7D" w:rsidP="00524564">
      <w:pPr>
        <w:ind w:left="0"/>
        <w:rPr>
          <w:color w:val="auto"/>
        </w:rPr>
      </w:pPr>
      <w:r w:rsidRPr="0012042A">
        <w:rPr>
          <w:color w:val="auto"/>
        </w:rPr>
        <w:t>This award is utilizing state funds.</w:t>
      </w:r>
      <w:r w:rsidR="00E75460" w:rsidRPr="0012042A">
        <w:rPr>
          <w:color w:val="auto"/>
        </w:rPr>
        <w:t xml:space="preserve"> </w:t>
      </w:r>
      <w:r w:rsidRPr="0012042A">
        <w:rPr>
          <w:color w:val="auto"/>
        </w:rPr>
        <w:t xml:space="preserve">This </w:t>
      </w:r>
      <w:r w:rsidR="00A56B03" w:rsidRPr="0012042A">
        <w:rPr>
          <w:color w:val="auto"/>
        </w:rPr>
        <w:t xml:space="preserve">solicitation seeks renewal application from existing Safe </w:t>
      </w:r>
      <w:proofErr w:type="gramStart"/>
      <w:r w:rsidR="00A56B03" w:rsidRPr="0012042A">
        <w:rPr>
          <w:color w:val="auto"/>
        </w:rPr>
        <w:t>From</w:t>
      </w:r>
      <w:proofErr w:type="gramEnd"/>
      <w:r w:rsidR="00A56B03" w:rsidRPr="0012042A">
        <w:rPr>
          <w:color w:val="auto"/>
        </w:rPr>
        <w:t xml:space="preserve"> the Start sites. </w:t>
      </w:r>
    </w:p>
    <w:p w14:paraId="51D3D669" w14:textId="77777777" w:rsidR="00CB4266" w:rsidRPr="0012042A" w:rsidRDefault="00CB4266" w:rsidP="00CB4266">
      <w:pPr>
        <w:ind w:left="0"/>
        <w:rPr>
          <w:b/>
          <w:i/>
          <w:iCs/>
          <w:color w:val="auto"/>
        </w:rPr>
      </w:pPr>
    </w:p>
    <w:p w14:paraId="3FF66A9F" w14:textId="63A1D0CB" w:rsidR="00630E41" w:rsidRPr="0012042A" w:rsidRDefault="00630E41" w:rsidP="00CB4266">
      <w:pPr>
        <w:ind w:left="0"/>
        <w:rPr>
          <w:b/>
          <w:i/>
          <w:iCs/>
          <w:color w:val="auto"/>
        </w:rPr>
      </w:pPr>
      <w:r w:rsidRPr="0012042A">
        <w:rPr>
          <w:b/>
          <w:i/>
          <w:iCs/>
          <w:color w:val="auto"/>
        </w:rPr>
        <w:t>Award period</w:t>
      </w:r>
    </w:p>
    <w:p w14:paraId="3F2737A6" w14:textId="6499EB3F" w:rsidR="00245C12" w:rsidRPr="0012042A" w:rsidRDefault="00630E41" w:rsidP="00CB4266">
      <w:pPr>
        <w:ind w:left="0"/>
        <w:rPr>
          <w:color w:val="auto"/>
        </w:rPr>
      </w:pPr>
      <w:r w:rsidRPr="0012042A">
        <w:rPr>
          <w:color w:val="auto"/>
        </w:rPr>
        <w:t xml:space="preserve">Grant awards resulting from this opportunity will have a target period of performance of </w:t>
      </w:r>
      <w:r w:rsidR="00CB4266" w:rsidRPr="0012042A">
        <w:rPr>
          <w:color w:val="auto"/>
        </w:rPr>
        <w:t xml:space="preserve">July 1, 2019 – June 30, 2020. </w:t>
      </w:r>
      <w:r w:rsidR="00A5539B" w:rsidRPr="0012042A">
        <w:rPr>
          <w:color w:val="auto"/>
        </w:rPr>
        <w:t xml:space="preserve">Total funding for the grant program </w:t>
      </w:r>
      <w:r w:rsidR="00DF2C2E">
        <w:rPr>
          <w:color w:val="auto"/>
        </w:rPr>
        <w:t xml:space="preserve">is </w:t>
      </w:r>
      <w:r w:rsidR="00A5539B" w:rsidRPr="0012042A">
        <w:rPr>
          <w:color w:val="auto"/>
        </w:rPr>
        <w:t xml:space="preserve">not </w:t>
      </w:r>
      <w:r w:rsidR="00DF2C2E">
        <w:rPr>
          <w:color w:val="auto"/>
        </w:rPr>
        <w:t xml:space="preserve">expected to </w:t>
      </w:r>
      <w:r w:rsidR="00A5539B" w:rsidRPr="0012042A">
        <w:rPr>
          <w:color w:val="auto"/>
        </w:rPr>
        <w:t xml:space="preserve">exceed </w:t>
      </w:r>
      <w:r w:rsidR="00CB4266" w:rsidRPr="0012042A">
        <w:rPr>
          <w:color w:val="auto"/>
        </w:rPr>
        <w:t xml:space="preserve">12 </w:t>
      </w:r>
      <w:r w:rsidR="00A5539B" w:rsidRPr="0012042A">
        <w:rPr>
          <w:color w:val="auto"/>
        </w:rPr>
        <w:t>months.</w:t>
      </w:r>
      <w:r w:rsidR="007940E6" w:rsidRPr="0012042A">
        <w:rPr>
          <w:color w:val="auto"/>
        </w:rPr>
        <w:t xml:space="preserve"> A competitive NOFO </w:t>
      </w:r>
      <w:r w:rsidR="00DF2C2E">
        <w:rPr>
          <w:color w:val="auto"/>
        </w:rPr>
        <w:t xml:space="preserve">is expected to be </w:t>
      </w:r>
      <w:r w:rsidR="007940E6" w:rsidRPr="0012042A">
        <w:rPr>
          <w:color w:val="auto"/>
        </w:rPr>
        <w:t>released for State Fiscal Year 2021.</w:t>
      </w:r>
    </w:p>
    <w:p w14:paraId="2A5EF420" w14:textId="77777777" w:rsidR="00245C12" w:rsidRPr="0012042A" w:rsidRDefault="00245C12" w:rsidP="00524564">
      <w:pPr>
        <w:pStyle w:val="ListParagraph"/>
        <w:ind w:left="0"/>
        <w:rPr>
          <w:color w:val="auto"/>
        </w:rPr>
      </w:pPr>
    </w:p>
    <w:p w14:paraId="417BBEBB" w14:textId="5DB0FE10" w:rsidR="00630E41" w:rsidRPr="0012042A" w:rsidRDefault="00630E41" w:rsidP="00CB4266">
      <w:pPr>
        <w:ind w:left="0"/>
        <w:rPr>
          <w:b/>
          <w:i/>
          <w:iCs/>
          <w:color w:val="auto"/>
        </w:rPr>
      </w:pPr>
      <w:r w:rsidRPr="0012042A">
        <w:rPr>
          <w:b/>
          <w:i/>
          <w:iCs/>
          <w:color w:val="auto"/>
        </w:rPr>
        <w:t>Available Funds</w:t>
      </w:r>
    </w:p>
    <w:p w14:paraId="58CF5D83" w14:textId="067337A7" w:rsidR="001E539D" w:rsidRPr="0012042A" w:rsidRDefault="00630E41" w:rsidP="00CB4266">
      <w:pPr>
        <w:ind w:left="0"/>
        <w:rPr>
          <w:color w:val="auto"/>
        </w:rPr>
      </w:pPr>
      <w:r w:rsidRPr="0012042A">
        <w:rPr>
          <w:color w:val="auto"/>
        </w:rPr>
        <w:lastRenderedPageBreak/>
        <w:t>A total of $</w:t>
      </w:r>
      <w:r w:rsidR="00057A30" w:rsidRPr="0012042A">
        <w:rPr>
          <w:color w:val="auto"/>
        </w:rPr>
        <w:t>1,</w:t>
      </w:r>
      <w:r w:rsidR="00957864" w:rsidRPr="0012042A">
        <w:rPr>
          <w:color w:val="auto"/>
        </w:rPr>
        <w:t>080</w:t>
      </w:r>
      <w:r w:rsidR="00057A30" w:rsidRPr="0012042A">
        <w:rPr>
          <w:color w:val="auto"/>
        </w:rPr>
        <w:t>,000</w:t>
      </w:r>
      <w:r w:rsidRPr="0012042A">
        <w:rPr>
          <w:color w:val="auto"/>
        </w:rPr>
        <w:t xml:space="preserve"> in funding is available through this solicitatio</w:t>
      </w:r>
      <w:r w:rsidR="00A5539B" w:rsidRPr="0012042A">
        <w:rPr>
          <w:color w:val="auto"/>
        </w:rPr>
        <w:t xml:space="preserve">n. </w:t>
      </w:r>
      <w:r w:rsidR="00A519BE" w:rsidRPr="0012042A">
        <w:rPr>
          <w:color w:val="auto"/>
        </w:rPr>
        <w:t>T</w:t>
      </w:r>
      <w:r w:rsidR="00FB7918" w:rsidRPr="0012042A">
        <w:rPr>
          <w:color w:val="auto"/>
        </w:rPr>
        <w:t xml:space="preserve">he amount </w:t>
      </w:r>
      <w:r w:rsidR="00057A30" w:rsidRPr="0012042A">
        <w:rPr>
          <w:color w:val="auto"/>
        </w:rPr>
        <w:t xml:space="preserve">each applicant can request is </w:t>
      </w:r>
      <w:r w:rsidR="00FB7918" w:rsidRPr="0012042A">
        <w:rPr>
          <w:color w:val="auto"/>
        </w:rPr>
        <w:t>$</w:t>
      </w:r>
      <w:r w:rsidR="00057A30" w:rsidRPr="0012042A">
        <w:rPr>
          <w:color w:val="auto"/>
        </w:rPr>
        <w:t>75,000 for Chicago sites and $121,500 for non-Chicago sites</w:t>
      </w:r>
      <w:r w:rsidR="00A12D92" w:rsidRPr="0012042A">
        <w:rPr>
          <w:color w:val="auto"/>
        </w:rPr>
        <w:t xml:space="preserve">. </w:t>
      </w:r>
    </w:p>
    <w:p w14:paraId="000F05D5" w14:textId="77777777" w:rsidR="001E539D" w:rsidRPr="0012042A" w:rsidRDefault="001E539D" w:rsidP="00957864">
      <w:pPr>
        <w:ind w:left="0"/>
        <w:rPr>
          <w:color w:val="auto"/>
        </w:rPr>
      </w:pPr>
    </w:p>
    <w:p w14:paraId="1B55A1B5" w14:textId="4A9F420D" w:rsidR="009E775F" w:rsidRPr="0012042A" w:rsidRDefault="004A4DFD" w:rsidP="00057A30">
      <w:pPr>
        <w:ind w:left="0"/>
        <w:rPr>
          <w:color w:val="auto"/>
        </w:rPr>
      </w:pPr>
      <w:r w:rsidRPr="0012042A">
        <w:rPr>
          <w:color w:val="auto"/>
        </w:rPr>
        <w:t>Agreements that result from this funding opportunity are contingent upon and subject to the availability of funds of sufficient funds. ICJIA, may terminate or suspend this agreement, in whole or in part, without penalty or further payment being required, if (</w:t>
      </w:r>
      <w:proofErr w:type="spellStart"/>
      <w:r w:rsidRPr="0012042A">
        <w:rPr>
          <w:color w:val="auto"/>
        </w:rPr>
        <w:t>i</w:t>
      </w:r>
      <w:proofErr w:type="spellEnd"/>
      <w:r w:rsidRPr="0012042A">
        <w:rPr>
          <w:color w:val="auto"/>
        </w:rPr>
        <w:t>) sufficient funds for the agreement have not been appropriated or otherwise made available to the grantor by the state or the federal funding source, (ii) the governor or grantor reserves funds, or (iii) the governor or ICJIA determines that funds will not or may not be available for payment. ICJIA will provide notice, in writing, to the grantee of any such funding failure and its election to terminate or suspend the agreement as soon as practicable. Any suspension or termination pursuant to this Section will be effective upon the date of the written notice unless otherwise indicated.</w:t>
      </w:r>
    </w:p>
    <w:p w14:paraId="5AB5DB51" w14:textId="77777777" w:rsidR="004A4DFD" w:rsidRPr="0012042A" w:rsidRDefault="004A4DFD" w:rsidP="00524564">
      <w:pPr>
        <w:pStyle w:val="ListParagraph"/>
        <w:ind w:left="360"/>
        <w:rPr>
          <w:color w:val="auto"/>
        </w:rPr>
      </w:pPr>
    </w:p>
    <w:p w14:paraId="1A765A9A" w14:textId="57CE2B07" w:rsidR="00630E41" w:rsidRPr="0012042A" w:rsidRDefault="00630E41" w:rsidP="0065457A">
      <w:pPr>
        <w:ind w:left="0"/>
        <w:rPr>
          <w:color w:val="auto"/>
        </w:rPr>
      </w:pPr>
      <w:r w:rsidRPr="0012042A">
        <w:rPr>
          <w:color w:val="auto"/>
        </w:rPr>
        <w:t xml:space="preserve">Applications must include an Implementation Schedule that describes how the program activities will be carried out. The Implementation Schedule must include information that will allow ICJIA to assess grant activity relative to planned project performance. </w:t>
      </w:r>
    </w:p>
    <w:p w14:paraId="0115755C" w14:textId="77777777" w:rsidR="00630E41" w:rsidRPr="0012042A" w:rsidRDefault="00630E41" w:rsidP="00524564">
      <w:pPr>
        <w:ind w:left="0"/>
        <w:rPr>
          <w:color w:val="auto"/>
        </w:rPr>
      </w:pPr>
    </w:p>
    <w:p w14:paraId="745945AA" w14:textId="2B5BADF4" w:rsidR="008C6B7D" w:rsidRPr="0012042A" w:rsidRDefault="008C6B7D" w:rsidP="00524564">
      <w:pPr>
        <w:autoSpaceDE w:val="0"/>
        <w:autoSpaceDN w:val="0"/>
        <w:adjustRightInd w:val="0"/>
        <w:ind w:left="0"/>
        <w:rPr>
          <w:b/>
          <w:color w:val="auto"/>
          <w:sz w:val="28"/>
          <w:szCs w:val="28"/>
        </w:rPr>
      </w:pPr>
      <w:r w:rsidRPr="0012042A">
        <w:rPr>
          <w:b/>
          <w:color w:val="auto"/>
          <w:sz w:val="28"/>
          <w:szCs w:val="28"/>
        </w:rPr>
        <w:t>C. Eligibility Information</w:t>
      </w:r>
    </w:p>
    <w:p w14:paraId="772D20C9" w14:textId="77777777" w:rsidR="008C6B7D" w:rsidRPr="0012042A" w:rsidRDefault="008C6B7D" w:rsidP="00524564">
      <w:pPr>
        <w:autoSpaceDE w:val="0"/>
        <w:autoSpaceDN w:val="0"/>
        <w:adjustRightInd w:val="0"/>
        <w:ind w:left="0"/>
        <w:rPr>
          <w:b/>
          <w:color w:val="auto"/>
          <w:sz w:val="28"/>
          <w:szCs w:val="28"/>
        </w:rPr>
      </w:pPr>
    </w:p>
    <w:p w14:paraId="2D37299B" w14:textId="5CBBBA99" w:rsidR="004D4FB8" w:rsidRPr="0012042A" w:rsidRDefault="008C6B7D" w:rsidP="00524564">
      <w:pPr>
        <w:autoSpaceDE w:val="0"/>
        <w:autoSpaceDN w:val="0"/>
        <w:adjustRightInd w:val="0"/>
        <w:ind w:left="0"/>
        <w:rPr>
          <w:color w:val="auto"/>
        </w:rPr>
      </w:pPr>
      <w:bookmarkStart w:id="3" w:name="_Hlk534484988"/>
      <w:r w:rsidRPr="0012042A">
        <w:rPr>
          <w:color w:val="auto"/>
        </w:rPr>
        <w:t xml:space="preserve">An entity may not apply for a grant until the entity has registered and pre-qualified through the Grant Accountability and Transparency Act (GATA) Grantee Portal, </w:t>
      </w:r>
      <w:hyperlink r:id="rId10" w:history="1">
        <w:r w:rsidRPr="0012042A">
          <w:rPr>
            <w:rStyle w:val="Hyperlink"/>
            <w:color w:val="auto"/>
          </w:rPr>
          <w:t>www.grants.illinois.gov/portal</w:t>
        </w:r>
      </w:hyperlink>
      <w:r w:rsidRPr="0012042A">
        <w:rPr>
          <w:color w:val="auto"/>
        </w:rPr>
        <w:t xml:space="preserve">. Registration and pre-qualification are required </w:t>
      </w:r>
      <w:r w:rsidR="009C1C06" w:rsidRPr="0012042A">
        <w:rPr>
          <w:color w:val="auto"/>
        </w:rPr>
        <w:t xml:space="preserve">each </w:t>
      </w:r>
      <w:r w:rsidR="004A4DFD" w:rsidRPr="0012042A">
        <w:rPr>
          <w:color w:val="auto"/>
        </w:rPr>
        <w:t>state fiscal year</w:t>
      </w:r>
      <w:r w:rsidRPr="0012042A">
        <w:rPr>
          <w:color w:val="auto"/>
        </w:rPr>
        <w:t xml:space="preserve">. During pre-qualification, verifications are performed including a check of federal SAM.gov Exclusion List and status on the Illinois Stop Payment List. The Grantee Portal alerts the entity </w:t>
      </w:r>
      <w:r w:rsidR="004D4FB8" w:rsidRPr="0012042A">
        <w:rPr>
          <w:color w:val="auto"/>
        </w:rPr>
        <w:t xml:space="preserve">of </w:t>
      </w:r>
      <w:r w:rsidRPr="0012042A">
        <w:rPr>
          <w:color w:val="auto"/>
        </w:rPr>
        <w:t>“qualified” status or informs how to remediate a negative verification (e.g., inactive DUNS, not in good standing with the Secretary of State). Inclusion on the SAM.gov Exclusion List cannot be remediated.</w:t>
      </w:r>
    </w:p>
    <w:p w14:paraId="1D94F7C8" w14:textId="76617B99" w:rsidR="002977C6" w:rsidRPr="0012042A" w:rsidRDefault="002977C6" w:rsidP="00524564">
      <w:pPr>
        <w:autoSpaceDE w:val="0"/>
        <w:autoSpaceDN w:val="0"/>
        <w:adjustRightInd w:val="0"/>
        <w:ind w:left="0"/>
        <w:rPr>
          <w:color w:val="auto"/>
        </w:rPr>
      </w:pPr>
    </w:p>
    <w:p w14:paraId="14CF972B" w14:textId="4B5892BC" w:rsidR="002977C6" w:rsidRPr="0012042A" w:rsidRDefault="002977C6" w:rsidP="00524564">
      <w:pPr>
        <w:autoSpaceDE w:val="0"/>
        <w:autoSpaceDN w:val="0"/>
        <w:adjustRightInd w:val="0"/>
        <w:ind w:left="0"/>
        <w:rPr>
          <w:color w:val="auto"/>
        </w:rPr>
      </w:pPr>
      <w:r w:rsidRPr="0012042A">
        <w:rPr>
          <w:color w:val="auto"/>
        </w:rPr>
        <w:t xml:space="preserve">Applicants are also required to submit a financial and administrative risk assessment utilizing an Internal Controls Questionnaire (ICQ) for </w:t>
      </w:r>
      <w:r w:rsidR="004A4DFD" w:rsidRPr="0012042A">
        <w:rPr>
          <w:color w:val="auto"/>
        </w:rPr>
        <w:t>state fiscal year</w:t>
      </w:r>
      <w:r w:rsidR="008706E9" w:rsidRPr="0012042A">
        <w:rPr>
          <w:color w:val="auto"/>
        </w:rPr>
        <w:t xml:space="preserve"> </w:t>
      </w:r>
      <w:r w:rsidR="00BD4B4C" w:rsidRPr="0012042A">
        <w:rPr>
          <w:color w:val="auto"/>
        </w:rPr>
        <w:t>2020</w:t>
      </w:r>
      <w:r w:rsidRPr="0012042A">
        <w:rPr>
          <w:color w:val="auto"/>
        </w:rPr>
        <w:t xml:space="preserve"> and obtain approval from their cognizant agencies before execution of the grant agreement. Delay in obtaining SFY</w:t>
      </w:r>
      <w:r w:rsidR="00BD4B4C" w:rsidRPr="0012042A">
        <w:rPr>
          <w:color w:val="auto"/>
        </w:rPr>
        <w:t xml:space="preserve">20 </w:t>
      </w:r>
      <w:r w:rsidRPr="0012042A">
        <w:rPr>
          <w:color w:val="auto"/>
        </w:rPr>
        <w:t>ICQ approval will result in a delay in grant execution.</w:t>
      </w:r>
    </w:p>
    <w:bookmarkEnd w:id="3"/>
    <w:p w14:paraId="7419FF16" w14:textId="77777777" w:rsidR="004D4FB8" w:rsidRPr="0012042A" w:rsidRDefault="004D4FB8" w:rsidP="00524564">
      <w:pPr>
        <w:autoSpaceDE w:val="0"/>
        <w:autoSpaceDN w:val="0"/>
        <w:adjustRightInd w:val="0"/>
        <w:ind w:left="0"/>
        <w:rPr>
          <w:color w:val="auto"/>
        </w:rPr>
      </w:pPr>
    </w:p>
    <w:p w14:paraId="717C9061" w14:textId="475E290D" w:rsidR="00674F7F" w:rsidRPr="0012042A" w:rsidRDefault="008C6B7D" w:rsidP="00524564">
      <w:pPr>
        <w:autoSpaceDE w:val="0"/>
        <w:autoSpaceDN w:val="0"/>
        <w:adjustRightInd w:val="0"/>
        <w:ind w:left="360"/>
        <w:rPr>
          <w:color w:val="auto"/>
        </w:rPr>
      </w:pPr>
      <w:r w:rsidRPr="0012042A">
        <w:rPr>
          <w:b/>
          <w:i/>
          <w:color w:val="auto"/>
        </w:rPr>
        <w:t>1. Eligible Applicants</w:t>
      </w:r>
      <w:r w:rsidRPr="0012042A">
        <w:rPr>
          <w:color w:val="auto"/>
        </w:rPr>
        <w:t xml:space="preserve"> </w:t>
      </w:r>
      <w:r w:rsidR="00C96FCE" w:rsidRPr="0012042A">
        <w:rPr>
          <w:color w:val="auto"/>
        </w:rPr>
        <w:t xml:space="preserve">Eligible applicants include FY 19 Safe </w:t>
      </w:r>
      <w:proofErr w:type="gramStart"/>
      <w:r w:rsidR="00C96FCE" w:rsidRPr="0012042A">
        <w:rPr>
          <w:color w:val="auto"/>
        </w:rPr>
        <w:t>From</w:t>
      </w:r>
      <w:proofErr w:type="gramEnd"/>
      <w:r w:rsidR="00C96FCE" w:rsidRPr="0012042A">
        <w:rPr>
          <w:color w:val="auto"/>
        </w:rPr>
        <w:t xml:space="preserve"> the Start funded program</w:t>
      </w:r>
      <w:r w:rsidR="00243C7B" w:rsidRPr="0012042A">
        <w:rPr>
          <w:color w:val="auto"/>
        </w:rPr>
        <w:t xml:space="preserve">s. See sites and geographic areas below. </w:t>
      </w:r>
    </w:p>
    <w:p w14:paraId="6A8F0442" w14:textId="48F6AB43" w:rsidR="009C039E" w:rsidRPr="0012042A" w:rsidRDefault="009C039E" w:rsidP="00524564">
      <w:pPr>
        <w:autoSpaceDE w:val="0"/>
        <w:autoSpaceDN w:val="0"/>
        <w:adjustRightInd w:val="0"/>
        <w:ind w:left="360"/>
        <w:rPr>
          <w:color w:val="auto"/>
        </w:rPr>
      </w:pPr>
    </w:p>
    <w:tbl>
      <w:tblPr>
        <w:tblW w:w="8792" w:type="dxa"/>
        <w:tblInd w:w="108" w:type="dxa"/>
        <w:tblLook w:val="04A0" w:firstRow="1" w:lastRow="0" w:firstColumn="1" w:lastColumn="0" w:noHBand="0" w:noVBand="1"/>
      </w:tblPr>
      <w:tblGrid>
        <w:gridCol w:w="3122"/>
        <w:gridCol w:w="1283"/>
        <w:gridCol w:w="4387"/>
      </w:tblGrid>
      <w:tr w:rsidR="00287A89" w:rsidRPr="0012042A" w14:paraId="5AB74E7A" w14:textId="77777777" w:rsidTr="00287A89">
        <w:trPr>
          <w:trHeight w:val="300"/>
        </w:trPr>
        <w:tc>
          <w:tcPr>
            <w:tcW w:w="3122" w:type="dxa"/>
            <w:tcBorders>
              <w:top w:val="single" w:sz="8" w:space="0" w:color="auto"/>
              <w:left w:val="single" w:sz="8" w:space="0" w:color="auto"/>
              <w:bottom w:val="single" w:sz="4" w:space="0" w:color="auto"/>
              <w:right w:val="single" w:sz="4" w:space="0" w:color="auto"/>
            </w:tcBorders>
            <w:shd w:val="clear" w:color="auto" w:fill="E7E6E6"/>
            <w:noWrap/>
            <w:hideMark/>
          </w:tcPr>
          <w:p w14:paraId="4E759990" w14:textId="77777777" w:rsidR="00287A89" w:rsidRPr="0012042A" w:rsidRDefault="00287A89" w:rsidP="00771537">
            <w:pPr>
              <w:ind w:left="0"/>
              <w:rPr>
                <w:b/>
                <w:bCs/>
                <w:color w:val="auto"/>
              </w:rPr>
            </w:pPr>
            <w:r w:rsidRPr="0012042A">
              <w:rPr>
                <w:b/>
                <w:bCs/>
                <w:color w:val="auto"/>
              </w:rPr>
              <w:t>Implementing Agency</w:t>
            </w:r>
          </w:p>
        </w:tc>
        <w:tc>
          <w:tcPr>
            <w:tcW w:w="1139" w:type="dxa"/>
            <w:tcBorders>
              <w:top w:val="single" w:sz="8" w:space="0" w:color="auto"/>
              <w:left w:val="single" w:sz="4" w:space="0" w:color="auto"/>
              <w:bottom w:val="single" w:sz="4" w:space="0" w:color="auto"/>
              <w:right w:val="single" w:sz="4" w:space="0" w:color="auto"/>
            </w:tcBorders>
            <w:shd w:val="clear" w:color="auto" w:fill="E7E6E6"/>
          </w:tcPr>
          <w:p w14:paraId="6DB0C436" w14:textId="2BB4CD8B" w:rsidR="00287A89" w:rsidRPr="0012042A" w:rsidRDefault="00287A89" w:rsidP="00771537">
            <w:pPr>
              <w:ind w:left="0"/>
              <w:rPr>
                <w:b/>
                <w:bCs/>
                <w:color w:val="auto"/>
              </w:rPr>
            </w:pPr>
            <w:r w:rsidRPr="0012042A">
              <w:rPr>
                <w:b/>
                <w:bCs/>
                <w:color w:val="auto"/>
              </w:rPr>
              <w:t>Maximum Funding Amount</w:t>
            </w:r>
          </w:p>
        </w:tc>
        <w:tc>
          <w:tcPr>
            <w:tcW w:w="4531" w:type="dxa"/>
            <w:tcBorders>
              <w:top w:val="single" w:sz="8" w:space="0" w:color="auto"/>
              <w:left w:val="single" w:sz="4" w:space="0" w:color="auto"/>
              <w:bottom w:val="single" w:sz="4" w:space="0" w:color="auto"/>
              <w:right w:val="single" w:sz="4" w:space="0" w:color="auto"/>
            </w:tcBorders>
            <w:shd w:val="clear" w:color="auto" w:fill="E7E6E6"/>
            <w:hideMark/>
          </w:tcPr>
          <w:p w14:paraId="109116A3" w14:textId="0B022E24" w:rsidR="00287A89" w:rsidRPr="0012042A" w:rsidRDefault="00287A89" w:rsidP="00771537">
            <w:pPr>
              <w:ind w:left="0"/>
              <w:rPr>
                <w:b/>
                <w:bCs/>
                <w:color w:val="auto"/>
              </w:rPr>
            </w:pPr>
            <w:r w:rsidRPr="0012042A">
              <w:rPr>
                <w:b/>
                <w:bCs/>
                <w:color w:val="auto"/>
              </w:rPr>
              <w:t>Geographic Area</w:t>
            </w:r>
          </w:p>
        </w:tc>
      </w:tr>
      <w:tr w:rsidR="00287A89" w:rsidRPr="0012042A" w14:paraId="5E6A006E" w14:textId="77777777" w:rsidTr="00287A89">
        <w:trPr>
          <w:trHeight w:val="863"/>
        </w:trPr>
        <w:tc>
          <w:tcPr>
            <w:tcW w:w="3122" w:type="dxa"/>
            <w:tcBorders>
              <w:top w:val="nil"/>
              <w:left w:val="single" w:sz="8" w:space="0" w:color="auto"/>
              <w:bottom w:val="single" w:sz="4" w:space="0" w:color="auto"/>
              <w:right w:val="single" w:sz="4" w:space="0" w:color="auto"/>
            </w:tcBorders>
            <w:hideMark/>
          </w:tcPr>
          <w:p w14:paraId="454A77C9" w14:textId="77777777" w:rsidR="00287A89" w:rsidRPr="0012042A" w:rsidRDefault="00287A89" w:rsidP="00771537">
            <w:pPr>
              <w:ind w:left="0"/>
              <w:rPr>
                <w:color w:val="auto"/>
              </w:rPr>
            </w:pPr>
            <w:r w:rsidRPr="0012042A">
              <w:rPr>
                <w:color w:val="auto"/>
              </w:rPr>
              <w:t>Children's Advocacy Center of North &amp; Northwest Cook County</w:t>
            </w:r>
          </w:p>
        </w:tc>
        <w:tc>
          <w:tcPr>
            <w:tcW w:w="1139" w:type="dxa"/>
            <w:tcBorders>
              <w:top w:val="nil"/>
              <w:left w:val="single" w:sz="4" w:space="0" w:color="auto"/>
              <w:bottom w:val="single" w:sz="4" w:space="0" w:color="auto"/>
              <w:right w:val="single" w:sz="4" w:space="0" w:color="auto"/>
            </w:tcBorders>
          </w:tcPr>
          <w:p w14:paraId="6E227B74" w14:textId="4DAC8162" w:rsidR="00287A89" w:rsidRPr="0012042A" w:rsidRDefault="00287A89" w:rsidP="00771537">
            <w:pPr>
              <w:ind w:left="0"/>
              <w:rPr>
                <w:color w:val="auto"/>
              </w:rPr>
            </w:pPr>
            <w:r w:rsidRPr="0012042A">
              <w:rPr>
                <w:color w:val="auto"/>
              </w:rPr>
              <w:t>$121,500</w:t>
            </w:r>
          </w:p>
        </w:tc>
        <w:tc>
          <w:tcPr>
            <w:tcW w:w="4531" w:type="dxa"/>
            <w:tcBorders>
              <w:top w:val="nil"/>
              <w:left w:val="single" w:sz="4" w:space="0" w:color="auto"/>
              <w:bottom w:val="single" w:sz="4" w:space="0" w:color="auto"/>
              <w:right w:val="single" w:sz="4" w:space="0" w:color="auto"/>
            </w:tcBorders>
            <w:hideMark/>
          </w:tcPr>
          <w:p w14:paraId="54E22F36" w14:textId="3164411B" w:rsidR="00287A89" w:rsidRPr="0012042A" w:rsidRDefault="00287A89" w:rsidP="00771537">
            <w:pPr>
              <w:ind w:left="0"/>
              <w:rPr>
                <w:color w:val="auto"/>
              </w:rPr>
            </w:pPr>
            <w:r w:rsidRPr="0012042A">
              <w:rPr>
                <w:color w:val="auto"/>
              </w:rPr>
              <w:t>Cook/Kane (Elk Grove, Hanover, Maine, Palatine, Schaumburg, and Wheeling Townships; Prospect Heights; Carpentersville; E. Dundee)</w:t>
            </w:r>
          </w:p>
        </w:tc>
      </w:tr>
      <w:tr w:rsidR="00287A89" w:rsidRPr="0012042A" w14:paraId="3D3B18AC" w14:textId="77777777" w:rsidTr="00287A89">
        <w:trPr>
          <w:trHeight w:val="300"/>
        </w:trPr>
        <w:tc>
          <w:tcPr>
            <w:tcW w:w="3122" w:type="dxa"/>
            <w:tcBorders>
              <w:top w:val="nil"/>
              <w:left w:val="single" w:sz="8" w:space="0" w:color="auto"/>
              <w:bottom w:val="single" w:sz="4" w:space="0" w:color="auto"/>
              <w:right w:val="single" w:sz="4" w:space="0" w:color="auto"/>
            </w:tcBorders>
            <w:hideMark/>
          </w:tcPr>
          <w:p w14:paraId="239F538E" w14:textId="77777777" w:rsidR="00287A89" w:rsidRPr="0012042A" w:rsidRDefault="00287A89" w:rsidP="00771537">
            <w:pPr>
              <w:ind w:left="0"/>
              <w:rPr>
                <w:color w:val="auto"/>
              </w:rPr>
            </w:pPr>
            <w:r w:rsidRPr="0012042A">
              <w:rPr>
                <w:color w:val="auto"/>
              </w:rPr>
              <w:t>Center for Prevention of Abuse</w:t>
            </w:r>
          </w:p>
        </w:tc>
        <w:tc>
          <w:tcPr>
            <w:tcW w:w="1139" w:type="dxa"/>
            <w:tcBorders>
              <w:top w:val="nil"/>
              <w:left w:val="single" w:sz="4" w:space="0" w:color="auto"/>
              <w:bottom w:val="single" w:sz="4" w:space="0" w:color="auto"/>
              <w:right w:val="single" w:sz="4" w:space="0" w:color="auto"/>
            </w:tcBorders>
          </w:tcPr>
          <w:p w14:paraId="26D3F9DC" w14:textId="6196427C" w:rsidR="00287A89" w:rsidRPr="0012042A" w:rsidRDefault="00287A89" w:rsidP="00771537">
            <w:pPr>
              <w:ind w:left="0"/>
              <w:rPr>
                <w:color w:val="auto"/>
              </w:rPr>
            </w:pPr>
            <w:r w:rsidRPr="0012042A">
              <w:rPr>
                <w:color w:val="auto"/>
              </w:rPr>
              <w:t>$121,500</w:t>
            </w:r>
          </w:p>
        </w:tc>
        <w:tc>
          <w:tcPr>
            <w:tcW w:w="4531" w:type="dxa"/>
            <w:tcBorders>
              <w:top w:val="nil"/>
              <w:left w:val="single" w:sz="4" w:space="0" w:color="auto"/>
              <w:bottom w:val="single" w:sz="4" w:space="0" w:color="auto"/>
              <w:right w:val="single" w:sz="4" w:space="0" w:color="auto"/>
            </w:tcBorders>
            <w:hideMark/>
          </w:tcPr>
          <w:p w14:paraId="32552F07" w14:textId="3BE6F864" w:rsidR="00287A89" w:rsidRPr="0012042A" w:rsidRDefault="00287A89" w:rsidP="00771537">
            <w:pPr>
              <w:ind w:left="0"/>
              <w:rPr>
                <w:color w:val="auto"/>
              </w:rPr>
            </w:pPr>
            <w:r w:rsidRPr="0012042A">
              <w:rPr>
                <w:color w:val="auto"/>
              </w:rPr>
              <w:t>Peoria, Tazewell and Woodford</w:t>
            </w:r>
          </w:p>
        </w:tc>
      </w:tr>
      <w:tr w:rsidR="00287A89" w:rsidRPr="0012042A" w14:paraId="732B599D" w14:textId="77777777" w:rsidTr="00287A89">
        <w:trPr>
          <w:trHeight w:val="300"/>
        </w:trPr>
        <w:tc>
          <w:tcPr>
            <w:tcW w:w="3122" w:type="dxa"/>
            <w:tcBorders>
              <w:top w:val="nil"/>
              <w:left w:val="single" w:sz="8" w:space="0" w:color="auto"/>
              <w:bottom w:val="single" w:sz="4" w:space="0" w:color="auto"/>
              <w:right w:val="single" w:sz="4" w:space="0" w:color="auto"/>
            </w:tcBorders>
            <w:hideMark/>
          </w:tcPr>
          <w:p w14:paraId="1F2E5481" w14:textId="77777777" w:rsidR="00287A89" w:rsidRPr="0012042A" w:rsidRDefault="00287A89" w:rsidP="00771537">
            <w:pPr>
              <w:ind w:left="0"/>
              <w:rPr>
                <w:color w:val="auto"/>
              </w:rPr>
            </w:pPr>
            <w:r w:rsidRPr="0012042A">
              <w:rPr>
                <w:color w:val="auto"/>
              </w:rPr>
              <w:lastRenderedPageBreak/>
              <w:t>Casa Central</w:t>
            </w:r>
          </w:p>
        </w:tc>
        <w:tc>
          <w:tcPr>
            <w:tcW w:w="1139" w:type="dxa"/>
            <w:tcBorders>
              <w:top w:val="nil"/>
              <w:left w:val="single" w:sz="4" w:space="0" w:color="auto"/>
              <w:bottom w:val="single" w:sz="4" w:space="0" w:color="auto"/>
              <w:right w:val="single" w:sz="4" w:space="0" w:color="auto"/>
            </w:tcBorders>
          </w:tcPr>
          <w:p w14:paraId="050DD295" w14:textId="21FBE21A" w:rsidR="00287A89" w:rsidRPr="0012042A" w:rsidRDefault="00287A89" w:rsidP="00771537">
            <w:pPr>
              <w:ind w:left="0"/>
              <w:rPr>
                <w:color w:val="auto"/>
              </w:rPr>
            </w:pPr>
            <w:r w:rsidRPr="0012042A">
              <w:rPr>
                <w:color w:val="auto"/>
              </w:rPr>
              <w:t>$75,000</w:t>
            </w:r>
          </w:p>
        </w:tc>
        <w:tc>
          <w:tcPr>
            <w:tcW w:w="4531" w:type="dxa"/>
            <w:tcBorders>
              <w:top w:val="nil"/>
              <w:left w:val="single" w:sz="4" w:space="0" w:color="auto"/>
              <w:bottom w:val="single" w:sz="4" w:space="0" w:color="auto"/>
              <w:right w:val="single" w:sz="4" w:space="0" w:color="auto"/>
            </w:tcBorders>
            <w:hideMark/>
          </w:tcPr>
          <w:p w14:paraId="4F6CA06B" w14:textId="2D25251F" w:rsidR="00287A89" w:rsidRPr="0012042A" w:rsidRDefault="00287A89" w:rsidP="00771537">
            <w:pPr>
              <w:ind w:left="0"/>
              <w:rPr>
                <w:color w:val="auto"/>
              </w:rPr>
            </w:pPr>
            <w:r w:rsidRPr="0012042A">
              <w:rPr>
                <w:color w:val="auto"/>
              </w:rPr>
              <w:t xml:space="preserve">Chicago (Austin, Belmont </w:t>
            </w:r>
            <w:proofErr w:type="spellStart"/>
            <w:r w:rsidRPr="0012042A">
              <w:rPr>
                <w:color w:val="auto"/>
              </w:rPr>
              <w:t>Cragin</w:t>
            </w:r>
            <w:proofErr w:type="spellEnd"/>
            <w:r w:rsidRPr="0012042A">
              <w:rPr>
                <w:color w:val="auto"/>
              </w:rPr>
              <w:t>, Hermosa, Humboldt Park, Logan Square, Near West Side, South Lawndale, West Town)</w:t>
            </w:r>
          </w:p>
        </w:tc>
      </w:tr>
      <w:tr w:rsidR="00287A89" w:rsidRPr="0012042A" w14:paraId="150A4BE8" w14:textId="77777777" w:rsidTr="00287A89">
        <w:trPr>
          <w:trHeight w:val="300"/>
        </w:trPr>
        <w:tc>
          <w:tcPr>
            <w:tcW w:w="3122" w:type="dxa"/>
            <w:tcBorders>
              <w:top w:val="nil"/>
              <w:left w:val="single" w:sz="8" w:space="0" w:color="auto"/>
              <w:bottom w:val="single" w:sz="4" w:space="0" w:color="auto"/>
              <w:right w:val="single" w:sz="4" w:space="0" w:color="auto"/>
            </w:tcBorders>
            <w:hideMark/>
          </w:tcPr>
          <w:p w14:paraId="6119D079" w14:textId="77777777" w:rsidR="00287A89" w:rsidRPr="0012042A" w:rsidRDefault="00287A89" w:rsidP="00771537">
            <w:pPr>
              <w:ind w:left="0"/>
              <w:rPr>
                <w:color w:val="auto"/>
              </w:rPr>
            </w:pPr>
            <w:r w:rsidRPr="0012042A">
              <w:rPr>
                <w:color w:val="auto"/>
              </w:rPr>
              <w:t>Child Abuse Council</w:t>
            </w:r>
          </w:p>
        </w:tc>
        <w:tc>
          <w:tcPr>
            <w:tcW w:w="1139" w:type="dxa"/>
            <w:tcBorders>
              <w:top w:val="nil"/>
              <w:left w:val="single" w:sz="4" w:space="0" w:color="auto"/>
              <w:bottom w:val="single" w:sz="4" w:space="0" w:color="auto"/>
              <w:right w:val="single" w:sz="4" w:space="0" w:color="auto"/>
            </w:tcBorders>
          </w:tcPr>
          <w:p w14:paraId="05104A5F" w14:textId="572351AC" w:rsidR="00287A89" w:rsidRPr="0012042A" w:rsidRDefault="00287A89" w:rsidP="00771537">
            <w:pPr>
              <w:ind w:left="0"/>
              <w:rPr>
                <w:color w:val="auto"/>
              </w:rPr>
            </w:pPr>
            <w:r w:rsidRPr="0012042A">
              <w:rPr>
                <w:color w:val="auto"/>
              </w:rPr>
              <w:t>$121,500</w:t>
            </w:r>
          </w:p>
        </w:tc>
        <w:tc>
          <w:tcPr>
            <w:tcW w:w="4531" w:type="dxa"/>
            <w:tcBorders>
              <w:top w:val="nil"/>
              <w:left w:val="single" w:sz="4" w:space="0" w:color="auto"/>
              <w:bottom w:val="single" w:sz="4" w:space="0" w:color="auto"/>
              <w:right w:val="single" w:sz="4" w:space="0" w:color="auto"/>
            </w:tcBorders>
            <w:hideMark/>
          </w:tcPr>
          <w:p w14:paraId="365F9649" w14:textId="7E545A11" w:rsidR="00287A89" w:rsidRPr="0012042A" w:rsidRDefault="00287A89" w:rsidP="00771537">
            <w:pPr>
              <w:ind w:left="0"/>
              <w:rPr>
                <w:color w:val="auto"/>
              </w:rPr>
            </w:pPr>
            <w:r w:rsidRPr="0012042A">
              <w:rPr>
                <w:color w:val="auto"/>
              </w:rPr>
              <w:t>Rock Island, Henry and Mercer</w:t>
            </w:r>
          </w:p>
        </w:tc>
      </w:tr>
      <w:tr w:rsidR="00287A89" w:rsidRPr="0012042A" w14:paraId="20BAF25F" w14:textId="77777777" w:rsidTr="00287A89">
        <w:trPr>
          <w:trHeight w:val="300"/>
        </w:trPr>
        <w:tc>
          <w:tcPr>
            <w:tcW w:w="3122" w:type="dxa"/>
            <w:tcBorders>
              <w:top w:val="nil"/>
              <w:left w:val="single" w:sz="8" w:space="0" w:color="auto"/>
              <w:bottom w:val="single" w:sz="4" w:space="0" w:color="auto"/>
              <w:right w:val="single" w:sz="4" w:space="0" w:color="auto"/>
            </w:tcBorders>
            <w:hideMark/>
          </w:tcPr>
          <w:p w14:paraId="470EC7C4" w14:textId="77777777" w:rsidR="00287A89" w:rsidRPr="0012042A" w:rsidRDefault="00287A89" w:rsidP="00243C7B">
            <w:pPr>
              <w:ind w:left="0"/>
              <w:rPr>
                <w:color w:val="auto"/>
              </w:rPr>
            </w:pPr>
            <w:r w:rsidRPr="0012042A">
              <w:rPr>
                <w:color w:val="auto"/>
              </w:rPr>
              <w:t>Children's Home + Aid Society of Illinois</w:t>
            </w:r>
          </w:p>
        </w:tc>
        <w:tc>
          <w:tcPr>
            <w:tcW w:w="1139" w:type="dxa"/>
            <w:tcBorders>
              <w:top w:val="nil"/>
              <w:left w:val="single" w:sz="4" w:space="0" w:color="auto"/>
              <w:bottom w:val="single" w:sz="4" w:space="0" w:color="auto"/>
              <w:right w:val="single" w:sz="4" w:space="0" w:color="auto"/>
            </w:tcBorders>
          </w:tcPr>
          <w:p w14:paraId="2907326A" w14:textId="37B9B70B" w:rsidR="00287A89" w:rsidRPr="0012042A" w:rsidRDefault="00287A89" w:rsidP="00243C7B">
            <w:pPr>
              <w:ind w:left="0"/>
              <w:rPr>
                <w:color w:val="auto"/>
              </w:rPr>
            </w:pPr>
            <w:r w:rsidRPr="0012042A">
              <w:rPr>
                <w:color w:val="auto"/>
              </w:rPr>
              <w:t>$121,500</w:t>
            </w:r>
          </w:p>
        </w:tc>
        <w:tc>
          <w:tcPr>
            <w:tcW w:w="4531" w:type="dxa"/>
            <w:tcBorders>
              <w:top w:val="nil"/>
              <w:left w:val="single" w:sz="4" w:space="0" w:color="auto"/>
              <w:bottom w:val="single" w:sz="4" w:space="0" w:color="auto"/>
              <w:right w:val="single" w:sz="4" w:space="0" w:color="auto"/>
            </w:tcBorders>
            <w:hideMark/>
          </w:tcPr>
          <w:p w14:paraId="1D1284CB" w14:textId="5D01CC4B" w:rsidR="00287A89" w:rsidRPr="0012042A" w:rsidRDefault="00287A89" w:rsidP="00243C7B">
            <w:pPr>
              <w:ind w:left="0"/>
              <w:rPr>
                <w:color w:val="auto"/>
              </w:rPr>
            </w:pPr>
            <w:r w:rsidRPr="0012042A">
              <w:rPr>
                <w:color w:val="auto"/>
              </w:rPr>
              <w:t>McLean</w:t>
            </w:r>
          </w:p>
        </w:tc>
      </w:tr>
      <w:tr w:rsidR="00287A89" w:rsidRPr="0012042A" w14:paraId="281B5E69" w14:textId="77777777" w:rsidTr="00287A89">
        <w:trPr>
          <w:trHeight w:val="300"/>
        </w:trPr>
        <w:tc>
          <w:tcPr>
            <w:tcW w:w="3122" w:type="dxa"/>
            <w:tcBorders>
              <w:top w:val="nil"/>
              <w:left w:val="single" w:sz="8" w:space="0" w:color="auto"/>
              <w:bottom w:val="single" w:sz="4" w:space="0" w:color="auto"/>
              <w:right w:val="single" w:sz="4" w:space="0" w:color="auto"/>
            </w:tcBorders>
            <w:hideMark/>
          </w:tcPr>
          <w:p w14:paraId="3EF0E441" w14:textId="30507B94" w:rsidR="00287A89" w:rsidRPr="0012042A" w:rsidRDefault="00287A89" w:rsidP="00243C7B">
            <w:pPr>
              <w:ind w:left="0"/>
              <w:rPr>
                <w:color w:val="auto"/>
              </w:rPr>
            </w:pPr>
            <w:r w:rsidRPr="0012042A">
              <w:rPr>
                <w:color w:val="auto"/>
              </w:rPr>
              <w:t>Family Focus, Inc.</w:t>
            </w:r>
          </w:p>
        </w:tc>
        <w:tc>
          <w:tcPr>
            <w:tcW w:w="1139" w:type="dxa"/>
            <w:tcBorders>
              <w:top w:val="nil"/>
              <w:left w:val="single" w:sz="4" w:space="0" w:color="auto"/>
              <w:bottom w:val="single" w:sz="4" w:space="0" w:color="auto"/>
              <w:right w:val="single" w:sz="4" w:space="0" w:color="auto"/>
            </w:tcBorders>
          </w:tcPr>
          <w:p w14:paraId="08232E23" w14:textId="39BE060D" w:rsidR="00287A89" w:rsidRPr="0012042A" w:rsidRDefault="00287A89" w:rsidP="00243C7B">
            <w:pPr>
              <w:ind w:left="0"/>
              <w:rPr>
                <w:color w:val="auto"/>
              </w:rPr>
            </w:pPr>
            <w:r w:rsidRPr="0012042A">
              <w:rPr>
                <w:color w:val="auto"/>
              </w:rPr>
              <w:t>$75,000</w:t>
            </w:r>
          </w:p>
        </w:tc>
        <w:tc>
          <w:tcPr>
            <w:tcW w:w="4531" w:type="dxa"/>
            <w:tcBorders>
              <w:top w:val="nil"/>
              <w:left w:val="single" w:sz="4" w:space="0" w:color="auto"/>
              <w:bottom w:val="single" w:sz="4" w:space="0" w:color="auto"/>
              <w:right w:val="single" w:sz="4" w:space="0" w:color="auto"/>
            </w:tcBorders>
            <w:hideMark/>
          </w:tcPr>
          <w:p w14:paraId="3A715EDD" w14:textId="1425C5D5" w:rsidR="00287A89" w:rsidRPr="0012042A" w:rsidRDefault="00287A89" w:rsidP="00243C7B">
            <w:pPr>
              <w:ind w:left="0"/>
              <w:rPr>
                <w:color w:val="auto"/>
              </w:rPr>
            </w:pPr>
            <w:r w:rsidRPr="0012042A">
              <w:rPr>
                <w:color w:val="auto"/>
              </w:rPr>
              <w:t>Cook (Englewood and W Englewood)</w:t>
            </w:r>
          </w:p>
        </w:tc>
      </w:tr>
      <w:tr w:rsidR="00287A89" w:rsidRPr="0012042A" w14:paraId="45BB534A" w14:textId="77777777" w:rsidTr="00287A89">
        <w:trPr>
          <w:trHeight w:val="300"/>
        </w:trPr>
        <w:tc>
          <w:tcPr>
            <w:tcW w:w="3122" w:type="dxa"/>
            <w:tcBorders>
              <w:top w:val="nil"/>
              <w:left w:val="single" w:sz="8" w:space="0" w:color="auto"/>
              <w:bottom w:val="single" w:sz="4" w:space="0" w:color="auto"/>
              <w:right w:val="single" w:sz="4" w:space="0" w:color="auto"/>
            </w:tcBorders>
            <w:hideMark/>
          </w:tcPr>
          <w:p w14:paraId="3D01B730" w14:textId="77777777" w:rsidR="00287A89" w:rsidRPr="0012042A" w:rsidRDefault="00287A89" w:rsidP="00243C7B">
            <w:pPr>
              <w:ind w:left="0"/>
              <w:rPr>
                <w:color w:val="auto"/>
              </w:rPr>
            </w:pPr>
            <w:r w:rsidRPr="0012042A">
              <w:rPr>
                <w:color w:val="auto"/>
              </w:rPr>
              <w:t>Heartland Human Care Services</w:t>
            </w:r>
          </w:p>
        </w:tc>
        <w:tc>
          <w:tcPr>
            <w:tcW w:w="1139" w:type="dxa"/>
            <w:tcBorders>
              <w:top w:val="nil"/>
              <w:left w:val="single" w:sz="4" w:space="0" w:color="auto"/>
              <w:bottom w:val="single" w:sz="4" w:space="0" w:color="auto"/>
              <w:right w:val="single" w:sz="4" w:space="0" w:color="auto"/>
            </w:tcBorders>
          </w:tcPr>
          <w:p w14:paraId="46DB4B56" w14:textId="296A1190" w:rsidR="00287A89" w:rsidRPr="0012042A" w:rsidRDefault="00287A89" w:rsidP="00243C7B">
            <w:pPr>
              <w:ind w:left="0"/>
              <w:rPr>
                <w:color w:val="auto"/>
              </w:rPr>
            </w:pPr>
            <w:r w:rsidRPr="0012042A">
              <w:rPr>
                <w:color w:val="auto"/>
              </w:rPr>
              <w:t>$75,000</w:t>
            </w:r>
          </w:p>
        </w:tc>
        <w:tc>
          <w:tcPr>
            <w:tcW w:w="4531" w:type="dxa"/>
            <w:tcBorders>
              <w:top w:val="nil"/>
              <w:left w:val="single" w:sz="4" w:space="0" w:color="auto"/>
              <w:bottom w:val="single" w:sz="4" w:space="0" w:color="auto"/>
              <w:right w:val="single" w:sz="4" w:space="0" w:color="auto"/>
            </w:tcBorders>
            <w:shd w:val="clear" w:color="auto" w:fill="auto"/>
            <w:hideMark/>
          </w:tcPr>
          <w:p w14:paraId="05DD8C80" w14:textId="48AD9934" w:rsidR="00287A89" w:rsidRPr="0012042A" w:rsidRDefault="00287A89" w:rsidP="00243C7B">
            <w:pPr>
              <w:ind w:left="0"/>
              <w:rPr>
                <w:color w:val="auto"/>
              </w:rPr>
            </w:pPr>
            <w:r w:rsidRPr="0012042A">
              <w:rPr>
                <w:color w:val="auto"/>
              </w:rPr>
              <w:t>Cook (Pilsen, Little Village, Brighton Park, Back of the Yards, McKinley Park)</w:t>
            </w:r>
          </w:p>
        </w:tc>
      </w:tr>
      <w:tr w:rsidR="00287A89" w:rsidRPr="0012042A" w14:paraId="2A09085C" w14:textId="77777777" w:rsidTr="00287A89">
        <w:trPr>
          <w:trHeight w:val="315"/>
        </w:trPr>
        <w:tc>
          <w:tcPr>
            <w:tcW w:w="3122" w:type="dxa"/>
            <w:tcBorders>
              <w:top w:val="nil"/>
              <w:left w:val="single" w:sz="8" w:space="0" w:color="auto"/>
              <w:bottom w:val="single" w:sz="8" w:space="0" w:color="auto"/>
              <w:right w:val="single" w:sz="4" w:space="0" w:color="auto"/>
            </w:tcBorders>
            <w:hideMark/>
          </w:tcPr>
          <w:p w14:paraId="3E7719F8" w14:textId="77777777" w:rsidR="00287A89" w:rsidRPr="0012042A" w:rsidRDefault="00287A89" w:rsidP="00243C7B">
            <w:pPr>
              <w:ind w:left="0"/>
              <w:rPr>
                <w:color w:val="auto"/>
              </w:rPr>
            </w:pPr>
            <w:r w:rsidRPr="0012042A">
              <w:rPr>
                <w:color w:val="auto"/>
              </w:rPr>
              <w:t>Metropolitan Family Services</w:t>
            </w:r>
          </w:p>
        </w:tc>
        <w:tc>
          <w:tcPr>
            <w:tcW w:w="1139" w:type="dxa"/>
            <w:tcBorders>
              <w:top w:val="nil"/>
              <w:left w:val="single" w:sz="4" w:space="0" w:color="auto"/>
              <w:bottom w:val="single" w:sz="8" w:space="0" w:color="auto"/>
              <w:right w:val="single" w:sz="4" w:space="0" w:color="auto"/>
            </w:tcBorders>
          </w:tcPr>
          <w:p w14:paraId="45BC2401" w14:textId="243D024E" w:rsidR="00287A89" w:rsidRPr="0012042A" w:rsidRDefault="00287A89" w:rsidP="00243C7B">
            <w:pPr>
              <w:ind w:left="0"/>
              <w:rPr>
                <w:color w:val="auto"/>
              </w:rPr>
            </w:pPr>
            <w:r w:rsidRPr="0012042A">
              <w:rPr>
                <w:color w:val="auto"/>
              </w:rPr>
              <w:t>$75,000</w:t>
            </w:r>
          </w:p>
        </w:tc>
        <w:tc>
          <w:tcPr>
            <w:tcW w:w="4531" w:type="dxa"/>
            <w:tcBorders>
              <w:top w:val="nil"/>
              <w:left w:val="single" w:sz="4" w:space="0" w:color="auto"/>
              <w:bottom w:val="single" w:sz="8" w:space="0" w:color="auto"/>
              <w:right w:val="single" w:sz="4" w:space="0" w:color="auto"/>
            </w:tcBorders>
            <w:hideMark/>
          </w:tcPr>
          <w:p w14:paraId="7A2C21FF" w14:textId="65E60E36" w:rsidR="00287A89" w:rsidRPr="0012042A" w:rsidRDefault="00287A89" w:rsidP="00243C7B">
            <w:pPr>
              <w:ind w:left="0"/>
              <w:rPr>
                <w:color w:val="auto"/>
              </w:rPr>
            </w:pPr>
            <w:r w:rsidRPr="0012042A">
              <w:rPr>
                <w:color w:val="auto"/>
              </w:rPr>
              <w:t>Cook (Roseland, Pullman, West Pullman)</w:t>
            </w:r>
          </w:p>
        </w:tc>
      </w:tr>
      <w:tr w:rsidR="00287A89" w:rsidRPr="0012042A" w14:paraId="635A5C0D" w14:textId="77777777" w:rsidTr="00287A89">
        <w:trPr>
          <w:trHeight w:val="315"/>
        </w:trPr>
        <w:tc>
          <w:tcPr>
            <w:tcW w:w="3122" w:type="dxa"/>
            <w:tcBorders>
              <w:top w:val="nil"/>
              <w:left w:val="single" w:sz="8" w:space="0" w:color="auto"/>
              <w:bottom w:val="single" w:sz="8" w:space="0" w:color="auto"/>
              <w:right w:val="single" w:sz="4" w:space="0" w:color="auto"/>
            </w:tcBorders>
            <w:hideMark/>
          </w:tcPr>
          <w:p w14:paraId="37927E39" w14:textId="77777777" w:rsidR="00287A89" w:rsidRPr="0012042A" w:rsidRDefault="00287A89" w:rsidP="00243C7B">
            <w:pPr>
              <w:ind w:left="0"/>
              <w:rPr>
                <w:color w:val="auto"/>
              </w:rPr>
            </w:pPr>
            <w:r w:rsidRPr="0012042A">
              <w:rPr>
                <w:color w:val="auto"/>
              </w:rPr>
              <w:t>South Suburban Family Shelter, Inc.</w:t>
            </w:r>
          </w:p>
        </w:tc>
        <w:tc>
          <w:tcPr>
            <w:tcW w:w="1139" w:type="dxa"/>
            <w:tcBorders>
              <w:top w:val="nil"/>
              <w:left w:val="single" w:sz="4" w:space="0" w:color="auto"/>
              <w:bottom w:val="single" w:sz="8" w:space="0" w:color="auto"/>
              <w:right w:val="single" w:sz="4" w:space="0" w:color="auto"/>
            </w:tcBorders>
          </w:tcPr>
          <w:p w14:paraId="600E6114" w14:textId="09039BE7" w:rsidR="00287A89" w:rsidRPr="0012042A" w:rsidRDefault="00287A89" w:rsidP="00243C7B">
            <w:pPr>
              <w:ind w:left="0"/>
              <w:rPr>
                <w:color w:val="auto"/>
              </w:rPr>
            </w:pPr>
            <w:r w:rsidRPr="0012042A">
              <w:rPr>
                <w:color w:val="auto"/>
              </w:rPr>
              <w:t>$</w:t>
            </w:r>
            <w:r w:rsidR="00544DAD">
              <w:rPr>
                <w:color w:val="auto"/>
              </w:rPr>
              <w:t>121</w:t>
            </w:r>
            <w:r w:rsidRPr="0012042A">
              <w:rPr>
                <w:color w:val="auto"/>
              </w:rPr>
              <w:t>,</w:t>
            </w:r>
            <w:r w:rsidR="00544DAD">
              <w:rPr>
                <w:color w:val="auto"/>
              </w:rPr>
              <w:t>5</w:t>
            </w:r>
            <w:r w:rsidRPr="0012042A">
              <w:rPr>
                <w:color w:val="auto"/>
              </w:rPr>
              <w:t>00</w:t>
            </w:r>
          </w:p>
        </w:tc>
        <w:tc>
          <w:tcPr>
            <w:tcW w:w="4531" w:type="dxa"/>
            <w:tcBorders>
              <w:top w:val="nil"/>
              <w:left w:val="single" w:sz="4" w:space="0" w:color="auto"/>
              <w:bottom w:val="single" w:sz="8" w:space="0" w:color="auto"/>
              <w:right w:val="single" w:sz="4" w:space="0" w:color="auto"/>
            </w:tcBorders>
            <w:hideMark/>
          </w:tcPr>
          <w:p w14:paraId="0A013185" w14:textId="5DBE13E7" w:rsidR="00287A89" w:rsidRPr="0012042A" w:rsidRDefault="00287A89" w:rsidP="00243C7B">
            <w:pPr>
              <w:ind w:left="0"/>
              <w:rPr>
                <w:color w:val="auto"/>
              </w:rPr>
            </w:pPr>
            <w:r w:rsidRPr="0012042A">
              <w:rPr>
                <w:color w:val="auto"/>
              </w:rPr>
              <w:t>Cook and Will (Townships include: Bloom, Bremen, Calumet, Orland, Palos, Rich, Thornton, Worth, Crete, Frankfort, Manhattan, Monee, New Lennox, Peotone and Washington)</w:t>
            </w:r>
          </w:p>
        </w:tc>
      </w:tr>
    </w:tbl>
    <w:p w14:paraId="3A14FA6A" w14:textId="77777777" w:rsidR="009C039E" w:rsidRPr="0012042A" w:rsidRDefault="009C039E" w:rsidP="00524564">
      <w:pPr>
        <w:autoSpaceDE w:val="0"/>
        <w:autoSpaceDN w:val="0"/>
        <w:adjustRightInd w:val="0"/>
        <w:ind w:left="360"/>
        <w:rPr>
          <w:color w:val="auto"/>
        </w:rPr>
      </w:pPr>
    </w:p>
    <w:p w14:paraId="10B97BAE" w14:textId="77777777" w:rsidR="00245C12" w:rsidRPr="0012042A" w:rsidRDefault="00245C12" w:rsidP="00524564">
      <w:pPr>
        <w:autoSpaceDE w:val="0"/>
        <w:autoSpaceDN w:val="0"/>
        <w:adjustRightInd w:val="0"/>
        <w:ind w:left="360"/>
        <w:rPr>
          <w:b/>
          <w:color w:val="auto"/>
        </w:rPr>
      </w:pPr>
    </w:p>
    <w:p w14:paraId="7CA3C2F3" w14:textId="351FADD0" w:rsidR="008C6B7D" w:rsidRPr="0012042A" w:rsidRDefault="008C6B7D" w:rsidP="00524564">
      <w:pPr>
        <w:autoSpaceDE w:val="0"/>
        <w:autoSpaceDN w:val="0"/>
        <w:adjustRightInd w:val="0"/>
        <w:ind w:left="360"/>
        <w:rPr>
          <w:color w:val="auto"/>
        </w:rPr>
      </w:pPr>
      <w:r w:rsidRPr="0012042A">
        <w:rPr>
          <w:b/>
          <w:i/>
          <w:color w:val="auto"/>
        </w:rPr>
        <w:t>2.</w:t>
      </w:r>
      <w:r w:rsidRPr="0012042A">
        <w:rPr>
          <w:color w:val="auto"/>
        </w:rPr>
        <w:t xml:space="preserve"> </w:t>
      </w:r>
      <w:r w:rsidRPr="0012042A">
        <w:rPr>
          <w:b/>
          <w:i/>
          <w:color w:val="auto"/>
        </w:rPr>
        <w:t>Cost Sharing or Matching</w:t>
      </w:r>
      <w:r w:rsidRPr="0012042A">
        <w:rPr>
          <w:color w:val="auto"/>
        </w:rPr>
        <w:t xml:space="preserve"> </w:t>
      </w:r>
    </w:p>
    <w:p w14:paraId="1B5BCCDF" w14:textId="0BB3A8F3" w:rsidR="005E0890" w:rsidRPr="0012042A" w:rsidRDefault="005E0890" w:rsidP="00524564">
      <w:pPr>
        <w:autoSpaceDE w:val="0"/>
        <w:autoSpaceDN w:val="0"/>
        <w:adjustRightInd w:val="0"/>
        <w:ind w:left="360"/>
        <w:rPr>
          <w:color w:val="auto"/>
        </w:rPr>
      </w:pPr>
    </w:p>
    <w:p w14:paraId="0665345E" w14:textId="0D534F6A" w:rsidR="005E0890" w:rsidRPr="0012042A" w:rsidRDefault="005E0890" w:rsidP="00524564">
      <w:pPr>
        <w:autoSpaceDE w:val="0"/>
        <w:autoSpaceDN w:val="0"/>
        <w:adjustRightInd w:val="0"/>
        <w:ind w:left="360"/>
        <w:rPr>
          <w:color w:val="auto"/>
        </w:rPr>
      </w:pPr>
      <w:r w:rsidRPr="0012042A">
        <w:rPr>
          <w:color w:val="auto"/>
        </w:rPr>
        <w:t>No match is required.</w:t>
      </w:r>
    </w:p>
    <w:p w14:paraId="501A551F" w14:textId="77777777" w:rsidR="005E0890" w:rsidRPr="0012042A" w:rsidRDefault="005E0890" w:rsidP="00524564">
      <w:pPr>
        <w:autoSpaceDE w:val="0"/>
        <w:autoSpaceDN w:val="0"/>
        <w:adjustRightInd w:val="0"/>
        <w:ind w:left="360"/>
        <w:rPr>
          <w:color w:val="auto"/>
        </w:rPr>
      </w:pPr>
    </w:p>
    <w:p w14:paraId="6415D6A8" w14:textId="173BCD01" w:rsidR="008706E9" w:rsidRPr="0012042A" w:rsidRDefault="008C6B7D" w:rsidP="00524564">
      <w:pPr>
        <w:autoSpaceDE w:val="0"/>
        <w:autoSpaceDN w:val="0"/>
        <w:adjustRightInd w:val="0"/>
        <w:ind w:left="360"/>
        <w:rPr>
          <w:color w:val="auto"/>
        </w:rPr>
      </w:pPr>
      <w:r w:rsidRPr="0012042A">
        <w:rPr>
          <w:b/>
          <w:i/>
          <w:color w:val="auto"/>
        </w:rPr>
        <w:t>3.</w:t>
      </w:r>
      <w:r w:rsidRPr="0012042A">
        <w:rPr>
          <w:color w:val="auto"/>
        </w:rPr>
        <w:t xml:space="preserve"> </w:t>
      </w:r>
      <w:r w:rsidRPr="0012042A">
        <w:rPr>
          <w:b/>
          <w:i/>
          <w:color w:val="auto"/>
        </w:rPr>
        <w:t>Indirect Cost Rate</w:t>
      </w:r>
      <w:r w:rsidRPr="0012042A">
        <w:rPr>
          <w:color w:val="auto"/>
        </w:rPr>
        <w:t xml:space="preserve"> </w:t>
      </w:r>
      <w:r w:rsidR="00381255" w:rsidRPr="0012042A">
        <w:rPr>
          <w:color w:val="auto"/>
        </w:rPr>
        <w:t>I</w:t>
      </w:r>
      <w:r w:rsidRPr="0012042A">
        <w:rPr>
          <w:color w:val="auto"/>
        </w:rPr>
        <w:t xml:space="preserve">n order to charge indirect costs to a grant, the applicant organization must have an annually negotiated indirect cost rate agreement (NICRA). There are three types of NICRAs: </w:t>
      </w:r>
    </w:p>
    <w:p w14:paraId="2D8F77B1" w14:textId="77777777" w:rsidR="008706E9" w:rsidRPr="0012042A" w:rsidRDefault="008706E9" w:rsidP="00524564">
      <w:pPr>
        <w:autoSpaceDE w:val="0"/>
        <w:autoSpaceDN w:val="0"/>
        <w:adjustRightInd w:val="0"/>
        <w:ind w:left="360"/>
        <w:rPr>
          <w:color w:val="auto"/>
        </w:rPr>
      </w:pPr>
    </w:p>
    <w:p w14:paraId="2AB52ECD" w14:textId="1B5C40A3" w:rsidR="008706E9" w:rsidRPr="0012042A" w:rsidRDefault="00D27608" w:rsidP="00524564">
      <w:pPr>
        <w:autoSpaceDE w:val="0"/>
        <w:autoSpaceDN w:val="0"/>
        <w:adjustRightInd w:val="0"/>
        <w:rPr>
          <w:color w:val="auto"/>
        </w:rPr>
      </w:pPr>
      <w:r w:rsidRPr="0012042A">
        <w:rPr>
          <w:color w:val="auto"/>
        </w:rPr>
        <w:t>(</w:t>
      </w:r>
      <w:r w:rsidR="008C6B7D" w:rsidRPr="0012042A">
        <w:rPr>
          <w:color w:val="auto"/>
        </w:rPr>
        <w:t xml:space="preserve">a) </w:t>
      </w:r>
      <w:r w:rsidR="008C6B7D" w:rsidRPr="0012042A">
        <w:rPr>
          <w:color w:val="auto"/>
          <w:u w:val="single"/>
        </w:rPr>
        <w:t>Federally Negotiated Rate</w:t>
      </w:r>
      <w:r w:rsidR="008C6B7D" w:rsidRPr="0012042A">
        <w:rPr>
          <w:color w:val="auto"/>
        </w:rPr>
        <w:t>. Organizations that receive direct federal funding, may have an indirect cost rate that was negotiated with the Federal Cognizant Agency. Illinois will accept the federally negotiated rate. The organization must provide a copy of the federal</w:t>
      </w:r>
      <w:r w:rsidR="00006686" w:rsidRPr="0012042A">
        <w:rPr>
          <w:color w:val="auto"/>
        </w:rPr>
        <w:t xml:space="preserve"> </w:t>
      </w:r>
      <w:r w:rsidR="008C6B7D" w:rsidRPr="0012042A">
        <w:rPr>
          <w:color w:val="auto"/>
        </w:rPr>
        <w:t>NICRA</w:t>
      </w:r>
      <w:r w:rsidR="009C1C06" w:rsidRPr="0012042A">
        <w:rPr>
          <w:color w:val="auto"/>
        </w:rPr>
        <w:t xml:space="preserve"> letter at time of application</w:t>
      </w:r>
      <w:r w:rsidR="008C6B7D" w:rsidRPr="0012042A">
        <w:rPr>
          <w:color w:val="auto"/>
        </w:rPr>
        <w:t xml:space="preserve">. </w:t>
      </w:r>
    </w:p>
    <w:p w14:paraId="35704DF4" w14:textId="77777777" w:rsidR="008706E9" w:rsidRPr="0012042A" w:rsidRDefault="008706E9" w:rsidP="00524564">
      <w:pPr>
        <w:autoSpaceDE w:val="0"/>
        <w:autoSpaceDN w:val="0"/>
        <w:adjustRightInd w:val="0"/>
        <w:rPr>
          <w:color w:val="auto"/>
        </w:rPr>
      </w:pPr>
    </w:p>
    <w:p w14:paraId="718F9B4A" w14:textId="4EBB8FAC" w:rsidR="008706E9" w:rsidRPr="0012042A" w:rsidRDefault="00D27608" w:rsidP="00524564">
      <w:pPr>
        <w:autoSpaceDE w:val="0"/>
        <w:autoSpaceDN w:val="0"/>
        <w:adjustRightInd w:val="0"/>
        <w:rPr>
          <w:color w:val="auto"/>
        </w:rPr>
      </w:pPr>
      <w:r w:rsidRPr="0012042A">
        <w:rPr>
          <w:color w:val="auto"/>
        </w:rPr>
        <w:t>(</w:t>
      </w:r>
      <w:r w:rsidR="008C6B7D" w:rsidRPr="0012042A">
        <w:rPr>
          <w:color w:val="auto"/>
        </w:rPr>
        <w:t xml:space="preserve">b) </w:t>
      </w:r>
      <w:r w:rsidR="008C6B7D" w:rsidRPr="0012042A">
        <w:rPr>
          <w:color w:val="auto"/>
          <w:u w:val="single"/>
        </w:rPr>
        <w:t>State Negotiated Rate</w:t>
      </w:r>
      <w:r w:rsidR="008C6B7D" w:rsidRPr="0012042A">
        <w:rPr>
          <w:color w:val="auto"/>
        </w:rPr>
        <w:t>. The organization may negotiate an indirect cost rate with the</w:t>
      </w:r>
      <w:r w:rsidR="00006686" w:rsidRPr="0012042A">
        <w:rPr>
          <w:color w:val="auto"/>
        </w:rPr>
        <w:t xml:space="preserve"> </w:t>
      </w:r>
      <w:r w:rsidR="008C6B7D" w:rsidRPr="0012042A">
        <w:rPr>
          <w:color w:val="auto"/>
        </w:rPr>
        <w:t>State of Illinois if they do not have a Federally Negotiated Rate. If an organization has not</w:t>
      </w:r>
      <w:r w:rsidR="00006686" w:rsidRPr="0012042A">
        <w:rPr>
          <w:color w:val="auto"/>
        </w:rPr>
        <w:t xml:space="preserve"> </w:t>
      </w:r>
      <w:r w:rsidR="008C6B7D" w:rsidRPr="0012042A">
        <w:rPr>
          <w:color w:val="auto"/>
        </w:rPr>
        <w:t xml:space="preserve">previously established </w:t>
      </w:r>
      <w:r w:rsidR="00381255" w:rsidRPr="0012042A">
        <w:rPr>
          <w:color w:val="auto"/>
        </w:rPr>
        <w:t xml:space="preserve">an </w:t>
      </w:r>
      <w:r w:rsidR="008C6B7D" w:rsidRPr="0012042A">
        <w:rPr>
          <w:color w:val="auto"/>
        </w:rPr>
        <w:t>indirect cost rate, an indirect cost rate proposal must be submitted</w:t>
      </w:r>
      <w:r w:rsidR="00006686" w:rsidRPr="0012042A">
        <w:rPr>
          <w:color w:val="auto"/>
        </w:rPr>
        <w:t xml:space="preserve"> </w:t>
      </w:r>
      <w:r w:rsidR="008C6B7D" w:rsidRPr="0012042A">
        <w:rPr>
          <w:color w:val="auto"/>
        </w:rPr>
        <w:t xml:space="preserve">through </w:t>
      </w:r>
      <w:r w:rsidR="00381255" w:rsidRPr="0012042A">
        <w:rPr>
          <w:color w:val="auto"/>
        </w:rPr>
        <w:t xml:space="preserve">the </w:t>
      </w:r>
      <w:r w:rsidR="008C6B7D" w:rsidRPr="0012042A">
        <w:rPr>
          <w:color w:val="auto"/>
        </w:rPr>
        <w:t>State of Illinois’ centralized indirect cost rate system no later than three months after</w:t>
      </w:r>
      <w:r w:rsidR="00006686" w:rsidRPr="0012042A">
        <w:rPr>
          <w:color w:val="auto"/>
        </w:rPr>
        <w:t xml:space="preserve"> </w:t>
      </w:r>
      <w:r w:rsidR="008C6B7D" w:rsidRPr="0012042A">
        <w:rPr>
          <w:color w:val="auto"/>
        </w:rPr>
        <w:t>receipt of a Notice of State Award (NOSA). If an organization previously established an indirect</w:t>
      </w:r>
      <w:r w:rsidR="00006686" w:rsidRPr="0012042A">
        <w:rPr>
          <w:color w:val="auto"/>
        </w:rPr>
        <w:t xml:space="preserve"> </w:t>
      </w:r>
      <w:r w:rsidR="008C6B7D" w:rsidRPr="0012042A">
        <w:rPr>
          <w:color w:val="auto"/>
        </w:rPr>
        <w:t>cost rate, the organization must annually submit a new indirect cost proposal through CARS</w:t>
      </w:r>
      <w:r w:rsidR="00006686" w:rsidRPr="0012042A">
        <w:rPr>
          <w:color w:val="auto"/>
        </w:rPr>
        <w:t xml:space="preserve"> </w:t>
      </w:r>
      <w:r w:rsidR="008C6B7D" w:rsidRPr="0012042A">
        <w:rPr>
          <w:color w:val="auto"/>
        </w:rPr>
        <w:t xml:space="preserve">within </w:t>
      </w:r>
      <w:r w:rsidR="008706E9" w:rsidRPr="0012042A">
        <w:rPr>
          <w:color w:val="auto"/>
        </w:rPr>
        <w:t>the earlier of: six (6)</w:t>
      </w:r>
      <w:r w:rsidR="008C6B7D" w:rsidRPr="0012042A">
        <w:rPr>
          <w:color w:val="auto"/>
        </w:rPr>
        <w:t xml:space="preserve"> months after the clos</w:t>
      </w:r>
      <w:r w:rsidR="008706E9" w:rsidRPr="0012042A">
        <w:rPr>
          <w:color w:val="auto"/>
        </w:rPr>
        <w:t xml:space="preserve">e of the grantee’s fiscal year; and three (3) months of the notice of award. </w:t>
      </w:r>
    </w:p>
    <w:p w14:paraId="102AB900" w14:textId="77777777" w:rsidR="008706E9" w:rsidRPr="0012042A" w:rsidRDefault="008706E9" w:rsidP="00524564">
      <w:pPr>
        <w:autoSpaceDE w:val="0"/>
        <w:autoSpaceDN w:val="0"/>
        <w:adjustRightInd w:val="0"/>
        <w:ind w:left="360"/>
        <w:rPr>
          <w:color w:val="auto"/>
        </w:rPr>
      </w:pPr>
    </w:p>
    <w:p w14:paraId="5F4DBAFF" w14:textId="5B8A1656" w:rsidR="00C84296" w:rsidRPr="0012042A" w:rsidRDefault="00D27608" w:rsidP="00524564">
      <w:pPr>
        <w:autoSpaceDE w:val="0"/>
        <w:autoSpaceDN w:val="0"/>
        <w:adjustRightInd w:val="0"/>
        <w:rPr>
          <w:color w:val="auto"/>
        </w:rPr>
      </w:pPr>
      <w:r w:rsidRPr="0012042A">
        <w:rPr>
          <w:color w:val="auto"/>
        </w:rPr>
        <w:t>(</w:t>
      </w:r>
      <w:r w:rsidR="008C6B7D" w:rsidRPr="0012042A">
        <w:rPr>
          <w:color w:val="auto"/>
        </w:rPr>
        <w:t xml:space="preserve">c) </w:t>
      </w:r>
      <w:r w:rsidR="008C6B7D" w:rsidRPr="0012042A">
        <w:rPr>
          <w:i/>
          <w:color w:val="auto"/>
          <w:u w:val="single"/>
        </w:rPr>
        <w:t xml:space="preserve">De </w:t>
      </w:r>
      <w:proofErr w:type="spellStart"/>
      <w:r w:rsidR="008C6B7D" w:rsidRPr="0012042A">
        <w:rPr>
          <w:i/>
          <w:color w:val="auto"/>
          <w:u w:val="single"/>
        </w:rPr>
        <w:t>Minimis</w:t>
      </w:r>
      <w:proofErr w:type="spellEnd"/>
      <w:r w:rsidR="008C6B7D" w:rsidRPr="0012042A">
        <w:rPr>
          <w:color w:val="auto"/>
          <w:u w:val="single"/>
        </w:rPr>
        <w:t xml:space="preserve"> Rate</w:t>
      </w:r>
      <w:r w:rsidR="008C6B7D" w:rsidRPr="0012042A">
        <w:rPr>
          <w:color w:val="auto"/>
        </w:rPr>
        <w:t>. An organization</w:t>
      </w:r>
      <w:r w:rsidR="00006686" w:rsidRPr="0012042A">
        <w:rPr>
          <w:color w:val="auto"/>
        </w:rPr>
        <w:t xml:space="preserve"> </w:t>
      </w:r>
      <w:r w:rsidR="008C6B7D" w:rsidRPr="0012042A">
        <w:rPr>
          <w:color w:val="auto"/>
        </w:rPr>
        <w:t>that has never negotiated an indirect cost rate with the Federal Government o</w:t>
      </w:r>
      <w:r w:rsidR="0065310D" w:rsidRPr="0012042A">
        <w:rPr>
          <w:color w:val="auto"/>
        </w:rPr>
        <w:t>r</w:t>
      </w:r>
      <w:r w:rsidR="008C6B7D" w:rsidRPr="0012042A">
        <w:rPr>
          <w:color w:val="auto"/>
        </w:rPr>
        <w:t xml:space="preserve"> the State of Illinois</w:t>
      </w:r>
      <w:r w:rsidR="00006686" w:rsidRPr="0012042A">
        <w:rPr>
          <w:color w:val="auto"/>
        </w:rPr>
        <w:t xml:space="preserve"> </w:t>
      </w:r>
      <w:r w:rsidR="008C6B7D" w:rsidRPr="0012042A">
        <w:rPr>
          <w:color w:val="auto"/>
        </w:rPr>
        <w:t xml:space="preserve">is eligible to elect a </w:t>
      </w:r>
      <w:r w:rsidR="008C6B7D" w:rsidRPr="0012042A">
        <w:rPr>
          <w:i/>
          <w:color w:val="auto"/>
        </w:rPr>
        <w:t xml:space="preserve">de </w:t>
      </w:r>
      <w:proofErr w:type="spellStart"/>
      <w:r w:rsidR="008C6B7D" w:rsidRPr="0012042A">
        <w:rPr>
          <w:i/>
          <w:color w:val="auto"/>
        </w:rPr>
        <w:t>minimis</w:t>
      </w:r>
      <w:proofErr w:type="spellEnd"/>
      <w:r w:rsidR="008C6B7D" w:rsidRPr="0012042A">
        <w:rPr>
          <w:color w:val="auto"/>
        </w:rPr>
        <w:t xml:space="preserve"> rate of 10% of modified total direct cost (MTDC).</w:t>
      </w:r>
      <w:r w:rsidR="00006686" w:rsidRPr="0012042A">
        <w:rPr>
          <w:color w:val="auto"/>
        </w:rPr>
        <w:t xml:space="preserve"> Once established, the </w:t>
      </w:r>
      <w:r w:rsidR="00CB497C" w:rsidRPr="0012042A">
        <w:rPr>
          <w:i/>
          <w:color w:val="auto"/>
        </w:rPr>
        <w:t>d</w:t>
      </w:r>
      <w:r w:rsidR="00006686" w:rsidRPr="0012042A">
        <w:rPr>
          <w:i/>
          <w:color w:val="auto"/>
        </w:rPr>
        <w:t xml:space="preserve">e </w:t>
      </w:r>
      <w:proofErr w:type="spellStart"/>
      <w:r w:rsidR="00CB497C" w:rsidRPr="0012042A">
        <w:rPr>
          <w:i/>
          <w:color w:val="auto"/>
        </w:rPr>
        <w:t>m</w:t>
      </w:r>
      <w:r w:rsidR="00006686" w:rsidRPr="0012042A">
        <w:rPr>
          <w:i/>
          <w:color w:val="auto"/>
        </w:rPr>
        <w:t>inimis</w:t>
      </w:r>
      <w:proofErr w:type="spellEnd"/>
      <w:r w:rsidR="00006686" w:rsidRPr="0012042A">
        <w:rPr>
          <w:color w:val="auto"/>
        </w:rPr>
        <w:t xml:space="preserve"> Rate may be used indefinitely. The State of Illinois must verify the calculation of the MTDC annually </w:t>
      </w:r>
      <w:proofErr w:type="gramStart"/>
      <w:r w:rsidR="00006686" w:rsidRPr="0012042A">
        <w:rPr>
          <w:color w:val="auto"/>
        </w:rPr>
        <w:t>in order to</w:t>
      </w:r>
      <w:proofErr w:type="gramEnd"/>
      <w:r w:rsidR="00006686" w:rsidRPr="0012042A">
        <w:rPr>
          <w:color w:val="auto"/>
        </w:rPr>
        <w:t xml:space="preserve"> accept the </w:t>
      </w:r>
      <w:r w:rsidR="00CB497C" w:rsidRPr="0012042A">
        <w:rPr>
          <w:i/>
          <w:color w:val="auto"/>
        </w:rPr>
        <w:t>d</w:t>
      </w:r>
      <w:r w:rsidR="00006686" w:rsidRPr="0012042A">
        <w:rPr>
          <w:i/>
          <w:color w:val="auto"/>
        </w:rPr>
        <w:t xml:space="preserve">e </w:t>
      </w:r>
      <w:proofErr w:type="spellStart"/>
      <w:r w:rsidR="00CB497C" w:rsidRPr="0012042A">
        <w:rPr>
          <w:i/>
          <w:color w:val="auto"/>
        </w:rPr>
        <w:t>minimis</w:t>
      </w:r>
      <w:proofErr w:type="spellEnd"/>
      <w:r w:rsidR="00CB497C" w:rsidRPr="0012042A">
        <w:rPr>
          <w:color w:val="auto"/>
        </w:rPr>
        <w:t xml:space="preserve"> r</w:t>
      </w:r>
      <w:r w:rsidR="00006686" w:rsidRPr="0012042A">
        <w:rPr>
          <w:color w:val="auto"/>
        </w:rPr>
        <w:t>ate.</w:t>
      </w:r>
    </w:p>
    <w:p w14:paraId="4899C36F" w14:textId="77777777" w:rsidR="00381255" w:rsidRPr="0012042A" w:rsidRDefault="00381255" w:rsidP="00524564">
      <w:pPr>
        <w:autoSpaceDE w:val="0"/>
        <w:autoSpaceDN w:val="0"/>
        <w:adjustRightInd w:val="0"/>
        <w:ind w:left="360"/>
        <w:rPr>
          <w:color w:val="auto"/>
        </w:rPr>
      </w:pPr>
    </w:p>
    <w:p w14:paraId="359C13A5" w14:textId="3C87B135" w:rsidR="008706E9" w:rsidRPr="0012042A" w:rsidRDefault="00006686" w:rsidP="00524564">
      <w:pPr>
        <w:autoSpaceDE w:val="0"/>
        <w:autoSpaceDN w:val="0"/>
        <w:adjustRightInd w:val="0"/>
        <w:ind w:left="360"/>
        <w:rPr>
          <w:color w:val="auto"/>
        </w:rPr>
      </w:pPr>
      <w:bookmarkStart w:id="4" w:name="_Hlk534485389"/>
      <w:r w:rsidRPr="0012042A">
        <w:rPr>
          <w:color w:val="auto"/>
        </w:rPr>
        <w:t xml:space="preserve">All grantees must complete an indirect cost rate negotiation or elect the </w:t>
      </w:r>
      <w:r w:rsidR="00CB497C" w:rsidRPr="0012042A">
        <w:rPr>
          <w:i/>
          <w:color w:val="auto"/>
        </w:rPr>
        <w:t xml:space="preserve">de </w:t>
      </w:r>
      <w:proofErr w:type="spellStart"/>
      <w:r w:rsidR="00CB497C" w:rsidRPr="0012042A">
        <w:rPr>
          <w:i/>
          <w:color w:val="auto"/>
        </w:rPr>
        <w:t>minimis</w:t>
      </w:r>
      <w:proofErr w:type="spellEnd"/>
      <w:r w:rsidR="00CB497C" w:rsidRPr="0012042A">
        <w:rPr>
          <w:color w:val="auto"/>
        </w:rPr>
        <w:t xml:space="preserve"> r</w:t>
      </w:r>
      <w:r w:rsidRPr="0012042A">
        <w:rPr>
          <w:color w:val="auto"/>
        </w:rPr>
        <w:t xml:space="preserve">ate to claim indirect costs. Indirect costs claimed without a negotiated rate or a </w:t>
      </w:r>
      <w:r w:rsidR="00CB497C" w:rsidRPr="0012042A">
        <w:rPr>
          <w:i/>
          <w:color w:val="auto"/>
        </w:rPr>
        <w:t xml:space="preserve">de </w:t>
      </w:r>
      <w:proofErr w:type="spellStart"/>
      <w:r w:rsidR="00CB497C" w:rsidRPr="0012042A">
        <w:rPr>
          <w:i/>
          <w:color w:val="auto"/>
        </w:rPr>
        <w:t>minimis</w:t>
      </w:r>
      <w:proofErr w:type="spellEnd"/>
      <w:r w:rsidR="00CB497C" w:rsidRPr="0012042A">
        <w:rPr>
          <w:color w:val="auto"/>
        </w:rPr>
        <w:t xml:space="preserve"> rate</w:t>
      </w:r>
      <w:r w:rsidRPr="0012042A">
        <w:rPr>
          <w:color w:val="auto"/>
        </w:rPr>
        <w:t xml:space="preserve"> election on record in the State of Illinois’ centralized indirect cost rate system may be subject to </w:t>
      </w:r>
      <w:r w:rsidR="00CB497C" w:rsidRPr="0012042A">
        <w:rPr>
          <w:color w:val="auto"/>
        </w:rPr>
        <w:t>disallowance. It</w:t>
      </w:r>
      <w:r w:rsidR="008706E9" w:rsidRPr="0012042A">
        <w:rPr>
          <w:color w:val="auto"/>
        </w:rPr>
        <w:t xml:space="preserve"> is the organization’s responsibility to ensure that any indirect cost rate utilized is properly registered in the GATA Portal. Failure to register the rate properly may restrict an organization from charging indirect costs to a grant.</w:t>
      </w:r>
    </w:p>
    <w:bookmarkEnd w:id="4"/>
    <w:p w14:paraId="04C49E05" w14:textId="77777777" w:rsidR="008C6B7D" w:rsidRPr="0012042A" w:rsidRDefault="008C6B7D" w:rsidP="00524564">
      <w:pPr>
        <w:autoSpaceDE w:val="0"/>
        <w:autoSpaceDN w:val="0"/>
        <w:adjustRightInd w:val="0"/>
        <w:ind w:left="360"/>
        <w:rPr>
          <w:color w:val="auto"/>
        </w:rPr>
      </w:pPr>
    </w:p>
    <w:p w14:paraId="3EEDB7BB" w14:textId="77777777" w:rsidR="00E54115" w:rsidRPr="0012042A" w:rsidRDefault="005767A5" w:rsidP="00524564">
      <w:pPr>
        <w:autoSpaceDE w:val="0"/>
        <w:autoSpaceDN w:val="0"/>
        <w:adjustRightInd w:val="0"/>
        <w:ind w:left="360"/>
        <w:rPr>
          <w:color w:val="auto"/>
        </w:rPr>
      </w:pPr>
      <w:bookmarkStart w:id="5" w:name="_Hlk534485414"/>
      <w:r w:rsidRPr="0012042A">
        <w:rPr>
          <w:color w:val="auto"/>
        </w:rPr>
        <w:t>Grantees have discretion and can elect to waive payment for indirect costs. Grantees that elect to waive payments for indirect costs cannot be reimbursed for indirect costs. The organization must record an election to “Waive Indirect Costs” into the State of Illinois’ centralized indirect cost rate system.</w:t>
      </w:r>
      <w:bookmarkEnd w:id="5"/>
    </w:p>
    <w:p w14:paraId="1DD648F9" w14:textId="4A0EE8E1" w:rsidR="00245C12" w:rsidRPr="0012042A" w:rsidRDefault="00245C12" w:rsidP="00524564">
      <w:pPr>
        <w:autoSpaceDE w:val="0"/>
        <w:autoSpaceDN w:val="0"/>
        <w:adjustRightInd w:val="0"/>
        <w:ind w:left="0"/>
        <w:rPr>
          <w:b/>
          <w:color w:val="auto"/>
          <w:sz w:val="28"/>
          <w:szCs w:val="28"/>
        </w:rPr>
      </w:pPr>
    </w:p>
    <w:p w14:paraId="4B7E1800" w14:textId="4E43E5DE" w:rsidR="005767A5" w:rsidRPr="0012042A" w:rsidRDefault="005767A5" w:rsidP="00524564">
      <w:pPr>
        <w:autoSpaceDE w:val="0"/>
        <w:autoSpaceDN w:val="0"/>
        <w:adjustRightInd w:val="0"/>
        <w:ind w:left="0"/>
        <w:rPr>
          <w:b/>
          <w:color w:val="auto"/>
          <w:sz w:val="28"/>
          <w:szCs w:val="28"/>
        </w:rPr>
      </w:pPr>
      <w:r w:rsidRPr="0012042A">
        <w:rPr>
          <w:b/>
          <w:color w:val="auto"/>
          <w:sz w:val="28"/>
          <w:szCs w:val="28"/>
        </w:rPr>
        <w:t>D. Application and Submission Information</w:t>
      </w:r>
    </w:p>
    <w:p w14:paraId="62E8A342" w14:textId="77777777" w:rsidR="005767A5" w:rsidRPr="0012042A" w:rsidRDefault="005767A5" w:rsidP="00524564">
      <w:pPr>
        <w:autoSpaceDE w:val="0"/>
        <w:autoSpaceDN w:val="0"/>
        <w:adjustRightInd w:val="0"/>
        <w:ind w:left="0"/>
        <w:rPr>
          <w:color w:val="auto"/>
        </w:rPr>
      </w:pPr>
    </w:p>
    <w:p w14:paraId="3BFEAC2C" w14:textId="2F54E887" w:rsidR="00E3439F" w:rsidRPr="0012042A" w:rsidRDefault="005767A5" w:rsidP="00524564">
      <w:pPr>
        <w:autoSpaceDE w:val="0"/>
        <w:autoSpaceDN w:val="0"/>
        <w:adjustRightInd w:val="0"/>
        <w:ind w:left="360"/>
        <w:rPr>
          <w:color w:val="auto"/>
        </w:rPr>
      </w:pPr>
      <w:r w:rsidRPr="0012042A">
        <w:rPr>
          <w:b/>
          <w:i/>
          <w:color w:val="auto"/>
        </w:rPr>
        <w:t>1.</w:t>
      </w:r>
      <w:r w:rsidRPr="0012042A">
        <w:rPr>
          <w:b/>
          <w:color w:val="auto"/>
        </w:rPr>
        <w:t xml:space="preserve"> </w:t>
      </w:r>
      <w:r w:rsidRPr="0012042A">
        <w:rPr>
          <w:b/>
          <w:i/>
          <w:color w:val="auto"/>
        </w:rPr>
        <w:t>Address to Request Application Package</w:t>
      </w:r>
    </w:p>
    <w:p w14:paraId="52E69B04" w14:textId="77777777" w:rsidR="00E3439F" w:rsidRPr="0012042A" w:rsidRDefault="00E3439F" w:rsidP="00524564">
      <w:pPr>
        <w:autoSpaceDE w:val="0"/>
        <w:autoSpaceDN w:val="0"/>
        <w:adjustRightInd w:val="0"/>
        <w:ind w:left="360"/>
        <w:rPr>
          <w:color w:val="auto"/>
        </w:rPr>
      </w:pPr>
    </w:p>
    <w:p w14:paraId="3980F7A2" w14:textId="2AAB4CF8" w:rsidR="00E3439F" w:rsidRPr="0012042A" w:rsidRDefault="00E3439F" w:rsidP="00524564">
      <w:pPr>
        <w:autoSpaceDE w:val="0"/>
        <w:autoSpaceDN w:val="0"/>
        <w:adjustRightInd w:val="0"/>
        <w:ind w:left="360"/>
        <w:rPr>
          <w:color w:val="auto"/>
        </w:rPr>
      </w:pPr>
      <w:r w:rsidRPr="0012042A">
        <w:rPr>
          <w:color w:val="auto"/>
        </w:rPr>
        <w:t>Applications must be obtained at https://gata.icjia.cloud/ by clicking on the link titled “</w:t>
      </w:r>
      <w:r w:rsidR="005E0890" w:rsidRPr="0012042A">
        <w:rPr>
          <w:color w:val="auto"/>
        </w:rPr>
        <w:t xml:space="preserve">Safe </w:t>
      </w:r>
      <w:proofErr w:type="gramStart"/>
      <w:r w:rsidR="005E0890" w:rsidRPr="0012042A">
        <w:rPr>
          <w:color w:val="auto"/>
        </w:rPr>
        <w:t>From</w:t>
      </w:r>
      <w:proofErr w:type="gramEnd"/>
      <w:r w:rsidR="005E0890" w:rsidRPr="0012042A">
        <w:rPr>
          <w:color w:val="auto"/>
        </w:rPr>
        <w:t xml:space="preserve"> the Start</w:t>
      </w:r>
      <w:r w:rsidRPr="0012042A">
        <w:rPr>
          <w:color w:val="auto"/>
        </w:rPr>
        <w:t xml:space="preserve">.” Paper copies of the application materials may be requested from </w:t>
      </w:r>
      <w:r w:rsidR="005E0890" w:rsidRPr="0012042A">
        <w:rPr>
          <w:color w:val="auto"/>
        </w:rPr>
        <w:t>Shai Hoffman</w:t>
      </w:r>
      <w:r w:rsidRPr="0012042A">
        <w:rPr>
          <w:color w:val="auto"/>
        </w:rPr>
        <w:t xml:space="preserve"> by: calling </w:t>
      </w:r>
      <w:r w:rsidR="00CA65B5" w:rsidRPr="0012042A">
        <w:rPr>
          <w:color w:val="auto"/>
        </w:rPr>
        <w:t>312.814.0706</w:t>
      </w:r>
      <w:r w:rsidRPr="0012042A">
        <w:rPr>
          <w:color w:val="auto"/>
        </w:rPr>
        <w:t xml:space="preserve">; mailing 300 West Adams Street, Suite 200, Chicago, Illinois 60606; or </w:t>
      </w:r>
      <w:r w:rsidR="00C2695F" w:rsidRPr="0012042A">
        <w:rPr>
          <w:color w:val="auto"/>
        </w:rPr>
        <w:t xml:space="preserve">via </w:t>
      </w:r>
      <w:r w:rsidRPr="0012042A">
        <w:rPr>
          <w:color w:val="auto"/>
        </w:rPr>
        <w:t>Telephone Device for the Deaf (TDD)</w:t>
      </w:r>
      <w:r w:rsidR="0017579A" w:rsidRPr="0012042A">
        <w:rPr>
          <w:color w:val="auto"/>
        </w:rPr>
        <w:t xml:space="preserve"> (312)793-4170</w:t>
      </w:r>
      <w:r w:rsidRPr="0012042A">
        <w:rPr>
          <w:color w:val="auto"/>
        </w:rPr>
        <w:t>. Applications</w:t>
      </w:r>
      <w:r w:rsidR="0017579A" w:rsidRPr="0012042A">
        <w:rPr>
          <w:color w:val="auto"/>
        </w:rPr>
        <w:t>, however,</w:t>
      </w:r>
      <w:r w:rsidRPr="0012042A">
        <w:rPr>
          <w:color w:val="auto"/>
        </w:rPr>
        <w:t xml:space="preserve"> may only be submitted via email.</w:t>
      </w:r>
    </w:p>
    <w:p w14:paraId="1F3857B8" w14:textId="1B7A9734" w:rsidR="005767A5" w:rsidRPr="0012042A" w:rsidRDefault="005767A5" w:rsidP="00524564">
      <w:pPr>
        <w:autoSpaceDE w:val="0"/>
        <w:autoSpaceDN w:val="0"/>
        <w:adjustRightInd w:val="0"/>
        <w:ind w:left="0"/>
        <w:rPr>
          <w:color w:val="auto"/>
        </w:rPr>
      </w:pPr>
    </w:p>
    <w:p w14:paraId="5EA0C1CD" w14:textId="0EB5E6A2" w:rsidR="008E530A" w:rsidRPr="0012042A" w:rsidRDefault="005767A5" w:rsidP="00524564">
      <w:pPr>
        <w:autoSpaceDE w:val="0"/>
        <w:autoSpaceDN w:val="0"/>
        <w:adjustRightInd w:val="0"/>
        <w:ind w:left="360"/>
        <w:rPr>
          <w:color w:val="auto"/>
        </w:rPr>
      </w:pPr>
      <w:r w:rsidRPr="0012042A">
        <w:rPr>
          <w:b/>
          <w:i/>
          <w:color w:val="auto"/>
        </w:rPr>
        <w:t>2.</w:t>
      </w:r>
      <w:r w:rsidRPr="0012042A">
        <w:rPr>
          <w:b/>
          <w:color w:val="auto"/>
        </w:rPr>
        <w:t xml:space="preserve"> </w:t>
      </w:r>
      <w:bookmarkStart w:id="6" w:name="_Hlk534485455"/>
      <w:r w:rsidRPr="0012042A">
        <w:rPr>
          <w:b/>
          <w:i/>
          <w:color w:val="auto"/>
        </w:rPr>
        <w:t>Content and Form of Application Submission</w:t>
      </w:r>
      <w:bookmarkEnd w:id="6"/>
      <w:r w:rsidRPr="0012042A">
        <w:rPr>
          <w:color w:val="auto"/>
        </w:rPr>
        <w:t xml:space="preserve"> </w:t>
      </w:r>
    </w:p>
    <w:p w14:paraId="0FF4C423" w14:textId="77777777" w:rsidR="008E530A" w:rsidRPr="0012042A" w:rsidRDefault="008E530A" w:rsidP="00524564">
      <w:pPr>
        <w:autoSpaceDE w:val="0"/>
        <w:autoSpaceDN w:val="0"/>
        <w:adjustRightInd w:val="0"/>
        <w:ind w:left="360"/>
        <w:rPr>
          <w:color w:val="auto"/>
        </w:rPr>
      </w:pPr>
    </w:p>
    <w:p w14:paraId="186442BE" w14:textId="77777777" w:rsidR="00C2695F" w:rsidRPr="0012042A" w:rsidRDefault="00D27608" w:rsidP="00524564">
      <w:pPr>
        <w:rPr>
          <w:color w:val="auto"/>
        </w:rPr>
      </w:pPr>
      <w:bookmarkStart w:id="7" w:name="_Hlk535481226"/>
      <w:r w:rsidRPr="0012042A">
        <w:rPr>
          <w:color w:val="auto"/>
        </w:rPr>
        <w:t>(a)</w:t>
      </w:r>
      <w:r w:rsidR="005767A5" w:rsidRPr="0012042A">
        <w:rPr>
          <w:color w:val="auto"/>
        </w:rPr>
        <w:t xml:space="preserve">. </w:t>
      </w:r>
      <w:r w:rsidR="008E530A" w:rsidRPr="0012042A">
        <w:rPr>
          <w:color w:val="auto"/>
          <w:u w:val="single"/>
        </w:rPr>
        <w:t>Notice of Intent.</w:t>
      </w:r>
      <w:r w:rsidR="00E54115" w:rsidRPr="0012042A">
        <w:rPr>
          <w:color w:val="auto"/>
        </w:rPr>
        <w:t xml:space="preserve"> </w:t>
      </w:r>
    </w:p>
    <w:p w14:paraId="384C959B" w14:textId="2EF63A77" w:rsidR="008E530A" w:rsidRPr="0012042A" w:rsidRDefault="005D1162" w:rsidP="00524564">
      <w:pPr>
        <w:rPr>
          <w:color w:val="auto"/>
          <w:u w:val="single"/>
        </w:rPr>
      </w:pPr>
      <w:r w:rsidRPr="0012042A">
        <w:rPr>
          <w:color w:val="auto"/>
        </w:rPr>
        <w:t xml:space="preserve">A Notice of Intent is not required. </w:t>
      </w:r>
    </w:p>
    <w:bookmarkEnd w:id="7"/>
    <w:p w14:paraId="7D2920EC" w14:textId="77777777" w:rsidR="00E54115" w:rsidRPr="0012042A" w:rsidRDefault="00E54115" w:rsidP="00524564">
      <w:pPr>
        <w:autoSpaceDE w:val="0"/>
        <w:autoSpaceDN w:val="0"/>
        <w:adjustRightInd w:val="0"/>
        <w:rPr>
          <w:color w:val="auto"/>
        </w:rPr>
      </w:pPr>
    </w:p>
    <w:p w14:paraId="78C269A5" w14:textId="24416E17" w:rsidR="00990C7F" w:rsidRPr="0012042A" w:rsidRDefault="00D27608" w:rsidP="00524564">
      <w:pPr>
        <w:autoSpaceDE w:val="0"/>
        <w:autoSpaceDN w:val="0"/>
        <w:adjustRightInd w:val="0"/>
        <w:rPr>
          <w:color w:val="auto"/>
        </w:rPr>
      </w:pPr>
      <w:r w:rsidRPr="0012042A">
        <w:rPr>
          <w:color w:val="auto"/>
        </w:rPr>
        <w:t>(b)</w:t>
      </w:r>
      <w:r w:rsidR="005767A5" w:rsidRPr="0012042A">
        <w:rPr>
          <w:color w:val="auto"/>
        </w:rPr>
        <w:t xml:space="preserve">. </w:t>
      </w:r>
      <w:r w:rsidR="00990C7F" w:rsidRPr="0012042A">
        <w:rPr>
          <w:color w:val="auto"/>
          <w:u w:val="single"/>
        </w:rPr>
        <w:t>Forms and Formatting</w:t>
      </w:r>
      <w:r w:rsidR="00990C7F" w:rsidRPr="0012042A">
        <w:rPr>
          <w:color w:val="auto"/>
        </w:rPr>
        <w:t>.</w:t>
      </w:r>
    </w:p>
    <w:p w14:paraId="5BE67432" w14:textId="63CDCDFF" w:rsidR="00990C7F" w:rsidRPr="0012042A" w:rsidRDefault="00990C7F" w:rsidP="00524564">
      <w:pPr>
        <w:autoSpaceDE w:val="0"/>
        <w:autoSpaceDN w:val="0"/>
        <w:adjustRightInd w:val="0"/>
        <w:rPr>
          <w:color w:val="auto"/>
        </w:rPr>
      </w:pPr>
      <w:r w:rsidRPr="0012042A">
        <w:rPr>
          <w:color w:val="auto"/>
        </w:rPr>
        <w:t xml:space="preserve">The application must be emailed to </w:t>
      </w:r>
      <w:bookmarkStart w:id="8" w:name="_Hlk5000474"/>
      <w:r w:rsidR="00B6003F">
        <w:fldChar w:fldCharType="begin"/>
      </w:r>
      <w:r w:rsidR="00B6003F">
        <w:instrText xml:space="preserve"> HYPERLINK "mailto:CJA.StateViolencePrevention@Illinois.gov" </w:instrText>
      </w:r>
      <w:r w:rsidR="00B6003F">
        <w:fldChar w:fldCharType="separate"/>
      </w:r>
      <w:r w:rsidR="001C4B17" w:rsidRPr="0050646D">
        <w:rPr>
          <w:rStyle w:val="Hyperlink"/>
        </w:rPr>
        <w:t>CJA.StateViolencePrevention@Illinois.gov</w:t>
      </w:r>
      <w:r w:rsidR="00B6003F">
        <w:rPr>
          <w:rStyle w:val="Hyperlink"/>
        </w:rPr>
        <w:fldChar w:fldCharType="end"/>
      </w:r>
      <w:bookmarkEnd w:id="8"/>
      <w:r w:rsidR="001C4B17">
        <w:rPr>
          <w:color w:val="auto"/>
        </w:rPr>
        <w:t xml:space="preserve">. </w:t>
      </w:r>
      <w:r w:rsidRPr="0012042A">
        <w:rPr>
          <w:color w:val="auto"/>
        </w:rPr>
        <w:t xml:space="preserve">The applicant agency name should appear in the Subject line of the email. Each document attached to the email must be submitted in the manner and method described below. </w:t>
      </w:r>
      <w:bookmarkStart w:id="9" w:name="_Hlk534485534"/>
      <w:r w:rsidRPr="0012042A">
        <w:rPr>
          <w:color w:val="auto"/>
        </w:rPr>
        <w:t xml:space="preserve">Applications will be rejected if any documents are missing. </w:t>
      </w:r>
      <w:bookmarkEnd w:id="9"/>
      <w:r w:rsidRPr="0012042A">
        <w:rPr>
          <w:color w:val="auto"/>
        </w:rPr>
        <w:t>The applicant is responsible for ensuring that documents adhere to the instructions provided.</w:t>
      </w:r>
    </w:p>
    <w:p w14:paraId="21722308" w14:textId="77777777" w:rsidR="00E54115" w:rsidRPr="0012042A" w:rsidRDefault="00E54115" w:rsidP="00524564">
      <w:pPr>
        <w:autoSpaceDE w:val="0"/>
        <w:autoSpaceDN w:val="0"/>
        <w:adjustRightInd w:val="0"/>
        <w:rPr>
          <w:color w:val="auto"/>
        </w:rPr>
      </w:pPr>
    </w:p>
    <w:p w14:paraId="23BCFEDD" w14:textId="17CAF9FD" w:rsidR="00990C7F" w:rsidRPr="0012042A" w:rsidRDefault="00990C7F" w:rsidP="00524564">
      <w:pPr>
        <w:autoSpaceDE w:val="0"/>
        <w:autoSpaceDN w:val="0"/>
        <w:adjustRightInd w:val="0"/>
        <w:rPr>
          <w:color w:val="auto"/>
        </w:rPr>
      </w:pPr>
    </w:p>
    <w:tbl>
      <w:tblPr>
        <w:tblStyle w:val="TableGrid6"/>
        <w:tblW w:w="9450" w:type="dxa"/>
        <w:tblInd w:w="-5" w:type="dxa"/>
        <w:tblLayout w:type="fixed"/>
        <w:tblLook w:val="04A0" w:firstRow="1" w:lastRow="0" w:firstColumn="1" w:lastColumn="0" w:noHBand="0" w:noVBand="1"/>
      </w:tblPr>
      <w:tblGrid>
        <w:gridCol w:w="739"/>
        <w:gridCol w:w="3581"/>
        <w:gridCol w:w="2700"/>
        <w:gridCol w:w="720"/>
        <w:gridCol w:w="900"/>
        <w:gridCol w:w="810"/>
      </w:tblGrid>
      <w:tr w:rsidR="00990C7F" w:rsidRPr="0012042A" w14:paraId="6D59F2A8" w14:textId="77777777" w:rsidTr="00AB6BCD">
        <w:tc>
          <w:tcPr>
            <w:tcW w:w="9450" w:type="dxa"/>
            <w:gridSpan w:val="6"/>
            <w:shd w:val="clear" w:color="auto" w:fill="auto"/>
          </w:tcPr>
          <w:p w14:paraId="15B57519" w14:textId="77777777" w:rsidR="00990C7F" w:rsidRPr="0012042A" w:rsidRDefault="00990C7F" w:rsidP="00524564">
            <w:pPr>
              <w:rPr>
                <w:rFonts w:ascii="Times New Roman" w:eastAsia="Calibri" w:hAnsi="Times New Roman" w:cs="Times New Roman"/>
                <w:b/>
                <w:sz w:val="24"/>
                <w:szCs w:val="24"/>
              </w:rPr>
            </w:pPr>
            <w:r w:rsidRPr="0012042A">
              <w:rPr>
                <w:rFonts w:ascii="Times New Roman" w:eastAsia="Calibri" w:hAnsi="Times New Roman" w:cs="Times New Roman"/>
                <w:b/>
                <w:sz w:val="24"/>
                <w:szCs w:val="24"/>
              </w:rPr>
              <w:t xml:space="preserve">The following materials MUST be submitted by all applicants. The applicant must submit the documents based on the instructions provided below. </w:t>
            </w:r>
          </w:p>
        </w:tc>
      </w:tr>
      <w:tr w:rsidR="00990C7F" w:rsidRPr="0012042A" w14:paraId="11A081E1" w14:textId="77777777" w:rsidTr="00AB6BCD">
        <w:tc>
          <w:tcPr>
            <w:tcW w:w="4320" w:type="dxa"/>
            <w:gridSpan w:val="2"/>
            <w:shd w:val="clear" w:color="auto" w:fill="D9D9D9"/>
          </w:tcPr>
          <w:p w14:paraId="2EBF082D" w14:textId="77777777" w:rsidR="00990C7F" w:rsidRPr="0012042A" w:rsidRDefault="00990C7F" w:rsidP="00524564">
            <w:pPr>
              <w:jc w:val="center"/>
              <w:rPr>
                <w:rFonts w:ascii="Times New Roman" w:eastAsia="Calibri" w:hAnsi="Times New Roman" w:cs="Times New Roman"/>
                <w:b/>
                <w:sz w:val="24"/>
                <w:szCs w:val="24"/>
              </w:rPr>
            </w:pPr>
            <w:r w:rsidRPr="0012042A">
              <w:rPr>
                <w:rFonts w:ascii="Times New Roman" w:eastAsia="Calibri" w:hAnsi="Times New Roman" w:cs="Times New Roman"/>
                <w:b/>
                <w:sz w:val="24"/>
                <w:szCs w:val="24"/>
              </w:rPr>
              <w:t>Document</w:t>
            </w:r>
          </w:p>
        </w:tc>
        <w:tc>
          <w:tcPr>
            <w:tcW w:w="2700" w:type="dxa"/>
            <w:shd w:val="clear" w:color="auto" w:fill="D9D9D9"/>
          </w:tcPr>
          <w:p w14:paraId="71A9649C" w14:textId="77777777" w:rsidR="00990C7F" w:rsidRPr="0012042A" w:rsidRDefault="00990C7F" w:rsidP="00524564">
            <w:pPr>
              <w:jc w:val="center"/>
              <w:rPr>
                <w:rFonts w:ascii="Times New Roman" w:eastAsia="Calibri" w:hAnsi="Times New Roman" w:cs="Times New Roman"/>
                <w:b/>
                <w:sz w:val="24"/>
                <w:szCs w:val="24"/>
              </w:rPr>
            </w:pPr>
            <w:r w:rsidRPr="0012042A">
              <w:rPr>
                <w:rFonts w:ascii="Times New Roman" w:eastAsia="Calibri" w:hAnsi="Times New Roman" w:cs="Times New Roman"/>
                <w:b/>
                <w:sz w:val="24"/>
                <w:szCs w:val="24"/>
              </w:rPr>
              <w:t>Document Name</w:t>
            </w:r>
          </w:p>
        </w:tc>
        <w:tc>
          <w:tcPr>
            <w:tcW w:w="720" w:type="dxa"/>
            <w:shd w:val="clear" w:color="auto" w:fill="D9D9D9"/>
          </w:tcPr>
          <w:p w14:paraId="0A85B2B4" w14:textId="77777777" w:rsidR="00990C7F" w:rsidRPr="0012042A" w:rsidRDefault="00990C7F" w:rsidP="00524564">
            <w:pPr>
              <w:jc w:val="center"/>
              <w:rPr>
                <w:rFonts w:ascii="Times New Roman" w:eastAsia="Calibri" w:hAnsi="Times New Roman" w:cs="Times New Roman"/>
                <w:b/>
                <w:sz w:val="24"/>
                <w:szCs w:val="24"/>
              </w:rPr>
            </w:pPr>
            <w:r w:rsidRPr="0012042A">
              <w:rPr>
                <w:rFonts w:ascii="Times New Roman" w:eastAsia="Calibri" w:hAnsi="Times New Roman" w:cs="Times New Roman"/>
                <w:b/>
                <w:sz w:val="24"/>
                <w:szCs w:val="24"/>
              </w:rPr>
              <w:t>PDF</w:t>
            </w:r>
          </w:p>
        </w:tc>
        <w:tc>
          <w:tcPr>
            <w:tcW w:w="900" w:type="dxa"/>
            <w:shd w:val="clear" w:color="auto" w:fill="D9D9D9"/>
          </w:tcPr>
          <w:p w14:paraId="46256AF2" w14:textId="77777777" w:rsidR="00990C7F" w:rsidRPr="0012042A" w:rsidRDefault="00990C7F" w:rsidP="00524564">
            <w:pPr>
              <w:jc w:val="center"/>
              <w:rPr>
                <w:rFonts w:ascii="Times New Roman" w:eastAsia="Calibri" w:hAnsi="Times New Roman" w:cs="Times New Roman"/>
                <w:b/>
                <w:sz w:val="24"/>
                <w:szCs w:val="24"/>
              </w:rPr>
            </w:pPr>
            <w:r w:rsidRPr="0012042A">
              <w:rPr>
                <w:rFonts w:ascii="Times New Roman" w:eastAsia="Calibri" w:hAnsi="Times New Roman" w:cs="Times New Roman"/>
                <w:b/>
                <w:sz w:val="24"/>
                <w:szCs w:val="24"/>
              </w:rPr>
              <w:t>Word</w:t>
            </w:r>
          </w:p>
        </w:tc>
        <w:tc>
          <w:tcPr>
            <w:tcW w:w="810" w:type="dxa"/>
            <w:shd w:val="clear" w:color="auto" w:fill="D9D9D9"/>
          </w:tcPr>
          <w:p w14:paraId="2484B1AA" w14:textId="77777777" w:rsidR="00990C7F" w:rsidRPr="0012042A" w:rsidRDefault="00990C7F" w:rsidP="00524564">
            <w:pPr>
              <w:jc w:val="center"/>
              <w:rPr>
                <w:rFonts w:ascii="Times New Roman" w:eastAsia="Calibri" w:hAnsi="Times New Roman" w:cs="Times New Roman"/>
                <w:b/>
                <w:sz w:val="24"/>
                <w:szCs w:val="24"/>
              </w:rPr>
            </w:pPr>
            <w:r w:rsidRPr="0012042A">
              <w:rPr>
                <w:rFonts w:ascii="Times New Roman" w:eastAsia="Calibri" w:hAnsi="Times New Roman" w:cs="Times New Roman"/>
                <w:b/>
                <w:sz w:val="24"/>
                <w:szCs w:val="24"/>
              </w:rPr>
              <w:t>Excel</w:t>
            </w:r>
          </w:p>
        </w:tc>
      </w:tr>
      <w:tr w:rsidR="00990C7F" w:rsidRPr="0012042A" w14:paraId="7FCFFB82" w14:textId="77777777" w:rsidTr="00AB6BCD">
        <w:tc>
          <w:tcPr>
            <w:tcW w:w="4320" w:type="dxa"/>
            <w:gridSpan w:val="2"/>
          </w:tcPr>
          <w:p w14:paraId="55A35447" w14:textId="37F8E36C" w:rsidR="00990C7F" w:rsidRPr="0012042A" w:rsidRDefault="00990C7F" w:rsidP="00524564">
            <w:pPr>
              <w:contextualSpacing/>
              <w:rPr>
                <w:rFonts w:ascii="Times New Roman" w:eastAsia="Calibri" w:hAnsi="Times New Roman" w:cs="Times New Roman"/>
                <w:sz w:val="24"/>
                <w:szCs w:val="24"/>
              </w:rPr>
            </w:pPr>
            <w:r w:rsidRPr="0012042A">
              <w:rPr>
                <w:rFonts w:ascii="Times New Roman" w:eastAsia="Calibri" w:hAnsi="Times New Roman" w:cs="Times New Roman"/>
                <w:b/>
                <w:sz w:val="24"/>
                <w:szCs w:val="24"/>
              </w:rPr>
              <w:t>Uniform Application for State Grant Assistance</w:t>
            </w:r>
            <w:r w:rsidRPr="0012042A">
              <w:rPr>
                <w:rFonts w:ascii="Times New Roman" w:eastAsia="Calibri" w:hAnsi="Times New Roman" w:cs="Times New Roman"/>
                <w:sz w:val="24"/>
                <w:szCs w:val="24"/>
              </w:rPr>
              <w:t xml:space="preserve"> – This form must be completed, signed, and scanned (PDF), and provide a Word file as well</w:t>
            </w:r>
          </w:p>
        </w:tc>
        <w:tc>
          <w:tcPr>
            <w:tcW w:w="2700" w:type="dxa"/>
            <w:vAlign w:val="center"/>
          </w:tcPr>
          <w:p w14:paraId="75E502D4" w14:textId="77777777" w:rsidR="00990C7F" w:rsidRPr="0012042A" w:rsidRDefault="00990C7F" w:rsidP="00524564">
            <w:pPr>
              <w:jc w:val="center"/>
              <w:rPr>
                <w:rFonts w:ascii="Times New Roman" w:eastAsia="Calibri" w:hAnsi="Times New Roman" w:cs="Times New Roman"/>
                <w:i/>
                <w:sz w:val="24"/>
                <w:szCs w:val="24"/>
              </w:rPr>
            </w:pPr>
            <w:r w:rsidRPr="0012042A">
              <w:rPr>
                <w:rFonts w:ascii="Times New Roman" w:eastAsia="Calibri" w:hAnsi="Times New Roman" w:cs="Times New Roman"/>
                <w:i/>
                <w:sz w:val="24"/>
                <w:szCs w:val="24"/>
              </w:rPr>
              <w:t>“Agency Name – Application”</w:t>
            </w:r>
          </w:p>
        </w:tc>
        <w:tc>
          <w:tcPr>
            <w:tcW w:w="720" w:type="dxa"/>
            <w:vAlign w:val="center"/>
          </w:tcPr>
          <w:p w14:paraId="6DAA7374" w14:textId="77777777" w:rsidR="00990C7F" w:rsidRPr="0012042A" w:rsidRDefault="00990C7F" w:rsidP="00524564">
            <w:pPr>
              <w:jc w:val="center"/>
              <w:rPr>
                <w:rFonts w:ascii="Times New Roman" w:eastAsia="Calibri" w:hAnsi="Times New Roman" w:cs="Times New Roman"/>
                <w:sz w:val="24"/>
                <w:szCs w:val="24"/>
              </w:rPr>
            </w:pPr>
            <w:r w:rsidRPr="0012042A">
              <w:rPr>
                <w:rFonts w:ascii="Times New Roman" w:eastAsia="Calibri" w:hAnsi="Times New Roman" w:cs="Times New Roman"/>
                <w:sz w:val="24"/>
                <w:szCs w:val="24"/>
              </w:rPr>
              <w:t>X</w:t>
            </w:r>
          </w:p>
        </w:tc>
        <w:tc>
          <w:tcPr>
            <w:tcW w:w="900" w:type="dxa"/>
            <w:vAlign w:val="center"/>
          </w:tcPr>
          <w:p w14:paraId="3F1C0D78" w14:textId="77777777" w:rsidR="00990C7F" w:rsidRPr="0012042A" w:rsidRDefault="00990C7F" w:rsidP="00524564">
            <w:pPr>
              <w:jc w:val="center"/>
              <w:rPr>
                <w:rFonts w:ascii="Times New Roman" w:eastAsia="Calibri" w:hAnsi="Times New Roman" w:cs="Times New Roman"/>
                <w:sz w:val="24"/>
                <w:szCs w:val="24"/>
              </w:rPr>
            </w:pPr>
            <w:r w:rsidRPr="0012042A">
              <w:rPr>
                <w:rFonts w:ascii="Times New Roman" w:eastAsia="Calibri" w:hAnsi="Times New Roman" w:cs="Times New Roman"/>
                <w:sz w:val="24"/>
                <w:szCs w:val="24"/>
              </w:rPr>
              <w:t>X</w:t>
            </w:r>
          </w:p>
        </w:tc>
        <w:tc>
          <w:tcPr>
            <w:tcW w:w="810" w:type="dxa"/>
            <w:vAlign w:val="center"/>
          </w:tcPr>
          <w:p w14:paraId="323D96D3" w14:textId="77777777" w:rsidR="00990C7F" w:rsidRPr="0012042A" w:rsidRDefault="00990C7F" w:rsidP="00524564">
            <w:pPr>
              <w:jc w:val="center"/>
              <w:rPr>
                <w:rFonts w:ascii="Times New Roman" w:eastAsia="Calibri" w:hAnsi="Times New Roman" w:cs="Times New Roman"/>
                <w:sz w:val="24"/>
                <w:szCs w:val="24"/>
              </w:rPr>
            </w:pPr>
          </w:p>
        </w:tc>
      </w:tr>
      <w:tr w:rsidR="00990C7F" w:rsidRPr="0012042A" w14:paraId="53ED9C44" w14:textId="77777777" w:rsidTr="00AB6BCD">
        <w:tc>
          <w:tcPr>
            <w:tcW w:w="4320" w:type="dxa"/>
            <w:gridSpan w:val="2"/>
          </w:tcPr>
          <w:p w14:paraId="68F0A8C7" w14:textId="77777777" w:rsidR="00990C7F" w:rsidRPr="0012042A" w:rsidRDefault="00990C7F" w:rsidP="00524564">
            <w:pPr>
              <w:contextualSpacing/>
              <w:rPr>
                <w:rFonts w:ascii="Times New Roman" w:eastAsia="Calibri" w:hAnsi="Times New Roman" w:cs="Times New Roman"/>
                <w:sz w:val="24"/>
                <w:szCs w:val="24"/>
              </w:rPr>
            </w:pPr>
            <w:r w:rsidRPr="0012042A">
              <w:rPr>
                <w:rFonts w:ascii="Times New Roman" w:eastAsia="Calibri" w:hAnsi="Times New Roman" w:cs="Times New Roman"/>
                <w:b/>
                <w:sz w:val="24"/>
                <w:szCs w:val="24"/>
              </w:rPr>
              <w:t>Program Narrative</w:t>
            </w:r>
            <w:r w:rsidRPr="0012042A">
              <w:rPr>
                <w:rFonts w:ascii="Times New Roman" w:eastAsia="Calibri" w:hAnsi="Times New Roman" w:cs="Times New Roman"/>
                <w:sz w:val="24"/>
                <w:szCs w:val="24"/>
              </w:rPr>
              <w:t xml:space="preserve"> – This document must meet the requirements outline in </w:t>
            </w:r>
            <w:r w:rsidRPr="0012042A">
              <w:rPr>
                <w:rFonts w:ascii="Times New Roman" w:eastAsia="Calibri" w:hAnsi="Times New Roman" w:cs="Times New Roman"/>
                <w:sz w:val="24"/>
                <w:szCs w:val="24"/>
              </w:rPr>
              <w:lastRenderedPageBreak/>
              <w:t xml:space="preserve">Section A. The narrative must be provided in this document. Do not change the format of this document. </w:t>
            </w:r>
          </w:p>
        </w:tc>
        <w:tc>
          <w:tcPr>
            <w:tcW w:w="2700" w:type="dxa"/>
            <w:vAlign w:val="center"/>
          </w:tcPr>
          <w:p w14:paraId="7387D28D" w14:textId="77777777" w:rsidR="00990C7F" w:rsidRPr="0012042A" w:rsidRDefault="00990C7F" w:rsidP="00524564">
            <w:pPr>
              <w:jc w:val="center"/>
              <w:rPr>
                <w:rFonts w:ascii="Times New Roman" w:eastAsia="Calibri" w:hAnsi="Times New Roman" w:cs="Times New Roman"/>
                <w:i/>
                <w:sz w:val="24"/>
                <w:szCs w:val="24"/>
              </w:rPr>
            </w:pPr>
            <w:r w:rsidRPr="0012042A">
              <w:rPr>
                <w:rFonts w:ascii="Times New Roman" w:eastAsia="Calibri" w:hAnsi="Times New Roman" w:cs="Times New Roman"/>
                <w:i/>
                <w:sz w:val="24"/>
                <w:szCs w:val="24"/>
              </w:rPr>
              <w:lastRenderedPageBreak/>
              <w:t>“Agency Name – Program Narrative”</w:t>
            </w:r>
          </w:p>
        </w:tc>
        <w:tc>
          <w:tcPr>
            <w:tcW w:w="720" w:type="dxa"/>
            <w:vAlign w:val="center"/>
          </w:tcPr>
          <w:p w14:paraId="3CA55985" w14:textId="77777777" w:rsidR="00990C7F" w:rsidRPr="0012042A" w:rsidRDefault="00990C7F" w:rsidP="00524564">
            <w:pPr>
              <w:jc w:val="center"/>
              <w:rPr>
                <w:rFonts w:ascii="Times New Roman" w:eastAsia="Calibri" w:hAnsi="Times New Roman" w:cs="Times New Roman"/>
                <w:sz w:val="24"/>
                <w:szCs w:val="24"/>
              </w:rPr>
            </w:pPr>
          </w:p>
        </w:tc>
        <w:tc>
          <w:tcPr>
            <w:tcW w:w="900" w:type="dxa"/>
            <w:vAlign w:val="center"/>
          </w:tcPr>
          <w:p w14:paraId="2E68052E" w14:textId="77777777" w:rsidR="00990C7F" w:rsidRPr="0012042A" w:rsidRDefault="00990C7F" w:rsidP="00524564">
            <w:pPr>
              <w:jc w:val="center"/>
              <w:rPr>
                <w:rFonts w:ascii="Times New Roman" w:eastAsia="Calibri" w:hAnsi="Times New Roman" w:cs="Times New Roman"/>
                <w:sz w:val="24"/>
                <w:szCs w:val="24"/>
              </w:rPr>
            </w:pPr>
            <w:r w:rsidRPr="0012042A">
              <w:rPr>
                <w:rFonts w:ascii="Times New Roman" w:eastAsia="Calibri" w:hAnsi="Times New Roman" w:cs="Times New Roman"/>
                <w:sz w:val="24"/>
                <w:szCs w:val="24"/>
              </w:rPr>
              <w:t>X</w:t>
            </w:r>
          </w:p>
        </w:tc>
        <w:tc>
          <w:tcPr>
            <w:tcW w:w="810" w:type="dxa"/>
            <w:vAlign w:val="center"/>
          </w:tcPr>
          <w:p w14:paraId="679B8296" w14:textId="77777777" w:rsidR="00990C7F" w:rsidRPr="0012042A" w:rsidRDefault="00990C7F" w:rsidP="00524564">
            <w:pPr>
              <w:jc w:val="center"/>
              <w:rPr>
                <w:rFonts w:ascii="Times New Roman" w:eastAsia="Calibri" w:hAnsi="Times New Roman" w:cs="Times New Roman"/>
                <w:sz w:val="24"/>
                <w:szCs w:val="24"/>
              </w:rPr>
            </w:pPr>
          </w:p>
        </w:tc>
      </w:tr>
      <w:tr w:rsidR="00990C7F" w:rsidRPr="0012042A" w14:paraId="7CE79B46" w14:textId="77777777" w:rsidTr="00AB6BCD">
        <w:tc>
          <w:tcPr>
            <w:tcW w:w="4320" w:type="dxa"/>
            <w:gridSpan w:val="2"/>
          </w:tcPr>
          <w:p w14:paraId="5D90CC7F" w14:textId="77777777" w:rsidR="00990C7F" w:rsidRPr="0012042A" w:rsidRDefault="00990C7F" w:rsidP="00524564">
            <w:pPr>
              <w:contextualSpacing/>
              <w:rPr>
                <w:rFonts w:ascii="Times New Roman" w:eastAsia="Calibri" w:hAnsi="Times New Roman" w:cs="Times New Roman"/>
                <w:sz w:val="24"/>
                <w:szCs w:val="24"/>
              </w:rPr>
            </w:pPr>
            <w:r w:rsidRPr="0012042A">
              <w:rPr>
                <w:rFonts w:ascii="Times New Roman" w:eastAsia="Calibri" w:hAnsi="Times New Roman" w:cs="Times New Roman"/>
                <w:b/>
                <w:sz w:val="24"/>
                <w:szCs w:val="24"/>
              </w:rPr>
              <w:t>Budget/Budget Narrative</w:t>
            </w:r>
            <w:r w:rsidRPr="0012042A">
              <w:rPr>
                <w:rFonts w:ascii="Times New Roman" w:eastAsia="Calibri" w:hAnsi="Times New Roman" w:cs="Times New Roman"/>
                <w:sz w:val="24"/>
                <w:szCs w:val="24"/>
              </w:rPr>
              <w:t xml:space="preserve"> – This document is a workbook, with several pages (tabs). The last tab has instructions if clarification is needed.</w:t>
            </w:r>
          </w:p>
        </w:tc>
        <w:tc>
          <w:tcPr>
            <w:tcW w:w="2700" w:type="dxa"/>
            <w:vAlign w:val="center"/>
          </w:tcPr>
          <w:p w14:paraId="1701FE47" w14:textId="77777777" w:rsidR="00990C7F" w:rsidRPr="0012042A" w:rsidRDefault="00990C7F" w:rsidP="00524564">
            <w:pPr>
              <w:jc w:val="center"/>
              <w:rPr>
                <w:rFonts w:ascii="Times New Roman" w:eastAsia="Calibri" w:hAnsi="Times New Roman" w:cs="Times New Roman"/>
                <w:i/>
                <w:sz w:val="24"/>
                <w:szCs w:val="24"/>
              </w:rPr>
            </w:pPr>
            <w:r w:rsidRPr="0012042A">
              <w:rPr>
                <w:rFonts w:ascii="Times New Roman" w:eastAsia="Calibri" w:hAnsi="Times New Roman" w:cs="Times New Roman"/>
                <w:i/>
                <w:sz w:val="24"/>
                <w:szCs w:val="24"/>
              </w:rPr>
              <w:t>“Agency Name – Budget”</w:t>
            </w:r>
          </w:p>
        </w:tc>
        <w:tc>
          <w:tcPr>
            <w:tcW w:w="720" w:type="dxa"/>
            <w:vAlign w:val="center"/>
          </w:tcPr>
          <w:p w14:paraId="4284B0FA" w14:textId="77777777" w:rsidR="00990C7F" w:rsidRPr="0012042A" w:rsidRDefault="00990C7F" w:rsidP="00524564">
            <w:pPr>
              <w:jc w:val="center"/>
              <w:rPr>
                <w:rFonts w:ascii="Times New Roman" w:eastAsia="Calibri" w:hAnsi="Times New Roman" w:cs="Times New Roman"/>
                <w:sz w:val="24"/>
                <w:szCs w:val="24"/>
              </w:rPr>
            </w:pPr>
          </w:p>
        </w:tc>
        <w:tc>
          <w:tcPr>
            <w:tcW w:w="900" w:type="dxa"/>
            <w:vAlign w:val="center"/>
          </w:tcPr>
          <w:p w14:paraId="77862FB9" w14:textId="77777777" w:rsidR="00990C7F" w:rsidRPr="0012042A" w:rsidRDefault="00990C7F" w:rsidP="00524564">
            <w:pPr>
              <w:jc w:val="center"/>
              <w:rPr>
                <w:rFonts w:ascii="Times New Roman" w:eastAsia="Calibri" w:hAnsi="Times New Roman" w:cs="Times New Roman"/>
                <w:sz w:val="24"/>
                <w:szCs w:val="24"/>
              </w:rPr>
            </w:pPr>
          </w:p>
        </w:tc>
        <w:tc>
          <w:tcPr>
            <w:tcW w:w="810" w:type="dxa"/>
            <w:vAlign w:val="center"/>
          </w:tcPr>
          <w:p w14:paraId="71E1C24B" w14:textId="77777777" w:rsidR="00990C7F" w:rsidRPr="0012042A" w:rsidRDefault="00990C7F" w:rsidP="00524564">
            <w:pPr>
              <w:jc w:val="center"/>
              <w:rPr>
                <w:rFonts w:ascii="Times New Roman" w:eastAsia="Calibri" w:hAnsi="Times New Roman" w:cs="Times New Roman"/>
                <w:sz w:val="24"/>
                <w:szCs w:val="24"/>
              </w:rPr>
            </w:pPr>
            <w:r w:rsidRPr="0012042A">
              <w:rPr>
                <w:rFonts w:ascii="Times New Roman" w:eastAsia="Calibri" w:hAnsi="Times New Roman" w:cs="Times New Roman"/>
                <w:sz w:val="24"/>
                <w:szCs w:val="24"/>
              </w:rPr>
              <w:t>X</w:t>
            </w:r>
          </w:p>
        </w:tc>
      </w:tr>
      <w:tr w:rsidR="00990C7F" w:rsidRPr="0012042A" w14:paraId="7C02265D" w14:textId="77777777" w:rsidTr="00AB6BCD">
        <w:tc>
          <w:tcPr>
            <w:tcW w:w="739" w:type="dxa"/>
          </w:tcPr>
          <w:p w14:paraId="5C3CB926" w14:textId="77777777" w:rsidR="00990C7F" w:rsidRPr="0012042A" w:rsidRDefault="00990C7F" w:rsidP="00524564">
            <w:pPr>
              <w:jc w:val="center"/>
              <w:rPr>
                <w:rFonts w:ascii="Times New Roman" w:eastAsia="Calibri" w:hAnsi="Times New Roman" w:cs="Times New Roman"/>
                <w:b/>
                <w:sz w:val="24"/>
                <w:szCs w:val="24"/>
              </w:rPr>
            </w:pPr>
          </w:p>
        </w:tc>
        <w:tc>
          <w:tcPr>
            <w:tcW w:w="8711" w:type="dxa"/>
            <w:gridSpan w:val="5"/>
          </w:tcPr>
          <w:p w14:paraId="2097D63A" w14:textId="77777777" w:rsidR="00990C7F" w:rsidRPr="0012042A" w:rsidRDefault="00990C7F" w:rsidP="00524564">
            <w:pPr>
              <w:jc w:val="center"/>
              <w:rPr>
                <w:rFonts w:ascii="Times New Roman" w:eastAsia="Calibri" w:hAnsi="Times New Roman" w:cs="Times New Roman"/>
                <w:b/>
                <w:sz w:val="24"/>
                <w:szCs w:val="24"/>
              </w:rPr>
            </w:pPr>
            <w:r w:rsidRPr="0012042A">
              <w:rPr>
                <w:rFonts w:ascii="Times New Roman" w:eastAsia="Calibri" w:hAnsi="Times New Roman" w:cs="Times New Roman"/>
                <w:b/>
                <w:sz w:val="24"/>
                <w:szCs w:val="24"/>
              </w:rPr>
              <w:t>Non-Profit Agency Required Documents</w:t>
            </w:r>
          </w:p>
        </w:tc>
      </w:tr>
      <w:tr w:rsidR="00990C7F" w:rsidRPr="0012042A" w14:paraId="15E5975F" w14:textId="77777777" w:rsidTr="00AB6BCD">
        <w:tc>
          <w:tcPr>
            <w:tcW w:w="4320" w:type="dxa"/>
            <w:gridSpan w:val="2"/>
          </w:tcPr>
          <w:p w14:paraId="7986BFEF" w14:textId="03097784" w:rsidR="00990C7F" w:rsidRPr="0012042A" w:rsidRDefault="00990C7F" w:rsidP="00524564">
            <w:pPr>
              <w:contextualSpacing/>
              <w:jc w:val="both"/>
              <w:rPr>
                <w:rFonts w:ascii="Times New Roman" w:eastAsia="Calibri" w:hAnsi="Times New Roman" w:cs="Times New Roman"/>
                <w:i/>
                <w:sz w:val="24"/>
                <w:szCs w:val="24"/>
              </w:rPr>
            </w:pPr>
            <w:r w:rsidRPr="0012042A">
              <w:rPr>
                <w:rFonts w:ascii="Times New Roman" w:eastAsia="Calibri" w:hAnsi="Times New Roman" w:cs="Times New Roman"/>
                <w:sz w:val="24"/>
                <w:szCs w:val="24"/>
              </w:rPr>
              <w:t xml:space="preserve">United States Internal Revenue Service 501(c)(3) determination letter. </w:t>
            </w:r>
          </w:p>
        </w:tc>
        <w:tc>
          <w:tcPr>
            <w:tcW w:w="2700" w:type="dxa"/>
          </w:tcPr>
          <w:p w14:paraId="417E214B" w14:textId="77777777" w:rsidR="00990C7F" w:rsidRPr="0012042A" w:rsidRDefault="00990C7F" w:rsidP="00524564">
            <w:pPr>
              <w:rPr>
                <w:rFonts w:ascii="Times New Roman" w:eastAsia="Calibri" w:hAnsi="Times New Roman" w:cs="Times New Roman"/>
                <w:sz w:val="24"/>
                <w:szCs w:val="24"/>
              </w:rPr>
            </w:pPr>
          </w:p>
        </w:tc>
        <w:tc>
          <w:tcPr>
            <w:tcW w:w="720" w:type="dxa"/>
            <w:vAlign w:val="center"/>
          </w:tcPr>
          <w:p w14:paraId="1ED022A0" w14:textId="77777777" w:rsidR="00990C7F" w:rsidRPr="0012042A" w:rsidRDefault="00990C7F" w:rsidP="00524564">
            <w:pPr>
              <w:jc w:val="center"/>
              <w:rPr>
                <w:rFonts w:ascii="Times New Roman" w:eastAsia="Calibri" w:hAnsi="Times New Roman" w:cs="Times New Roman"/>
                <w:sz w:val="24"/>
                <w:szCs w:val="24"/>
              </w:rPr>
            </w:pPr>
            <w:r w:rsidRPr="0012042A">
              <w:rPr>
                <w:rFonts w:ascii="Times New Roman" w:eastAsia="Calibri" w:hAnsi="Times New Roman" w:cs="Times New Roman"/>
                <w:sz w:val="24"/>
                <w:szCs w:val="24"/>
              </w:rPr>
              <w:t>X</w:t>
            </w:r>
          </w:p>
        </w:tc>
        <w:tc>
          <w:tcPr>
            <w:tcW w:w="900" w:type="dxa"/>
          </w:tcPr>
          <w:p w14:paraId="31CD0893" w14:textId="77777777" w:rsidR="00990C7F" w:rsidRPr="0012042A" w:rsidRDefault="00990C7F" w:rsidP="00524564">
            <w:pPr>
              <w:rPr>
                <w:rFonts w:ascii="Times New Roman" w:eastAsia="Calibri" w:hAnsi="Times New Roman" w:cs="Times New Roman"/>
                <w:sz w:val="24"/>
                <w:szCs w:val="24"/>
              </w:rPr>
            </w:pPr>
          </w:p>
        </w:tc>
        <w:tc>
          <w:tcPr>
            <w:tcW w:w="810" w:type="dxa"/>
          </w:tcPr>
          <w:p w14:paraId="21CECEF0" w14:textId="77777777" w:rsidR="00990C7F" w:rsidRPr="0012042A" w:rsidRDefault="00990C7F" w:rsidP="00524564">
            <w:pPr>
              <w:rPr>
                <w:rFonts w:ascii="Times New Roman" w:eastAsia="Calibri" w:hAnsi="Times New Roman" w:cs="Times New Roman"/>
                <w:sz w:val="24"/>
                <w:szCs w:val="24"/>
              </w:rPr>
            </w:pPr>
          </w:p>
        </w:tc>
      </w:tr>
    </w:tbl>
    <w:p w14:paraId="60E50D37" w14:textId="77777777" w:rsidR="00990C7F" w:rsidRPr="0012042A" w:rsidRDefault="00990C7F" w:rsidP="00524564">
      <w:pPr>
        <w:autoSpaceDE w:val="0"/>
        <w:autoSpaceDN w:val="0"/>
        <w:adjustRightInd w:val="0"/>
        <w:rPr>
          <w:color w:val="auto"/>
        </w:rPr>
      </w:pPr>
    </w:p>
    <w:p w14:paraId="29EA2982" w14:textId="6A85D85F" w:rsidR="00AB6BCD" w:rsidRPr="0012042A" w:rsidRDefault="00D27608" w:rsidP="00524564">
      <w:pPr>
        <w:autoSpaceDE w:val="0"/>
        <w:autoSpaceDN w:val="0"/>
        <w:adjustRightInd w:val="0"/>
        <w:rPr>
          <w:color w:val="auto"/>
        </w:rPr>
      </w:pPr>
      <w:r w:rsidRPr="0012042A">
        <w:rPr>
          <w:color w:val="auto"/>
        </w:rPr>
        <w:t>(c)</w:t>
      </w:r>
      <w:r w:rsidR="00990C7F" w:rsidRPr="0012042A">
        <w:rPr>
          <w:color w:val="auto"/>
        </w:rPr>
        <w:t xml:space="preserve">. </w:t>
      </w:r>
      <w:r w:rsidR="006F3FED" w:rsidRPr="0012042A">
        <w:rPr>
          <w:color w:val="auto"/>
          <w:u w:val="single"/>
        </w:rPr>
        <w:t>Application Formatting</w:t>
      </w:r>
      <w:r w:rsidR="006F3FED" w:rsidRPr="0012042A">
        <w:rPr>
          <w:color w:val="auto"/>
        </w:rPr>
        <w:t xml:space="preserve"> </w:t>
      </w:r>
    </w:p>
    <w:p w14:paraId="58A5AE78" w14:textId="206ECF59" w:rsidR="006F3FED" w:rsidRPr="0012042A" w:rsidRDefault="00AB6BCD" w:rsidP="00524564">
      <w:pPr>
        <w:autoSpaceDE w:val="0"/>
        <w:autoSpaceDN w:val="0"/>
        <w:adjustRightInd w:val="0"/>
        <w:rPr>
          <w:color w:val="auto"/>
        </w:rPr>
      </w:pPr>
      <w:r w:rsidRPr="0012042A">
        <w:rPr>
          <w:color w:val="auto"/>
        </w:rPr>
        <w:t xml:space="preserve">Program Narratives may not exceed </w:t>
      </w:r>
      <w:r w:rsidR="00935A5A" w:rsidRPr="0012042A">
        <w:rPr>
          <w:color w:val="auto"/>
        </w:rPr>
        <w:t>20</w:t>
      </w:r>
      <w:r w:rsidR="00805628" w:rsidRPr="0012042A">
        <w:rPr>
          <w:color w:val="auto"/>
        </w:rPr>
        <w:t xml:space="preserve"> pages and must written in Times New Roman</w:t>
      </w:r>
      <w:r w:rsidR="003B6CC4" w:rsidRPr="0012042A">
        <w:rPr>
          <w:color w:val="auto"/>
        </w:rPr>
        <w:t xml:space="preserve">, </w:t>
      </w:r>
      <w:r w:rsidRPr="0012042A">
        <w:rPr>
          <w:color w:val="auto"/>
        </w:rPr>
        <w:t xml:space="preserve">size </w:t>
      </w:r>
      <w:r w:rsidR="00805628" w:rsidRPr="0012042A">
        <w:rPr>
          <w:color w:val="auto"/>
        </w:rPr>
        <w:t>12</w:t>
      </w:r>
      <w:r w:rsidRPr="0012042A">
        <w:rPr>
          <w:color w:val="auto"/>
        </w:rPr>
        <w:t xml:space="preserve"> font. Do not delete template questions in your response.</w:t>
      </w:r>
      <w:r w:rsidR="00B91F92" w:rsidRPr="0012042A">
        <w:rPr>
          <w:color w:val="auto"/>
        </w:rPr>
        <w:t xml:space="preserve"> Include any agreements with or support letters from third parties required under this Notice.</w:t>
      </w:r>
    </w:p>
    <w:p w14:paraId="620CBBE0" w14:textId="77777777" w:rsidR="005767A5" w:rsidRPr="0012042A" w:rsidRDefault="005767A5" w:rsidP="00524564">
      <w:pPr>
        <w:autoSpaceDE w:val="0"/>
        <w:autoSpaceDN w:val="0"/>
        <w:adjustRightInd w:val="0"/>
        <w:rPr>
          <w:color w:val="auto"/>
        </w:rPr>
      </w:pPr>
    </w:p>
    <w:p w14:paraId="10BF5E81" w14:textId="12234BE5" w:rsidR="008C6B7D" w:rsidRPr="0012042A" w:rsidRDefault="008C6B7D" w:rsidP="00524564">
      <w:pPr>
        <w:autoSpaceDE w:val="0"/>
        <w:autoSpaceDN w:val="0"/>
        <w:adjustRightInd w:val="0"/>
        <w:ind w:left="0"/>
        <w:rPr>
          <w:color w:val="auto"/>
        </w:rPr>
      </w:pPr>
    </w:p>
    <w:p w14:paraId="0E0C189A" w14:textId="2F73E89B" w:rsidR="005767A5" w:rsidRPr="0012042A" w:rsidRDefault="00E3661F" w:rsidP="00524564">
      <w:pPr>
        <w:autoSpaceDE w:val="0"/>
        <w:autoSpaceDN w:val="0"/>
        <w:adjustRightInd w:val="0"/>
        <w:ind w:left="360"/>
        <w:rPr>
          <w:color w:val="auto"/>
        </w:rPr>
      </w:pPr>
      <w:r w:rsidRPr="0012042A">
        <w:rPr>
          <w:b/>
          <w:i/>
          <w:color w:val="auto"/>
        </w:rPr>
        <w:t>3</w:t>
      </w:r>
      <w:r w:rsidR="00506B40" w:rsidRPr="0012042A">
        <w:rPr>
          <w:b/>
          <w:i/>
          <w:color w:val="auto"/>
        </w:rPr>
        <w:t>.</w:t>
      </w:r>
      <w:r w:rsidR="00506B40" w:rsidRPr="0012042A">
        <w:rPr>
          <w:b/>
          <w:color w:val="auto"/>
        </w:rPr>
        <w:t xml:space="preserve"> </w:t>
      </w:r>
      <w:r w:rsidR="005767A5" w:rsidRPr="0012042A">
        <w:rPr>
          <w:b/>
          <w:i/>
          <w:color w:val="auto"/>
        </w:rPr>
        <w:t>Dun and Bradstreet Universal Numbering System (DUNS) Number and System for Award Management (SAM)</w:t>
      </w:r>
      <w:r w:rsidR="005767A5" w:rsidRPr="0012042A">
        <w:rPr>
          <w:color w:val="auto"/>
        </w:rPr>
        <w:t xml:space="preserve"> </w:t>
      </w:r>
      <w:bookmarkStart w:id="10" w:name="_Hlk534485615"/>
      <w:r w:rsidR="00990C7F" w:rsidRPr="0012042A">
        <w:rPr>
          <w:color w:val="auto"/>
        </w:rPr>
        <w:t>Each</w:t>
      </w:r>
      <w:r w:rsidR="005767A5" w:rsidRPr="0012042A">
        <w:rPr>
          <w:color w:val="auto"/>
        </w:rPr>
        <w:t xml:space="preserve"> applicant (unless the applicant is an individual or </w:t>
      </w:r>
      <w:r w:rsidR="00E572A7" w:rsidRPr="0012042A">
        <w:rPr>
          <w:color w:val="auto"/>
        </w:rPr>
        <w:t>f</w:t>
      </w:r>
      <w:r w:rsidR="005767A5" w:rsidRPr="0012042A">
        <w:rPr>
          <w:color w:val="auto"/>
        </w:rPr>
        <w:t xml:space="preserve">ederal or </w:t>
      </w:r>
      <w:r w:rsidR="00E572A7" w:rsidRPr="0012042A">
        <w:rPr>
          <w:color w:val="auto"/>
        </w:rPr>
        <w:t>s</w:t>
      </w:r>
      <w:r w:rsidR="005767A5" w:rsidRPr="0012042A">
        <w:rPr>
          <w:color w:val="auto"/>
        </w:rPr>
        <w:t xml:space="preserve">tate awarding agency that is exempt from those requirements under 2 CFR § 25.110(b) or (c), or has an exception approved by the </w:t>
      </w:r>
      <w:r w:rsidR="00E572A7" w:rsidRPr="0012042A">
        <w:rPr>
          <w:color w:val="auto"/>
        </w:rPr>
        <w:t>f</w:t>
      </w:r>
      <w:r w:rsidR="005767A5" w:rsidRPr="0012042A">
        <w:rPr>
          <w:color w:val="auto"/>
        </w:rPr>
        <w:t xml:space="preserve">ederal or </w:t>
      </w:r>
      <w:r w:rsidR="00E572A7" w:rsidRPr="0012042A">
        <w:rPr>
          <w:color w:val="auto"/>
        </w:rPr>
        <w:t>s</w:t>
      </w:r>
      <w:r w:rsidR="005767A5" w:rsidRPr="0012042A">
        <w:rPr>
          <w:color w:val="auto"/>
        </w:rPr>
        <w:t>tate awarding agency under 2 CFR § 25.110(d)) is required to:</w:t>
      </w:r>
    </w:p>
    <w:p w14:paraId="40B10B15" w14:textId="77777777" w:rsidR="00990C7F" w:rsidRPr="0012042A" w:rsidRDefault="00990C7F" w:rsidP="00524564">
      <w:pPr>
        <w:autoSpaceDE w:val="0"/>
        <w:autoSpaceDN w:val="0"/>
        <w:adjustRightInd w:val="0"/>
        <w:rPr>
          <w:color w:val="auto"/>
        </w:rPr>
      </w:pPr>
    </w:p>
    <w:p w14:paraId="75C8AE09" w14:textId="5094E9BC" w:rsidR="005767A5" w:rsidRPr="0012042A" w:rsidRDefault="00D27608" w:rsidP="00524564">
      <w:pPr>
        <w:autoSpaceDE w:val="0"/>
        <w:autoSpaceDN w:val="0"/>
        <w:adjustRightInd w:val="0"/>
        <w:rPr>
          <w:color w:val="auto"/>
        </w:rPr>
      </w:pPr>
      <w:r w:rsidRPr="0012042A">
        <w:rPr>
          <w:color w:val="auto"/>
        </w:rPr>
        <w:t>(a)</w:t>
      </w:r>
      <w:r w:rsidR="005767A5" w:rsidRPr="0012042A">
        <w:rPr>
          <w:color w:val="auto"/>
        </w:rPr>
        <w:t>. Be registered in SAM before submitting its application. To establish a SAM registration, go to www.SAM.gov and/or utilize this instructional link: How to Register in SAM from the www.grants.illinois.gov Resource Links tab.</w:t>
      </w:r>
    </w:p>
    <w:p w14:paraId="75E64853" w14:textId="77777777" w:rsidR="005767A5" w:rsidRPr="0012042A" w:rsidRDefault="005767A5" w:rsidP="00524564">
      <w:pPr>
        <w:autoSpaceDE w:val="0"/>
        <w:autoSpaceDN w:val="0"/>
        <w:adjustRightInd w:val="0"/>
        <w:rPr>
          <w:color w:val="auto"/>
        </w:rPr>
      </w:pPr>
    </w:p>
    <w:p w14:paraId="2EC9783F" w14:textId="5746F918" w:rsidR="005767A5" w:rsidRPr="0012042A" w:rsidRDefault="00D27608" w:rsidP="00524564">
      <w:pPr>
        <w:autoSpaceDE w:val="0"/>
        <w:autoSpaceDN w:val="0"/>
        <w:adjustRightInd w:val="0"/>
        <w:rPr>
          <w:color w:val="auto"/>
        </w:rPr>
      </w:pPr>
      <w:r w:rsidRPr="0012042A">
        <w:rPr>
          <w:color w:val="auto"/>
        </w:rPr>
        <w:t>(b)</w:t>
      </w:r>
      <w:r w:rsidR="005767A5" w:rsidRPr="0012042A">
        <w:rPr>
          <w:color w:val="auto"/>
        </w:rPr>
        <w:t xml:space="preserve">. </w:t>
      </w:r>
      <w:r w:rsidR="00990C7F" w:rsidRPr="0012042A">
        <w:rPr>
          <w:color w:val="auto"/>
        </w:rPr>
        <w:t>Provide a valid DUNS number in its application. To obtain a DUNS number, visit from Dun and Bradstreet, Inc., online at www.dunandbradstreet.com or call 1-866-705- 5711.</w:t>
      </w:r>
      <w:r w:rsidR="005767A5" w:rsidRPr="0012042A">
        <w:rPr>
          <w:color w:val="auto"/>
        </w:rPr>
        <w:t>; and</w:t>
      </w:r>
    </w:p>
    <w:p w14:paraId="7E3EF71D" w14:textId="77777777" w:rsidR="005767A5" w:rsidRPr="0012042A" w:rsidRDefault="005767A5" w:rsidP="00524564">
      <w:pPr>
        <w:autoSpaceDE w:val="0"/>
        <w:autoSpaceDN w:val="0"/>
        <w:adjustRightInd w:val="0"/>
        <w:rPr>
          <w:color w:val="auto"/>
        </w:rPr>
      </w:pPr>
    </w:p>
    <w:p w14:paraId="47CDD4D6" w14:textId="32D6A421" w:rsidR="005767A5" w:rsidRPr="0012042A" w:rsidRDefault="00D27608" w:rsidP="00524564">
      <w:pPr>
        <w:autoSpaceDE w:val="0"/>
        <w:autoSpaceDN w:val="0"/>
        <w:adjustRightInd w:val="0"/>
        <w:rPr>
          <w:color w:val="auto"/>
        </w:rPr>
      </w:pPr>
      <w:r w:rsidRPr="0012042A">
        <w:rPr>
          <w:color w:val="auto"/>
        </w:rPr>
        <w:t>(c)</w:t>
      </w:r>
      <w:r w:rsidR="005767A5" w:rsidRPr="0012042A">
        <w:rPr>
          <w:color w:val="auto"/>
        </w:rPr>
        <w:t xml:space="preserve">. Continue to maintain an active SAM registration with current information </w:t>
      </w:r>
      <w:proofErr w:type="gramStart"/>
      <w:r w:rsidR="005767A5" w:rsidRPr="0012042A">
        <w:rPr>
          <w:color w:val="auto"/>
        </w:rPr>
        <w:t>at all times</w:t>
      </w:r>
      <w:proofErr w:type="gramEnd"/>
      <w:r w:rsidR="005767A5" w:rsidRPr="0012042A">
        <w:rPr>
          <w:color w:val="auto"/>
        </w:rPr>
        <w:t xml:space="preserve"> during which it has an active award or an application or plan under consideration by a </w:t>
      </w:r>
      <w:r w:rsidR="00E572A7" w:rsidRPr="0012042A">
        <w:rPr>
          <w:color w:val="auto"/>
        </w:rPr>
        <w:t>f</w:t>
      </w:r>
      <w:r w:rsidR="005767A5" w:rsidRPr="0012042A">
        <w:rPr>
          <w:color w:val="auto"/>
        </w:rPr>
        <w:t xml:space="preserve">ederal or </w:t>
      </w:r>
      <w:r w:rsidR="00E572A7" w:rsidRPr="0012042A">
        <w:rPr>
          <w:color w:val="auto"/>
        </w:rPr>
        <w:t>s</w:t>
      </w:r>
      <w:r w:rsidR="005767A5" w:rsidRPr="0012042A">
        <w:rPr>
          <w:color w:val="auto"/>
        </w:rPr>
        <w:t xml:space="preserve">tate awarding agency. </w:t>
      </w:r>
      <w:r w:rsidR="00990C7F" w:rsidRPr="0012042A">
        <w:rPr>
          <w:color w:val="auto"/>
        </w:rPr>
        <w:t>ICJIA</w:t>
      </w:r>
      <w:r w:rsidR="005767A5" w:rsidRPr="0012042A">
        <w:rPr>
          <w:color w:val="auto"/>
        </w:rPr>
        <w:t xml:space="preserve"> may not make a </w:t>
      </w:r>
      <w:r w:rsidR="00E572A7" w:rsidRPr="0012042A">
        <w:rPr>
          <w:color w:val="auto"/>
        </w:rPr>
        <w:t>f</w:t>
      </w:r>
      <w:r w:rsidR="005767A5" w:rsidRPr="0012042A">
        <w:rPr>
          <w:color w:val="auto"/>
        </w:rPr>
        <w:t xml:space="preserve">ederal pass-through or </w:t>
      </w:r>
      <w:r w:rsidR="00E572A7" w:rsidRPr="0012042A">
        <w:rPr>
          <w:color w:val="auto"/>
        </w:rPr>
        <w:t>s</w:t>
      </w:r>
      <w:r w:rsidR="005767A5" w:rsidRPr="0012042A">
        <w:rPr>
          <w:color w:val="auto"/>
        </w:rPr>
        <w:t xml:space="preserve">tate award to an applicant until the applicant has complied with all applicable DUNS and SAM requirements and, if an applicant has not fully complied with the requirements by the time </w:t>
      </w:r>
      <w:r w:rsidR="00506B40" w:rsidRPr="0012042A">
        <w:rPr>
          <w:color w:val="auto"/>
        </w:rPr>
        <w:t>ICJIA</w:t>
      </w:r>
      <w:r w:rsidR="00990C7F" w:rsidRPr="0012042A">
        <w:rPr>
          <w:color w:val="auto"/>
        </w:rPr>
        <w:t xml:space="preserve"> is ready to make an </w:t>
      </w:r>
      <w:r w:rsidR="005767A5" w:rsidRPr="0012042A">
        <w:rPr>
          <w:color w:val="auto"/>
        </w:rPr>
        <w:t xml:space="preserve">award, </w:t>
      </w:r>
      <w:r w:rsidR="00506B40" w:rsidRPr="0012042A">
        <w:rPr>
          <w:color w:val="auto"/>
        </w:rPr>
        <w:t xml:space="preserve">ICJIA may determine that </w:t>
      </w:r>
      <w:r w:rsidR="005767A5" w:rsidRPr="0012042A">
        <w:rPr>
          <w:color w:val="auto"/>
        </w:rPr>
        <w:t>the applican</w:t>
      </w:r>
      <w:r w:rsidR="00506B40" w:rsidRPr="0012042A">
        <w:rPr>
          <w:color w:val="auto"/>
        </w:rPr>
        <w:t>t</w:t>
      </w:r>
      <w:r w:rsidR="00990C7F" w:rsidRPr="0012042A">
        <w:rPr>
          <w:color w:val="auto"/>
        </w:rPr>
        <w:t xml:space="preserve"> </w:t>
      </w:r>
      <w:r w:rsidR="00506B40" w:rsidRPr="0012042A">
        <w:rPr>
          <w:color w:val="auto"/>
        </w:rPr>
        <w:t xml:space="preserve">is </w:t>
      </w:r>
      <w:r w:rsidR="00990C7F" w:rsidRPr="0012042A">
        <w:rPr>
          <w:color w:val="auto"/>
        </w:rPr>
        <w:t xml:space="preserve">not qualified to receive an </w:t>
      </w:r>
      <w:r w:rsidR="005767A5" w:rsidRPr="0012042A">
        <w:rPr>
          <w:color w:val="auto"/>
        </w:rPr>
        <w:t>award</w:t>
      </w:r>
      <w:r w:rsidR="00506B40" w:rsidRPr="0012042A">
        <w:rPr>
          <w:color w:val="auto"/>
        </w:rPr>
        <w:t>, and may use that determination as a basis for making a federal pass-through or state award to another applicant</w:t>
      </w:r>
      <w:r w:rsidR="005767A5" w:rsidRPr="0012042A">
        <w:rPr>
          <w:color w:val="auto"/>
        </w:rPr>
        <w:t>.</w:t>
      </w:r>
    </w:p>
    <w:bookmarkEnd w:id="10"/>
    <w:p w14:paraId="47808E84" w14:textId="77777777" w:rsidR="00990C7F" w:rsidRPr="0012042A" w:rsidRDefault="00990C7F" w:rsidP="00524564">
      <w:pPr>
        <w:autoSpaceDE w:val="0"/>
        <w:autoSpaceDN w:val="0"/>
        <w:adjustRightInd w:val="0"/>
        <w:rPr>
          <w:color w:val="auto"/>
        </w:rPr>
      </w:pPr>
    </w:p>
    <w:p w14:paraId="1964E977" w14:textId="77777777" w:rsidR="001D1586" w:rsidRPr="0012042A" w:rsidRDefault="00E3661F" w:rsidP="00524564">
      <w:pPr>
        <w:autoSpaceDE w:val="0"/>
        <w:autoSpaceDN w:val="0"/>
        <w:adjustRightInd w:val="0"/>
        <w:ind w:left="360"/>
        <w:rPr>
          <w:b/>
          <w:color w:val="auto"/>
        </w:rPr>
      </w:pPr>
      <w:r w:rsidRPr="0012042A">
        <w:rPr>
          <w:b/>
          <w:i/>
          <w:color w:val="auto"/>
        </w:rPr>
        <w:t>4</w:t>
      </w:r>
      <w:r w:rsidR="005F1CC5" w:rsidRPr="0012042A">
        <w:rPr>
          <w:b/>
          <w:i/>
          <w:color w:val="auto"/>
        </w:rPr>
        <w:t>.</w:t>
      </w:r>
      <w:r w:rsidR="005F1CC5" w:rsidRPr="0012042A">
        <w:rPr>
          <w:b/>
          <w:color w:val="auto"/>
        </w:rPr>
        <w:t xml:space="preserve"> </w:t>
      </w:r>
      <w:r w:rsidR="005F1CC5" w:rsidRPr="0012042A">
        <w:rPr>
          <w:b/>
          <w:i/>
          <w:color w:val="auto"/>
        </w:rPr>
        <w:t>Submission Dates</w:t>
      </w:r>
      <w:r w:rsidR="008E530A" w:rsidRPr="0012042A">
        <w:rPr>
          <w:b/>
          <w:i/>
          <w:color w:val="auto"/>
        </w:rPr>
        <w:t xml:space="preserve">, </w:t>
      </w:r>
      <w:r w:rsidR="005F1CC5" w:rsidRPr="0012042A">
        <w:rPr>
          <w:b/>
          <w:i/>
          <w:color w:val="auto"/>
        </w:rPr>
        <w:t>Times</w:t>
      </w:r>
      <w:r w:rsidR="008E530A" w:rsidRPr="0012042A">
        <w:rPr>
          <w:b/>
          <w:i/>
          <w:color w:val="auto"/>
        </w:rPr>
        <w:t>, and Method</w:t>
      </w:r>
      <w:r w:rsidR="00AA38E8" w:rsidRPr="0012042A">
        <w:rPr>
          <w:b/>
          <w:color w:val="auto"/>
        </w:rPr>
        <w:t xml:space="preserve"> </w:t>
      </w:r>
      <w:r w:rsidR="00720D02" w:rsidRPr="0012042A">
        <w:rPr>
          <w:b/>
          <w:color w:val="auto"/>
        </w:rPr>
        <w:t xml:space="preserve"> </w:t>
      </w:r>
    </w:p>
    <w:p w14:paraId="1D2039CA" w14:textId="5A1907A4" w:rsidR="00757265" w:rsidRPr="001C4B17" w:rsidRDefault="00D27608" w:rsidP="001C4B17">
      <w:pPr>
        <w:autoSpaceDE w:val="0"/>
        <w:autoSpaceDN w:val="0"/>
        <w:adjustRightInd w:val="0"/>
        <w:rPr>
          <w:b/>
          <w:color w:val="auto"/>
        </w:rPr>
      </w:pPr>
      <w:r w:rsidRPr="0012042A">
        <w:rPr>
          <w:color w:val="auto"/>
        </w:rPr>
        <w:t>(a)</w:t>
      </w:r>
      <w:r w:rsidR="005F1CC5" w:rsidRPr="0012042A">
        <w:rPr>
          <w:color w:val="auto"/>
        </w:rPr>
        <w:t>.</w:t>
      </w:r>
      <w:r w:rsidR="005F1CC5" w:rsidRPr="0012042A">
        <w:rPr>
          <w:b/>
          <w:color w:val="auto"/>
        </w:rPr>
        <w:t xml:space="preserve"> </w:t>
      </w:r>
      <w:r w:rsidR="00845A48" w:rsidRPr="0012042A">
        <w:rPr>
          <w:b/>
          <w:color w:val="auto"/>
        </w:rPr>
        <w:t xml:space="preserve">All required application materials must be emailed to </w:t>
      </w:r>
      <w:hyperlink r:id="rId11" w:history="1">
        <w:r w:rsidR="001C4B17" w:rsidRPr="0050646D">
          <w:rPr>
            <w:rStyle w:val="Hyperlink"/>
          </w:rPr>
          <w:t>CJA.StateViolencePrevention@Illinois.gov</w:t>
        </w:r>
      </w:hyperlink>
      <w:r w:rsidR="001C4B17">
        <w:rPr>
          <w:b/>
          <w:color w:val="auto"/>
        </w:rPr>
        <w:t xml:space="preserve"> </w:t>
      </w:r>
      <w:r w:rsidR="00845A48" w:rsidRPr="0012042A">
        <w:rPr>
          <w:b/>
          <w:color w:val="auto"/>
        </w:rPr>
        <w:t>by 11:</w:t>
      </w:r>
      <w:r w:rsidR="00845A48" w:rsidRPr="00E3661E">
        <w:rPr>
          <w:b/>
          <w:color w:val="auto"/>
        </w:rPr>
        <w:t xml:space="preserve">59 p.m. on </w:t>
      </w:r>
      <w:r w:rsidR="001C4B17" w:rsidRPr="00E3661E">
        <w:rPr>
          <w:b/>
          <w:color w:val="auto"/>
        </w:rPr>
        <w:t>May 1</w:t>
      </w:r>
      <w:r w:rsidR="00E3661E" w:rsidRPr="00E3661E">
        <w:rPr>
          <w:b/>
          <w:color w:val="auto"/>
        </w:rPr>
        <w:t>3</w:t>
      </w:r>
      <w:r w:rsidR="001C4B17" w:rsidRPr="00E3661E">
        <w:rPr>
          <w:b/>
          <w:color w:val="auto"/>
        </w:rPr>
        <w:t>, 2019,</w:t>
      </w:r>
      <w:r w:rsidR="00845A48" w:rsidRPr="00E3661E">
        <w:rPr>
          <w:b/>
          <w:color w:val="auto"/>
        </w:rPr>
        <w:t xml:space="preserve"> to</w:t>
      </w:r>
      <w:r w:rsidR="00845A48" w:rsidRPr="0012042A">
        <w:rPr>
          <w:b/>
          <w:color w:val="auto"/>
        </w:rPr>
        <w:t xml:space="preserve"> be considered for funding. Proposals will not be accepted by mail, fax, or in-</w:t>
      </w:r>
      <w:r w:rsidR="00845A48" w:rsidRPr="0012042A">
        <w:rPr>
          <w:b/>
          <w:color w:val="auto"/>
        </w:rPr>
        <w:lastRenderedPageBreak/>
        <w:t xml:space="preserve">person. Incomplete applications </w:t>
      </w:r>
      <w:r w:rsidR="00B91F92" w:rsidRPr="0012042A">
        <w:rPr>
          <w:b/>
          <w:color w:val="auto"/>
        </w:rPr>
        <w:t xml:space="preserve">or those sent to another email address </w:t>
      </w:r>
      <w:r w:rsidR="00845A48" w:rsidRPr="0012042A">
        <w:rPr>
          <w:b/>
          <w:color w:val="auto"/>
        </w:rPr>
        <w:t>will not be reviewed. Late submissions will not be reviewed.</w:t>
      </w:r>
      <w:r w:rsidR="00506B40" w:rsidRPr="0012042A">
        <w:rPr>
          <w:b/>
          <w:color w:val="auto"/>
        </w:rPr>
        <w:t xml:space="preserve"> </w:t>
      </w:r>
    </w:p>
    <w:p w14:paraId="68E0CAE9" w14:textId="77777777" w:rsidR="00D830DA" w:rsidRPr="0012042A" w:rsidRDefault="00D830DA" w:rsidP="00524564">
      <w:pPr>
        <w:autoSpaceDE w:val="0"/>
        <w:autoSpaceDN w:val="0"/>
        <w:adjustRightInd w:val="0"/>
        <w:rPr>
          <w:color w:val="auto"/>
        </w:rPr>
      </w:pPr>
    </w:p>
    <w:p w14:paraId="5262E616" w14:textId="5E2E741F" w:rsidR="00845A48" w:rsidRPr="0012042A" w:rsidRDefault="00D27608" w:rsidP="00524564">
      <w:pPr>
        <w:autoSpaceDE w:val="0"/>
        <w:autoSpaceDN w:val="0"/>
        <w:adjustRightInd w:val="0"/>
        <w:rPr>
          <w:color w:val="auto"/>
        </w:rPr>
      </w:pPr>
      <w:r w:rsidRPr="0012042A">
        <w:rPr>
          <w:color w:val="auto"/>
        </w:rPr>
        <w:t>(b)</w:t>
      </w:r>
      <w:r w:rsidR="00845A48" w:rsidRPr="0012042A">
        <w:rPr>
          <w:color w:val="auto"/>
        </w:rPr>
        <w:t xml:space="preserve">. Applicants are encouraged to submit their applications 72 hours in advance of the deadline. Technical difficulties experienced at any point during the process should be reported immediately to ICJIA </w:t>
      </w:r>
      <w:bookmarkStart w:id="11" w:name="_Hlk534485718"/>
      <w:r w:rsidR="00845A48" w:rsidRPr="0012042A">
        <w:rPr>
          <w:color w:val="auto"/>
        </w:rPr>
        <w:t xml:space="preserve">by calling </w:t>
      </w:r>
      <w:r w:rsidR="00CD6EFA" w:rsidRPr="0012042A">
        <w:rPr>
          <w:color w:val="auto"/>
        </w:rPr>
        <w:t>Shai Hoffman</w:t>
      </w:r>
      <w:r w:rsidR="00845A48" w:rsidRPr="0012042A">
        <w:rPr>
          <w:color w:val="auto"/>
        </w:rPr>
        <w:t xml:space="preserve"> at </w:t>
      </w:r>
      <w:r w:rsidR="00CD6EFA" w:rsidRPr="0012042A">
        <w:rPr>
          <w:color w:val="auto"/>
        </w:rPr>
        <w:t xml:space="preserve">312.814.0706 </w:t>
      </w:r>
      <w:r w:rsidR="00845A48" w:rsidRPr="0012042A">
        <w:rPr>
          <w:color w:val="auto"/>
        </w:rPr>
        <w:t xml:space="preserve">or </w:t>
      </w:r>
      <w:r w:rsidR="00757265" w:rsidRPr="0012042A">
        <w:rPr>
          <w:color w:val="auto"/>
        </w:rPr>
        <w:t>emailing</w:t>
      </w:r>
      <w:bookmarkEnd w:id="11"/>
      <w:r w:rsidR="00757265" w:rsidRPr="0012042A">
        <w:rPr>
          <w:color w:val="auto"/>
        </w:rPr>
        <w:t xml:space="preserve"> </w:t>
      </w:r>
      <w:hyperlink r:id="rId12" w:history="1">
        <w:r w:rsidR="003E7903" w:rsidRPr="0050646D">
          <w:rPr>
            <w:rStyle w:val="Hyperlink"/>
          </w:rPr>
          <w:t>CJA.StateViolencePrevention@Illinois.gov</w:t>
        </w:r>
      </w:hyperlink>
      <w:r w:rsidR="003E7903">
        <w:rPr>
          <w:color w:val="auto"/>
        </w:rPr>
        <w:t>.</w:t>
      </w:r>
    </w:p>
    <w:p w14:paraId="1C00449E" w14:textId="77777777" w:rsidR="00845A48" w:rsidRPr="0012042A" w:rsidRDefault="00845A48" w:rsidP="00524564">
      <w:pPr>
        <w:autoSpaceDE w:val="0"/>
        <w:autoSpaceDN w:val="0"/>
        <w:adjustRightInd w:val="0"/>
        <w:rPr>
          <w:color w:val="auto"/>
        </w:rPr>
      </w:pPr>
    </w:p>
    <w:p w14:paraId="1A0A214B" w14:textId="254F71D1" w:rsidR="005F1CC5" w:rsidRPr="0012042A" w:rsidRDefault="00D27608" w:rsidP="00524564">
      <w:pPr>
        <w:autoSpaceDE w:val="0"/>
        <w:autoSpaceDN w:val="0"/>
        <w:adjustRightInd w:val="0"/>
        <w:rPr>
          <w:color w:val="auto"/>
        </w:rPr>
      </w:pPr>
      <w:r w:rsidRPr="0012042A">
        <w:rPr>
          <w:color w:val="auto"/>
        </w:rPr>
        <w:t>(c)</w:t>
      </w:r>
      <w:r w:rsidR="005F1CC5" w:rsidRPr="0012042A">
        <w:rPr>
          <w:color w:val="auto"/>
        </w:rPr>
        <w:t>. How the receiving State office determines whether an application or pre-application has been submitted before the deadline. This includes the form of acceptable proof of mailing or system-generated documentation of receipt date and time.</w:t>
      </w:r>
      <w:r w:rsidR="00E26E7F" w:rsidRPr="0012042A">
        <w:rPr>
          <w:color w:val="auto"/>
        </w:rPr>
        <w:t xml:space="preserve">  </w:t>
      </w:r>
      <w:r w:rsidR="005F1CC5" w:rsidRPr="0012042A">
        <w:rPr>
          <w:color w:val="auto"/>
        </w:rPr>
        <w:t>This section also may indicate whether, when, and in what form the applicant will receive an acknowledgement of receipt.</w:t>
      </w:r>
    </w:p>
    <w:p w14:paraId="719FB0EB" w14:textId="16531179" w:rsidR="00CC7B10" w:rsidRPr="0012042A" w:rsidRDefault="00CC7B10" w:rsidP="00524564">
      <w:pPr>
        <w:autoSpaceDE w:val="0"/>
        <w:autoSpaceDN w:val="0"/>
        <w:adjustRightInd w:val="0"/>
        <w:ind w:left="0"/>
        <w:rPr>
          <w:color w:val="auto"/>
        </w:rPr>
      </w:pPr>
    </w:p>
    <w:p w14:paraId="13DF208D" w14:textId="1E840100" w:rsidR="00CC7B10" w:rsidRPr="0012042A" w:rsidRDefault="00CC7B10" w:rsidP="00524564">
      <w:pPr>
        <w:autoSpaceDE w:val="0"/>
        <w:autoSpaceDN w:val="0"/>
        <w:adjustRightInd w:val="0"/>
        <w:rPr>
          <w:color w:val="auto"/>
        </w:rPr>
      </w:pPr>
      <w:r w:rsidRPr="0012042A">
        <w:rPr>
          <w:color w:val="auto"/>
        </w:rPr>
        <w:t xml:space="preserve">Applicants will receive an automatic reply to their email submission. Applicants that do not receive an automatic reply to their submission email should immediately contact </w:t>
      </w:r>
      <w:r w:rsidR="00CD6EFA" w:rsidRPr="0012042A">
        <w:rPr>
          <w:color w:val="auto"/>
        </w:rPr>
        <w:t xml:space="preserve">Shai Hoffman at 312.814.0706 or emailing </w:t>
      </w:r>
      <w:hyperlink r:id="rId13" w:history="1">
        <w:r w:rsidR="003E7903" w:rsidRPr="0050646D">
          <w:rPr>
            <w:rStyle w:val="Hyperlink"/>
          </w:rPr>
          <w:t>CJA.StateViolencePrevention@Illinois.gov</w:t>
        </w:r>
      </w:hyperlink>
      <w:r w:rsidR="003E7903">
        <w:rPr>
          <w:color w:val="auto"/>
        </w:rPr>
        <w:t xml:space="preserve">. </w:t>
      </w:r>
    </w:p>
    <w:p w14:paraId="71F06DA7" w14:textId="77777777" w:rsidR="00CC7B10" w:rsidRPr="0012042A" w:rsidRDefault="00CC7B10" w:rsidP="00524564">
      <w:pPr>
        <w:autoSpaceDE w:val="0"/>
        <w:autoSpaceDN w:val="0"/>
        <w:adjustRightInd w:val="0"/>
        <w:ind w:left="360"/>
        <w:rPr>
          <w:color w:val="auto"/>
        </w:rPr>
      </w:pPr>
    </w:p>
    <w:p w14:paraId="4B7EAB04" w14:textId="77777777" w:rsidR="001D1586" w:rsidRPr="0012042A" w:rsidRDefault="00E3661F" w:rsidP="00524564">
      <w:pPr>
        <w:autoSpaceDE w:val="0"/>
        <w:autoSpaceDN w:val="0"/>
        <w:adjustRightInd w:val="0"/>
        <w:ind w:left="360"/>
        <w:rPr>
          <w:b/>
          <w:color w:val="auto"/>
        </w:rPr>
      </w:pPr>
      <w:r w:rsidRPr="0012042A">
        <w:rPr>
          <w:b/>
          <w:i/>
          <w:color w:val="auto"/>
        </w:rPr>
        <w:t>5</w:t>
      </w:r>
      <w:r w:rsidR="005F1CC5" w:rsidRPr="0012042A">
        <w:rPr>
          <w:b/>
          <w:i/>
          <w:color w:val="auto"/>
        </w:rPr>
        <w:t>.</w:t>
      </w:r>
      <w:r w:rsidR="005F1CC5" w:rsidRPr="0012042A">
        <w:rPr>
          <w:b/>
          <w:color w:val="auto"/>
        </w:rPr>
        <w:t xml:space="preserve"> </w:t>
      </w:r>
      <w:r w:rsidR="00845A48" w:rsidRPr="0012042A">
        <w:rPr>
          <w:b/>
          <w:i/>
          <w:color w:val="auto"/>
        </w:rPr>
        <w:t>Application Questions</w:t>
      </w:r>
      <w:r w:rsidR="00757265" w:rsidRPr="0012042A">
        <w:rPr>
          <w:b/>
          <w:color w:val="auto"/>
        </w:rPr>
        <w:t xml:space="preserve"> </w:t>
      </w:r>
    </w:p>
    <w:p w14:paraId="50FBF3AC" w14:textId="77777777" w:rsidR="001D1586" w:rsidRPr="0012042A" w:rsidRDefault="001D1586" w:rsidP="00524564">
      <w:pPr>
        <w:autoSpaceDE w:val="0"/>
        <w:autoSpaceDN w:val="0"/>
        <w:adjustRightInd w:val="0"/>
        <w:ind w:left="360"/>
        <w:rPr>
          <w:b/>
          <w:color w:val="auto"/>
        </w:rPr>
      </w:pPr>
    </w:p>
    <w:p w14:paraId="7C10046A" w14:textId="569C3961" w:rsidR="00757265" w:rsidRPr="003E7903" w:rsidRDefault="00757265" w:rsidP="003E7903">
      <w:pPr>
        <w:autoSpaceDE w:val="0"/>
        <w:autoSpaceDN w:val="0"/>
        <w:adjustRightInd w:val="0"/>
        <w:rPr>
          <w:color w:val="auto"/>
          <w:u w:val="single"/>
        </w:rPr>
      </w:pPr>
      <w:r w:rsidRPr="0012042A">
        <w:rPr>
          <w:color w:val="auto"/>
        </w:rPr>
        <w:t xml:space="preserve">Questions may be submitted via email at </w:t>
      </w:r>
      <w:hyperlink r:id="rId14" w:history="1">
        <w:r w:rsidR="001D41FE" w:rsidRPr="0050646D">
          <w:rPr>
            <w:rStyle w:val="Hyperlink"/>
          </w:rPr>
          <w:t xml:space="preserve"> CJA.StateViolencePrevention@Illinois.gov</w:t>
        </w:r>
      </w:hyperlink>
      <w:r w:rsidRPr="0012042A">
        <w:rPr>
          <w:color w:val="auto"/>
        </w:rPr>
        <w:t xml:space="preserve">. The deadline for submitted questions is 11:59 p.m. on </w:t>
      </w:r>
      <w:r w:rsidR="00C631B3">
        <w:rPr>
          <w:color w:val="auto"/>
        </w:rPr>
        <w:t xml:space="preserve">May </w:t>
      </w:r>
      <w:r w:rsidR="007B38D9">
        <w:rPr>
          <w:color w:val="auto"/>
        </w:rPr>
        <w:t>6</w:t>
      </w:r>
      <w:r w:rsidR="00C631B3">
        <w:rPr>
          <w:color w:val="auto"/>
        </w:rPr>
        <w:t>, 2019</w:t>
      </w:r>
      <w:r w:rsidRPr="0012042A">
        <w:rPr>
          <w:color w:val="auto"/>
        </w:rPr>
        <w:t xml:space="preserve">. All substantive questions and responses will be posted on the ICJIA website at </w:t>
      </w:r>
      <w:hyperlink r:id="rId15" w:history="1">
        <w:r w:rsidRPr="0012042A">
          <w:rPr>
            <w:rStyle w:val="Hyperlink"/>
            <w:color w:val="auto"/>
          </w:rPr>
          <w:t>https://gata.icjia.cloud/</w:t>
        </w:r>
      </w:hyperlink>
      <w:r w:rsidR="003E7903">
        <w:rPr>
          <w:rStyle w:val="Hyperlink"/>
          <w:color w:val="auto"/>
        </w:rPr>
        <w:t xml:space="preserve">. </w:t>
      </w:r>
      <w:r w:rsidRPr="0012042A">
        <w:rPr>
          <w:color w:val="auto"/>
        </w:rPr>
        <w:t>Due to the competitive nature of this solicitation, applicant may not discuss the opportunity directly with any ICJIA employee other than the re</w:t>
      </w:r>
      <w:r w:rsidR="00245EBB" w:rsidRPr="0012042A">
        <w:rPr>
          <w:color w:val="auto"/>
        </w:rPr>
        <w:t>spondent of this email address.</w:t>
      </w:r>
    </w:p>
    <w:p w14:paraId="1EEDF944" w14:textId="77777777" w:rsidR="00845A48" w:rsidRPr="0012042A" w:rsidRDefault="00845A48" w:rsidP="00524564">
      <w:pPr>
        <w:autoSpaceDE w:val="0"/>
        <w:autoSpaceDN w:val="0"/>
        <w:adjustRightInd w:val="0"/>
        <w:ind w:left="360"/>
        <w:rPr>
          <w:color w:val="auto"/>
        </w:rPr>
      </w:pPr>
    </w:p>
    <w:p w14:paraId="24748070" w14:textId="05055956" w:rsidR="005F1CC5" w:rsidRPr="0012042A" w:rsidRDefault="00E3661F" w:rsidP="00524564">
      <w:pPr>
        <w:autoSpaceDE w:val="0"/>
        <w:autoSpaceDN w:val="0"/>
        <w:adjustRightInd w:val="0"/>
        <w:ind w:left="360"/>
        <w:rPr>
          <w:color w:val="auto"/>
        </w:rPr>
      </w:pPr>
      <w:r w:rsidRPr="0012042A">
        <w:rPr>
          <w:b/>
          <w:i/>
          <w:color w:val="auto"/>
        </w:rPr>
        <w:t>6</w:t>
      </w:r>
      <w:r w:rsidR="00757265" w:rsidRPr="0012042A">
        <w:rPr>
          <w:b/>
          <w:i/>
          <w:color w:val="auto"/>
        </w:rPr>
        <w:t>.</w:t>
      </w:r>
      <w:r w:rsidR="00757265" w:rsidRPr="0012042A">
        <w:rPr>
          <w:b/>
          <w:color w:val="auto"/>
        </w:rPr>
        <w:t xml:space="preserve"> </w:t>
      </w:r>
      <w:r w:rsidR="005F1CC5" w:rsidRPr="0012042A">
        <w:rPr>
          <w:b/>
          <w:i/>
          <w:color w:val="auto"/>
        </w:rPr>
        <w:t>Funding Restrictions</w:t>
      </w:r>
      <w:r w:rsidR="005F1CC5" w:rsidRPr="0012042A">
        <w:rPr>
          <w:color w:val="auto"/>
        </w:rPr>
        <w:t xml:space="preserve"> </w:t>
      </w:r>
    </w:p>
    <w:p w14:paraId="4D5001DA" w14:textId="2A1E38EA" w:rsidR="00757265" w:rsidRPr="0012042A" w:rsidRDefault="00757265" w:rsidP="00524564">
      <w:pPr>
        <w:autoSpaceDE w:val="0"/>
        <w:autoSpaceDN w:val="0"/>
        <w:adjustRightInd w:val="0"/>
        <w:ind w:left="360"/>
        <w:rPr>
          <w:color w:val="auto"/>
        </w:rPr>
      </w:pPr>
    </w:p>
    <w:p w14:paraId="394B967B" w14:textId="3940FE27" w:rsidR="00757265" w:rsidRPr="0012042A" w:rsidRDefault="00D27608" w:rsidP="00524564">
      <w:pPr>
        <w:autoSpaceDE w:val="0"/>
        <w:autoSpaceDN w:val="0"/>
        <w:adjustRightInd w:val="0"/>
        <w:rPr>
          <w:color w:val="auto"/>
        </w:rPr>
      </w:pPr>
      <w:bookmarkStart w:id="12" w:name="_Hlk534485822"/>
      <w:r w:rsidRPr="0012042A">
        <w:rPr>
          <w:color w:val="auto"/>
        </w:rPr>
        <w:t>(a)</w:t>
      </w:r>
      <w:r w:rsidR="00757265" w:rsidRPr="0012042A">
        <w:rPr>
          <w:color w:val="auto"/>
        </w:rPr>
        <w:t xml:space="preserve">. </w:t>
      </w:r>
      <w:r w:rsidR="00515C3E" w:rsidRPr="0012042A">
        <w:rPr>
          <w:color w:val="auto"/>
          <w:u w:val="single"/>
        </w:rPr>
        <w:t>Federal Financial Guide</w:t>
      </w:r>
      <w:r w:rsidR="00515C3E" w:rsidRPr="0012042A">
        <w:rPr>
          <w:color w:val="auto"/>
        </w:rPr>
        <w:t xml:space="preserve"> Applicants must follow the current edition of the Department of Justice Grants</w:t>
      </w:r>
      <w:r w:rsidR="00757265" w:rsidRPr="0012042A">
        <w:rPr>
          <w:color w:val="auto"/>
        </w:rPr>
        <w:t xml:space="preserve"> Financial Guide which details allowable and unallowable costs is available at</w:t>
      </w:r>
      <w:r w:rsidR="00515C3E" w:rsidRPr="0012042A">
        <w:rPr>
          <w:color w:val="auto"/>
        </w:rPr>
        <w:t xml:space="preserve">: </w:t>
      </w:r>
      <w:hyperlink r:id="rId16" w:history="1">
        <w:r w:rsidR="00245EBB" w:rsidRPr="0012042A">
          <w:rPr>
            <w:rStyle w:val="Hyperlink"/>
            <w:color w:val="auto"/>
          </w:rPr>
          <w:t>https://ojp.gov/financialguide/doj/pdfs/DOJ_FinancialGuide.pdf</w:t>
        </w:r>
      </w:hyperlink>
      <w:r w:rsidR="00245EBB" w:rsidRPr="0012042A">
        <w:rPr>
          <w:color w:val="auto"/>
        </w:rPr>
        <w:t xml:space="preserve">.  </w:t>
      </w:r>
      <w:r w:rsidR="00515C3E" w:rsidRPr="0012042A">
        <w:rPr>
          <w:color w:val="auto"/>
        </w:rPr>
        <w:t xml:space="preserve">Costs </w:t>
      </w:r>
      <w:r w:rsidR="00757265" w:rsidRPr="0012042A">
        <w:rPr>
          <w:color w:val="auto"/>
        </w:rPr>
        <w:t>may be determined to be unallowable even if not expressly prohibited in the Federal Financial Guide.</w:t>
      </w:r>
    </w:p>
    <w:p w14:paraId="23D8B4B1" w14:textId="77777777" w:rsidR="00757265" w:rsidRPr="0012042A" w:rsidRDefault="00757265" w:rsidP="00524564">
      <w:pPr>
        <w:autoSpaceDE w:val="0"/>
        <w:autoSpaceDN w:val="0"/>
        <w:adjustRightInd w:val="0"/>
        <w:ind w:left="360"/>
        <w:rPr>
          <w:color w:val="auto"/>
        </w:rPr>
      </w:pPr>
    </w:p>
    <w:p w14:paraId="25B17BBD" w14:textId="0D62E3B4" w:rsidR="005F64A7" w:rsidRPr="0012042A" w:rsidRDefault="00D27608" w:rsidP="00524564">
      <w:pPr>
        <w:tabs>
          <w:tab w:val="left" w:pos="720"/>
        </w:tabs>
        <w:autoSpaceDE w:val="0"/>
        <w:autoSpaceDN w:val="0"/>
        <w:adjustRightInd w:val="0"/>
        <w:rPr>
          <w:color w:val="auto"/>
        </w:rPr>
      </w:pPr>
      <w:r w:rsidRPr="0012042A">
        <w:rPr>
          <w:color w:val="auto"/>
        </w:rPr>
        <w:t>(b)</w:t>
      </w:r>
      <w:r w:rsidR="005F64A7" w:rsidRPr="0012042A">
        <w:rPr>
          <w:color w:val="auto"/>
        </w:rPr>
        <w:t xml:space="preserve">. </w:t>
      </w:r>
      <w:r w:rsidR="00757265" w:rsidRPr="0012042A">
        <w:rPr>
          <w:color w:val="auto"/>
          <w:u w:val="single"/>
        </w:rPr>
        <w:t>Prohibited Uses</w:t>
      </w:r>
      <w:r w:rsidR="005F64A7" w:rsidRPr="0012042A">
        <w:rPr>
          <w:color w:val="auto"/>
        </w:rPr>
        <w:t xml:space="preserve"> </w:t>
      </w:r>
      <w:r w:rsidR="0092190C" w:rsidRPr="0012042A">
        <w:rPr>
          <w:color w:val="auto"/>
        </w:rPr>
        <w:t>The following is a non-exhaustive list of services, activities, goods, and other costs that cannot be supported through this NOFO:</w:t>
      </w:r>
    </w:p>
    <w:p w14:paraId="74C62285" w14:textId="77777777" w:rsidR="005F64A7" w:rsidRPr="0012042A" w:rsidRDefault="005F64A7" w:rsidP="00524564">
      <w:pPr>
        <w:autoSpaceDE w:val="0"/>
        <w:autoSpaceDN w:val="0"/>
        <w:adjustRightInd w:val="0"/>
        <w:rPr>
          <w:color w:val="auto"/>
        </w:rPr>
      </w:pPr>
    </w:p>
    <w:p w14:paraId="6A4993DE" w14:textId="6935ED8F" w:rsidR="005F64A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L</w:t>
      </w:r>
      <w:r w:rsidR="00757265" w:rsidRPr="0012042A">
        <w:rPr>
          <w:color w:val="auto"/>
        </w:rPr>
        <w:t>and acquisition</w:t>
      </w:r>
      <w:r w:rsidR="005F64A7" w:rsidRPr="0012042A">
        <w:rPr>
          <w:color w:val="auto"/>
        </w:rPr>
        <w:t xml:space="preserve"> </w:t>
      </w:r>
    </w:p>
    <w:p w14:paraId="0D545907" w14:textId="4E9AF2F9" w:rsidR="005F64A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N</w:t>
      </w:r>
      <w:r w:rsidR="005F64A7" w:rsidRPr="0012042A">
        <w:rPr>
          <w:color w:val="auto"/>
        </w:rPr>
        <w:t xml:space="preserve">ew </w:t>
      </w:r>
      <w:r w:rsidR="00757265" w:rsidRPr="0012042A">
        <w:rPr>
          <w:color w:val="auto"/>
        </w:rPr>
        <w:t>construction</w:t>
      </w:r>
      <w:r w:rsidR="005F64A7" w:rsidRPr="0012042A">
        <w:rPr>
          <w:color w:val="auto"/>
        </w:rPr>
        <w:t xml:space="preserve"> </w:t>
      </w:r>
    </w:p>
    <w:p w14:paraId="1F869AB7" w14:textId="18F9581F" w:rsidR="005F64A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A</w:t>
      </w:r>
      <w:r w:rsidR="005F64A7" w:rsidRPr="0012042A">
        <w:rPr>
          <w:color w:val="auto"/>
        </w:rPr>
        <w:t xml:space="preserve"> renovation, lease, or any other proposed use of a building or facility that will either (a) result in a change in its basic prior use or (b) significantly change its size </w:t>
      </w:r>
    </w:p>
    <w:p w14:paraId="346A74F0" w14:textId="5D63D2E8" w:rsidR="005F64A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lastRenderedPageBreak/>
        <w:t>M</w:t>
      </w:r>
      <w:r w:rsidR="005F64A7" w:rsidRPr="0012042A">
        <w:rPr>
          <w:color w:val="auto"/>
        </w:rPr>
        <w:t>inor renovation or remodeling of a property either (a) listed or eligible for listing on the National Register of Historic Places or (b) located within a 100-year flood plain</w:t>
      </w:r>
      <w:r w:rsidR="000D78B3" w:rsidRPr="0012042A">
        <w:rPr>
          <w:color w:val="auto"/>
        </w:rPr>
        <w:t xml:space="preserve"> </w:t>
      </w:r>
    </w:p>
    <w:p w14:paraId="2C377038" w14:textId="534A5FF3" w:rsidR="0015398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I</w:t>
      </w:r>
      <w:r w:rsidR="005F64A7" w:rsidRPr="0012042A">
        <w:rPr>
          <w:color w:val="auto"/>
        </w:rPr>
        <w:t xml:space="preserve">mplementation of a new program involving the use of chemicals </w:t>
      </w:r>
    </w:p>
    <w:p w14:paraId="0E749582" w14:textId="78FB8E10" w:rsidR="00A519BE"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C</w:t>
      </w:r>
      <w:r w:rsidR="00757265" w:rsidRPr="0012042A">
        <w:rPr>
          <w:color w:val="auto"/>
        </w:rPr>
        <w:t>apital expenditures</w:t>
      </w:r>
      <w:r w:rsidR="00153987" w:rsidRPr="0012042A">
        <w:rPr>
          <w:color w:val="auto"/>
        </w:rPr>
        <w:t xml:space="preserve"> </w:t>
      </w:r>
    </w:p>
    <w:p w14:paraId="67FAAE54" w14:textId="5C64C257" w:rsidR="0015398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F</w:t>
      </w:r>
      <w:r w:rsidR="00153987" w:rsidRPr="0012042A">
        <w:rPr>
          <w:color w:val="auto"/>
        </w:rPr>
        <w:t>undraising activities</w:t>
      </w:r>
    </w:p>
    <w:p w14:paraId="7FD45112" w14:textId="7842C7EF" w:rsidR="00153987"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M</w:t>
      </w:r>
      <w:r w:rsidR="00153987" w:rsidRPr="0012042A">
        <w:rPr>
          <w:color w:val="auto"/>
        </w:rPr>
        <w:t>ost food and beverage costs</w:t>
      </w:r>
    </w:p>
    <w:p w14:paraId="7E89E839" w14:textId="7F78A6CC" w:rsidR="004820B2" w:rsidRPr="0012042A" w:rsidRDefault="004820B2" w:rsidP="00524564">
      <w:pPr>
        <w:pStyle w:val="ListParagraph"/>
        <w:numPr>
          <w:ilvl w:val="2"/>
          <w:numId w:val="12"/>
        </w:numPr>
        <w:autoSpaceDE w:val="0"/>
        <w:autoSpaceDN w:val="0"/>
        <w:adjustRightInd w:val="0"/>
        <w:ind w:left="1440"/>
        <w:rPr>
          <w:color w:val="auto"/>
        </w:rPr>
      </w:pPr>
      <w:r w:rsidRPr="0012042A">
        <w:rPr>
          <w:color w:val="auto"/>
        </w:rPr>
        <w:t>L</w:t>
      </w:r>
      <w:r w:rsidR="00153987" w:rsidRPr="0012042A">
        <w:rPr>
          <w:color w:val="auto"/>
        </w:rPr>
        <w:t>obbying</w:t>
      </w:r>
    </w:p>
    <w:p w14:paraId="2F1151C2" w14:textId="7477C5EC" w:rsidR="0092190C" w:rsidRPr="0012042A" w:rsidRDefault="0092190C" w:rsidP="00524564">
      <w:pPr>
        <w:autoSpaceDE w:val="0"/>
        <w:autoSpaceDN w:val="0"/>
        <w:adjustRightInd w:val="0"/>
        <w:ind w:left="0"/>
        <w:rPr>
          <w:color w:val="auto"/>
        </w:rPr>
      </w:pPr>
    </w:p>
    <w:p w14:paraId="467A4BAE" w14:textId="25C63973" w:rsidR="0092190C" w:rsidRPr="0012042A" w:rsidRDefault="0092190C" w:rsidP="00524564">
      <w:pPr>
        <w:autoSpaceDE w:val="0"/>
        <w:autoSpaceDN w:val="0"/>
        <w:adjustRightInd w:val="0"/>
        <w:rPr>
          <w:color w:val="auto"/>
        </w:rPr>
      </w:pPr>
      <w:r w:rsidRPr="0012042A">
        <w:rPr>
          <w:color w:val="auto"/>
        </w:rPr>
        <w:t>(</w:t>
      </w:r>
      <w:r w:rsidR="00B91F92" w:rsidRPr="0012042A">
        <w:rPr>
          <w:color w:val="auto"/>
        </w:rPr>
        <w:t>c</w:t>
      </w:r>
      <w:r w:rsidRPr="0012042A">
        <w:rPr>
          <w:color w:val="auto"/>
        </w:rPr>
        <w:t xml:space="preserve">). </w:t>
      </w:r>
      <w:r w:rsidRPr="0012042A">
        <w:rPr>
          <w:color w:val="auto"/>
          <w:u w:val="single"/>
        </w:rPr>
        <w:t xml:space="preserve">Allowable </w:t>
      </w:r>
      <w:r w:rsidR="00B91F92" w:rsidRPr="0012042A">
        <w:rPr>
          <w:color w:val="auto"/>
          <w:u w:val="single"/>
        </w:rPr>
        <w:t>expenses</w:t>
      </w:r>
      <w:r w:rsidRPr="0012042A">
        <w:rPr>
          <w:color w:val="auto"/>
        </w:rPr>
        <w:t xml:space="preserve"> </w:t>
      </w:r>
      <w:proofErr w:type="gramStart"/>
      <w:r w:rsidR="00706B43" w:rsidRPr="0012042A">
        <w:rPr>
          <w:color w:val="auto"/>
        </w:rPr>
        <w:t>The</w:t>
      </w:r>
      <w:proofErr w:type="gramEnd"/>
      <w:r w:rsidR="00706B43" w:rsidRPr="0012042A">
        <w:rPr>
          <w:color w:val="auto"/>
        </w:rPr>
        <w:t xml:space="preserve"> following is a non-exhaustive list of services, activities, goods, and other costs that can be supported through this NOFO:</w:t>
      </w:r>
    </w:p>
    <w:p w14:paraId="43929005" w14:textId="4D8C6DE0" w:rsidR="0092190C" w:rsidRPr="0012042A" w:rsidRDefault="00C07C79" w:rsidP="00524564">
      <w:pPr>
        <w:pStyle w:val="ListParagraph"/>
        <w:numPr>
          <w:ilvl w:val="0"/>
          <w:numId w:val="13"/>
        </w:numPr>
        <w:autoSpaceDE w:val="0"/>
        <w:autoSpaceDN w:val="0"/>
        <w:adjustRightInd w:val="0"/>
        <w:ind w:left="1440"/>
        <w:rPr>
          <w:color w:val="auto"/>
        </w:rPr>
      </w:pPr>
      <w:r w:rsidRPr="0012042A">
        <w:rPr>
          <w:color w:val="auto"/>
        </w:rPr>
        <w:t>Staffing and related costs</w:t>
      </w:r>
    </w:p>
    <w:p w14:paraId="1F600557" w14:textId="6A1935BD" w:rsidR="00053161" w:rsidRPr="0012042A" w:rsidRDefault="00053161" w:rsidP="00524564">
      <w:pPr>
        <w:pStyle w:val="ListParagraph"/>
        <w:numPr>
          <w:ilvl w:val="0"/>
          <w:numId w:val="13"/>
        </w:numPr>
        <w:autoSpaceDE w:val="0"/>
        <w:autoSpaceDN w:val="0"/>
        <w:adjustRightInd w:val="0"/>
        <w:ind w:left="1440"/>
        <w:rPr>
          <w:color w:val="auto"/>
        </w:rPr>
      </w:pPr>
      <w:r w:rsidRPr="0012042A">
        <w:rPr>
          <w:color w:val="auto"/>
        </w:rPr>
        <w:t>Staff training and consultation</w:t>
      </w:r>
    </w:p>
    <w:p w14:paraId="642F8E2B" w14:textId="375426F1" w:rsidR="00640599" w:rsidRPr="0012042A" w:rsidRDefault="00640599" w:rsidP="00524564">
      <w:pPr>
        <w:pStyle w:val="ListParagraph"/>
        <w:numPr>
          <w:ilvl w:val="0"/>
          <w:numId w:val="13"/>
        </w:numPr>
        <w:autoSpaceDE w:val="0"/>
        <w:autoSpaceDN w:val="0"/>
        <w:adjustRightInd w:val="0"/>
        <w:ind w:left="1440"/>
        <w:rPr>
          <w:color w:val="auto"/>
        </w:rPr>
      </w:pPr>
      <w:r w:rsidRPr="0012042A">
        <w:rPr>
          <w:color w:val="auto"/>
        </w:rPr>
        <w:t>Coalition, direct service and public awareness related supplies</w:t>
      </w:r>
      <w:r w:rsidR="00980208" w:rsidRPr="0012042A">
        <w:rPr>
          <w:color w:val="auto"/>
        </w:rPr>
        <w:t xml:space="preserve"> and expenses</w:t>
      </w:r>
    </w:p>
    <w:p w14:paraId="3EBEB275" w14:textId="6742AFD1" w:rsidR="00C07C79" w:rsidRPr="0012042A" w:rsidRDefault="00053161" w:rsidP="00524564">
      <w:pPr>
        <w:pStyle w:val="ListParagraph"/>
        <w:numPr>
          <w:ilvl w:val="0"/>
          <w:numId w:val="13"/>
        </w:numPr>
        <w:autoSpaceDE w:val="0"/>
        <w:autoSpaceDN w:val="0"/>
        <w:adjustRightInd w:val="0"/>
        <w:ind w:left="1440"/>
        <w:rPr>
          <w:color w:val="auto"/>
        </w:rPr>
      </w:pPr>
      <w:r w:rsidRPr="0012042A">
        <w:rPr>
          <w:color w:val="auto"/>
        </w:rPr>
        <w:t>Indirect expenses</w:t>
      </w:r>
    </w:p>
    <w:p w14:paraId="555A7D15" w14:textId="77777777" w:rsidR="00706B43" w:rsidRPr="0012042A" w:rsidRDefault="00706B43" w:rsidP="00524564">
      <w:pPr>
        <w:autoSpaceDE w:val="0"/>
        <w:autoSpaceDN w:val="0"/>
        <w:adjustRightInd w:val="0"/>
        <w:ind w:left="1080"/>
        <w:rPr>
          <w:color w:val="auto"/>
        </w:rPr>
      </w:pPr>
    </w:p>
    <w:p w14:paraId="46F83D6F" w14:textId="0CE59956" w:rsidR="00757265" w:rsidRPr="0012042A" w:rsidRDefault="00D27608" w:rsidP="00524564">
      <w:pPr>
        <w:autoSpaceDE w:val="0"/>
        <w:autoSpaceDN w:val="0"/>
        <w:adjustRightInd w:val="0"/>
        <w:rPr>
          <w:color w:val="auto"/>
        </w:rPr>
      </w:pPr>
      <w:r w:rsidRPr="0012042A">
        <w:rPr>
          <w:color w:val="auto"/>
        </w:rPr>
        <w:t>(</w:t>
      </w:r>
      <w:r w:rsidR="00B91F92" w:rsidRPr="0012042A">
        <w:rPr>
          <w:color w:val="auto"/>
        </w:rPr>
        <w:t>d</w:t>
      </w:r>
      <w:r w:rsidRPr="0012042A">
        <w:rPr>
          <w:color w:val="auto"/>
        </w:rPr>
        <w:t>)</w:t>
      </w:r>
      <w:r w:rsidR="005F64A7" w:rsidRPr="0012042A">
        <w:rPr>
          <w:color w:val="auto"/>
        </w:rPr>
        <w:t xml:space="preserve">. </w:t>
      </w:r>
      <w:r w:rsidR="00757265" w:rsidRPr="0012042A">
        <w:rPr>
          <w:color w:val="auto"/>
          <w:u w:val="single"/>
        </w:rPr>
        <w:t>Pre-Award Costs</w:t>
      </w:r>
      <w:r w:rsidR="008B19AF" w:rsidRPr="0012042A">
        <w:rPr>
          <w:color w:val="auto"/>
        </w:rPr>
        <w:t xml:space="preserve"> </w:t>
      </w:r>
      <w:r w:rsidR="00757265" w:rsidRPr="0012042A">
        <w:rPr>
          <w:b/>
          <w:color w:val="auto"/>
        </w:rPr>
        <w:t xml:space="preserve">No costs incurred before the start date of the </w:t>
      </w:r>
      <w:r w:rsidR="005F64A7" w:rsidRPr="0012042A">
        <w:rPr>
          <w:b/>
          <w:color w:val="auto"/>
        </w:rPr>
        <w:t xml:space="preserve">grant </w:t>
      </w:r>
      <w:r w:rsidR="00757265" w:rsidRPr="0012042A">
        <w:rPr>
          <w:b/>
          <w:color w:val="auto"/>
        </w:rPr>
        <w:t>agreement may be charged to awards resulting from this funding opportunity.</w:t>
      </w:r>
    </w:p>
    <w:p w14:paraId="3C59B20D" w14:textId="77777777" w:rsidR="00757265" w:rsidRPr="0012042A" w:rsidRDefault="00757265" w:rsidP="00524564">
      <w:pPr>
        <w:autoSpaceDE w:val="0"/>
        <w:autoSpaceDN w:val="0"/>
        <w:adjustRightInd w:val="0"/>
        <w:ind w:left="360"/>
        <w:rPr>
          <w:color w:val="auto"/>
        </w:rPr>
      </w:pPr>
    </w:p>
    <w:p w14:paraId="5DDA284B" w14:textId="5F383336" w:rsidR="00757265" w:rsidRPr="0012042A" w:rsidRDefault="00D27608" w:rsidP="00524564">
      <w:pPr>
        <w:autoSpaceDE w:val="0"/>
        <w:autoSpaceDN w:val="0"/>
        <w:adjustRightInd w:val="0"/>
        <w:rPr>
          <w:color w:val="auto"/>
        </w:rPr>
      </w:pPr>
      <w:r w:rsidRPr="0012042A">
        <w:rPr>
          <w:color w:val="auto"/>
        </w:rPr>
        <w:t>(</w:t>
      </w:r>
      <w:r w:rsidR="00B91F92" w:rsidRPr="0012042A">
        <w:rPr>
          <w:color w:val="auto"/>
        </w:rPr>
        <w:t>e</w:t>
      </w:r>
      <w:r w:rsidRPr="0012042A">
        <w:rPr>
          <w:color w:val="auto"/>
        </w:rPr>
        <w:t>)</w:t>
      </w:r>
      <w:r w:rsidR="005F64A7" w:rsidRPr="0012042A">
        <w:rPr>
          <w:color w:val="auto"/>
        </w:rPr>
        <w:t xml:space="preserve">. </w:t>
      </w:r>
      <w:r w:rsidR="00757265" w:rsidRPr="0012042A">
        <w:rPr>
          <w:color w:val="auto"/>
          <w:u w:val="single"/>
        </w:rPr>
        <w:t>Pre-approvals</w:t>
      </w:r>
      <w:r w:rsidR="005F64A7" w:rsidRPr="0012042A">
        <w:rPr>
          <w:color w:val="auto"/>
        </w:rPr>
        <w:t xml:space="preserve"> Prior approvals may affect project timelines. </w:t>
      </w:r>
      <w:r w:rsidR="00757265" w:rsidRPr="0012042A">
        <w:rPr>
          <w:color w:val="auto"/>
        </w:rPr>
        <w:t>In efforts to ensure the reasonableness, necessity and allowability of proposed uses of funds, ICJIA</w:t>
      </w:r>
      <w:r w:rsidR="005F64A7" w:rsidRPr="0012042A">
        <w:rPr>
          <w:color w:val="auto"/>
        </w:rPr>
        <w:t xml:space="preserve"> </w:t>
      </w:r>
      <w:r w:rsidR="00B16464" w:rsidRPr="0012042A">
        <w:rPr>
          <w:color w:val="auto"/>
        </w:rPr>
        <w:t>may require</w:t>
      </w:r>
      <w:r w:rsidR="005F64A7" w:rsidRPr="0012042A">
        <w:rPr>
          <w:color w:val="auto"/>
        </w:rPr>
        <w:t xml:space="preserve"> prior approval of the following</w:t>
      </w:r>
      <w:r w:rsidR="002D63B8" w:rsidRPr="0012042A">
        <w:rPr>
          <w:color w:val="auto"/>
        </w:rPr>
        <w:t>, among other things</w:t>
      </w:r>
      <w:r w:rsidR="00757265" w:rsidRPr="0012042A">
        <w:rPr>
          <w:color w:val="auto"/>
        </w:rPr>
        <w:t>:</w:t>
      </w:r>
    </w:p>
    <w:p w14:paraId="4CB1210F" w14:textId="77777777" w:rsidR="007C350A" w:rsidRPr="0012042A" w:rsidRDefault="000D78B3" w:rsidP="00524564">
      <w:pPr>
        <w:autoSpaceDE w:val="0"/>
        <w:autoSpaceDN w:val="0"/>
        <w:adjustRightInd w:val="0"/>
        <w:ind w:left="1080"/>
        <w:rPr>
          <w:color w:val="auto"/>
        </w:rPr>
      </w:pPr>
      <w:proofErr w:type="spellStart"/>
      <w:r w:rsidRPr="0012042A">
        <w:rPr>
          <w:color w:val="auto"/>
        </w:rPr>
        <w:t>i</w:t>
      </w:r>
      <w:proofErr w:type="spellEnd"/>
      <w:r w:rsidRPr="0012042A">
        <w:rPr>
          <w:color w:val="auto"/>
        </w:rPr>
        <w:t>.</w:t>
      </w:r>
      <w:r w:rsidRPr="0012042A">
        <w:rPr>
          <w:color w:val="auto"/>
        </w:rPr>
        <w:tab/>
      </w:r>
      <w:r w:rsidR="007C350A" w:rsidRPr="0012042A">
        <w:rPr>
          <w:color w:val="auto"/>
        </w:rPr>
        <w:t>Brochures or publications (flyers do not require prior approval)</w:t>
      </w:r>
    </w:p>
    <w:p w14:paraId="548BC26A" w14:textId="77777777" w:rsidR="007C350A" w:rsidRPr="0012042A" w:rsidRDefault="000D78B3" w:rsidP="00524564">
      <w:pPr>
        <w:autoSpaceDE w:val="0"/>
        <w:autoSpaceDN w:val="0"/>
        <w:adjustRightInd w:val="0"/>
        <w:ind w:left="1080"/>
        <w:rPr>
          <w:color w:val="auto"/>
        </w:rPr>
      </w:pPr>
      <w:r w:rsidRPr="0012042A">
        <w:rPr>
          <w:color w:val="auto"/>
        </w:rPr>
        <w:t>ii.</w:t>
      </w:r>
      <w:r w:rsidRPr="0012042A">
        <w:rPr>
          <w:color w:val="auto"/>
        </w:rPr>
        <w:tab/>
      </w:r>
      <w:r w:rsidR="007C350A" w:rsidRPr="0012042A">
        <w:rPr>
          <w:color w:val="auto"/>
        </w:rPr>
        <w:t>Out of State travel</w:t>
      </w:r>
    </w:p>
    <w:p w14:paraId="5F8963EA" w14:textId="733FC94E" w:rsidR="00757265" w:rsidRPr="0012042A" w:rsidRDefault="007C350A" w:rsidP="00524564">
      <w:pPr>
        <w:autoSpaceDE w:val="0"/>
        <w:autoSpaceDN w:val="0"/>
        <w:adjustRightInd w:val="0"/>
        <w:ind w:left="1080"/>
        <w:rPr>
          <w:color w:val="auto"/>
        </w:rPr>
      </w:pPr>
      <w:r w:rsidRPr="0012042A">
        <w:rPr>
          <w:color w:val="auto"/>
        </w:rPr>
        <w:t xml:space="preserve">iii.  </w:t>
      </w:r>
      <w:r w:rsidR="004820B2" w:rsidRPr="0012042A">
        <w:rPr>
          <w:color w:val="auto"/>
        </w:rPr>
        <w:t>E</w:t>
      </w:r>
      <w:r w:rsidR="00757265" w:rsidRPr="0012042A">
        <w:rPr>
          <w:color w:val="auto"/>
        </w:rPr>
        <w:t>qui</w:t>
      </w:r>
      <w:r w:rsidR="005F64A7" w:rsidRPr="0012042A">
        <w:rPr>
          <w:color w:val="auto"/>
        </w:rPr>
        <w:t>pment over $5,000</w:t>
      </w:r>
    </w:p>
    <w:p w14:paraId="34CADEA0" w14:textId="68EDAB9B" w:rsidR="00757265" w:rsidRPr="0012042A" w:rsidRDefault="000D78B3" w:rsidP="00524564">
      <w:pPr>
        <w:autoSpaceDE w:val="0"/>
        <w:autoSpaceDN w:val="0"/>
        <w:adjustRightInd w:val="0"/>
        <w:ind w:left="1080"/>
        <w:rPr>
          <w:color w:val="auto"/>
        </w:rPr>
      </w:pPr>
      <w:r w:rsidRPr="0012042A">
        <w:rPr>
          <w:color w:val="auto"/>
        </w:rPr>
        <w:t>i</w:t>
      </w:r>
      <w:r w:rsidR="007C350A" w:rsidRPr="0012042A">
        <w:rPr>
          <w:color w:val="auto"/>
        </w:rPr>
        <w:t>v</w:t>
      </w:r>
      <w:r w:rsidRPr="0012042A">
        <w:rPr>
          <w:color w:val="auto"/>
        </w:rPr>
        <w:t>.</w:t>
      </w:r>
      <w:r w:rsidRPr="0012042A">
        <w:rPr>
          <w:color w:val="auto"/>
        </w:rPr>
        <w:tab/>
      </w:r>
      <w:r w:rsidR="004820B2" w:rsidRPr="0012042A">
        <w:rPr>
          <w:color w:val="auto"/>
        </w:rPr>
        <w:t>C</w:t>
      </w:r>
      <w:r w:rsidR="005F64A7" w:rsidRPr="0012042A">
        <w:rPr>
          <w:color w:val="auto"/>
        </w:rPr>
        <w:t xml:space="preserve">ertain </w:t>
      </w:r>
      <w:r w:rsidR="00757265" w:rsidRPr="0012042A">
        <w:rPr>
          <w:color w:val="auto"/>
        </w:rPr>
        <w:t>Requests for Proposals and sub</w:t>
      </w:r>
      <w:r w:rsidR="005F64A7" w:rsidRPr="0012042A">
        <w:rPr>
          <w:color w:val="auto"/>
        </w:rPr>
        <w:t>-</w:t>
      </w:r>
      <w:r w:rsidR="00757265" w:rsidRPr="0012042A">
        <w:rPr>
          <w:color w:val="auto"/>
        </w:rPr>
        <w:t>contracts</w:t>
      </w:r>
      <w:r w:rsidR="002D63B8" w:rsidRPr="0012042A">
        <w:rPr>
          <w:color w:val="auto"/>
        </w:rPr>
        <w:t xml:space="preserve"> </w:t>
      </w:r>
    </w:p>
    <w:p w14:paraId="65CB7910" w14:textId="703485CC" w:rsidR="00757265" w:rsidRPr="0012042A" w:rsidRDefault="000D78B3" w:rsidP="00524564">
      <w:pPr>
        <w:autoSpaceDE w:val="0"/>
        <w:autoSpaceDN w:val="0"/>
        <w:adjustRightInd w:val="0"/>
        <w:ind w:left="1080"/>
        <w:rPr>
          <w:color w:val="auto"/>
        </w:rPr>
      </w:pPr>
      <w:r w:rsidRPr="0012042A">
        <w:rPr>
          <w:color w:val="auto"/>
        </w:rPr>
        <w:t>v.</w:t>
      </w:r>
      <w:r w:rsidRPr="0012042A">
        <w:rPr>
          <w:color w:val="auto"/>
        </w:rPr>
        <w:tab/>
      </w:r>
      <w:r w:rsidR="004820B2" w:rsidRPr="0012042A">
        <w:rPr>
          <w:color w:val="auto"/>
        </w:rPr>
        <w:t>C</w:t>
      </w:r>
      <w:r w:rsidR="00757265" w:rsidRPr="0012042A">
        <w:rPr>
          <w:color w:val="auto"/>
        </w:rPr>
        <w:t xml:space="preserve">onference, meeting, and training costs for grant recipients </w:t>
      </w:r>
    </w:p>
    <w:p w14:paraId="49F04BF4" w14:textId="77777777" w:rsidR="00757265" w:rsidRPr="0012042A" w:rsidRDefault="00757265" w:rsidP="00524564">
      <w:pPr>
        <w:autoSpaceDE w:val="0"/>
        <w:autoSpaceDN w:val="0"/>
        <w:adjustRightInd w:val="0"/>
        <w:ind w:left="360"/>
        <w:rPr>
          <w:color w:val="auto"/>
        </w:rPr>
      </w:pPr>
    </w:p>
    <w:p w14:paraId="229EB41F" w14:textId="5ED21B4C" w:rsidR="00757265" w:rsidRPr="0012042A" w:rsidRDefault="00757265" w:rsidP="00524564">
      <w:pPr>
        <w:autoSpaceDE w:val="0"/>
        <w:autoSpaceDN w:val="0"/>
        <w:adjustRightInd w:val="0"/>
        <w:rPr>
          <w:color w:val="auto"/>
        </w:rPr>
      </w:pPr>
      <w:r w:rsidRPr="0012042A">
        <w:rPr>
          <w:color w:val="auto"/>
        </w:rPr>
        <w:t>Submission of m</w:t>
      </w:r>
      <w:r w:rsidR="002D63B8" w:rsidRPr="0012042A">
        <w:rPr>
          <w:color w:val="auto"/>
        </w:rPr>
        <w:t xml:space="preserve">aterials for ICJIA approval </w:t>
      </w:r>
      <w:r w:rsidRPr="0012042A">
        <w:rPr>
          <w:color w:val="auto"/>
        </w:rPr>
        <w:t>should be incorporated into the application Implementation Schedules.</w:t>
      </w:r>
    </w:p>
    <w:p w14:paraId="3D70D2FE" w14:textId="77777777" w:rsidR="00757265" w:rsidRPr="0012042A" w:rsidRDefault="00757265" w:rsidP="00524564">
      <w:pPr>
        <w:autoSpaceDE w:val="0"/>
        <w:autoSpaceDN w:val="0"/>
        <w:adjustRightInd w:val="0"/>
        <w:ind w:left="360"/>
        <w:rPr>
          <w:color w:val="auto"/>
        </w:rPr>
      </w:pPr>
    </w:p>
    <w:p w14:paraId="5C249F83" w14:textId="5AFF1568" w:rsidR="00757265" w:rsidRPr="0012042A" w:rsidRDefault="00D27608" w:rsidP="00524564">
      <w:pPr>
        <w:autoSpaceDE w:val="0"/>
        <w:autoSpaceDN w:val="0"/>
        <w:adjustRightInd w:val="0"/>
        <w:rPr>
          <w:color w:val="auto"/>
        </w:rPr>
      </w:pPr>
      <w:r w:rsidRPr="0012042A">
        <w:rPr>
          <w:color w:val="auto"/>
        </w:rPr>
        <w:t>(</w:t>
      </w:r>
      <w:r w:rsidR="00B91F92" w:rsidRPr="0012042A">
        <w:rPr>
          <w:color w:val="auto"/>
        </w:rPr>
        <w:t>f</w:t>
      </w:r>
      <w:r w:rsidRPr="0012042A">
        <w:rPr>
          <w:color w:val="auto"/>
        </w:rPr>
        <w:t>)</w:t>
      </w:r>
      <w:r w:rsidR="002D63B8" w:rsidRPr="0012042A">
        <w:rPr>
          <w:color w:val="auto"/>
        </w:rPr>
        <w:t xml:space="preserve">. </w:t>
      </w:r>
      <w:r w:rsidR="00757265" w:rsidRPr="0012042A">
        <w:rPr>
          <w:color w:val="auto"/>
          <w:u w:val="single"/>
        </w:rPr>
        <w:t>State Travel Guidelines</w:t>
      </w:r>
      <w:r w:rsidR="002D63B8" w:rsidRPr="0012042A">
        <w:rPr>
          <w:color w:val="auto"/>
        </w:rPr>
        <w:t xml:space="preserve"> </w:t>
      </w:r>
      <w:r w:rsidR="00757265" w:rsidRPr="0012042A">
        <w:rPr>
          <w:color w:val="auto"/>
        </w:rPr>
        <w:t xml:space="preserve">travel costs charged to ICJIA must conform to State Travel Guidelines, found here: </w:t>
      </w:r>
    </w:p>
    <w:p w14:paraId="647A3189" w14:textId="114FDCF3" w:rsidR="00757265" w:rsidRPr="0012042A" w:rsidRDefault="00F576EF" w:rsidP="00524564">
      <w:pPr>
        <w:autoSpaceDE w:val="0"/>
        <w:autoSpaceDN w:val="0"/>
        <w:adjustRightInd w:val="0"/>
        <w:rPr>
          <w:color w:val="auto"/>
        </w:rPr>
      </w:pPr>
      <w:hyperlink r:id="rId17" w:history="1">
        <w:r w:rsidR="002D63B8" w:rsidRPr="0012042A">
          <w:rPr>
            <w:rStyle w:val="Hyperlink"/>
            <w:color w:val="auto"/>
          </w:rPr>
          <w:t>https://www2.illinois.gov/cms/Employees/travel/Pages/TravelReimbursement.aspx</w:t>
        </w:r>
      </w:hyperlink>
      <w:r w:rsidR="002D63B8" w:rsidRPr="0012042A">
        <w:rPr>
          <w:color w:val="auto"/>
        </w:rPr>
        <w:t>.</w:t>
      </w:r>
      <w:r w:rsidR="00153987" w:rsidRPr="0012042A">
        <w:rPr>
          <w:color w:val="auto"/>
        </w:rPr>
        <w:t xml:space="preserve"> </w:t>
      </w:r>
      <w:r w:rsidR="00776D1C" w:rsidRPr="0012042A">
        <w:rPr>
          <w:color w:val="auto"/>
        </w:rPr>
        <w:t>Out-of-state hotel rates are based on the General Service Administration (GSA) guidelines found here:</w:t>
      </w:r>
      <w:r w:rsidR="00776D1C" w:rsidRPr="0012042A">
        <w:rPr>
          <w:rStyle w:val="Hyperlink"/>
          <w:color w:val="auto"/>
        </w:rPr>
        <w:t xml:space="preserve"> </w:t>
      </w:r>
      <w:hyperlink r:id="rId18" w:history="1">
        <w:r w:rsidR="00776D1C" w:rsidRPr="0012042A">
          <w:rPr>
            <w:rStyle w:val="Hyperlink"/>
            <w:color w:val="auto"/>
          </w:rPr>
          <w:t>https://www.gsa.gov/travel/plan-book/per-diem-rates</w:t>
        </w:r>
      </w:hyperlink>
      <w:r w:rsidR="00776D1C" w:rsidRPr="0012042A">
        <w:rPr>
          <w:rStyle w:val="Hyperlink"/>
          <w:color w:val="auto"/>
        </w:rPr>
        <w:t>.</w:t>
      </w:r>
      <w:r w:rsidR="00153987" w:rsidRPr="0012042A">
        <w:rPr>
          <w:rStyle w:val="Hyperlink"/>
          <w:color w:val="auto"/>
        </w:rPr>
        <w:t xml:space="preserve"> </w:t>
      </w:r>
      <w:r w:rsidR="00757265" w:rsidRPr="0012042A">
        <w:rPr>
          <w:color w:val="auto"/>
        </w:rPr>
        <w:t xml:space="preserve">Applicant agencies with lower cost travel guidelines </w:t>
      </w:r>
      <w:r w:rsidR="002D63B8" w:rsidRPr="0012042A">
        <w:rPr>
          <w:color w:val="auto"/>
        </w:rPr>
        <w:t xml:space="preserve">than the State of Illinois </w:t>
      </w:r>
      <w:r w:rsidR="00757265" w:rsidRPr="0012042A">
        <w:rPr>
          <w:color w:val="auto"/>
        </w:rPr>
        <w:t>must use those lower rates.</w:t>
      </w:r>
    </w:p>
    <w:bookmarkEnd w:id="12"/>
    <w:p w14:paraId="4E7CB97C" w14:textId="22BFAFA8" w:rsidR="00C544FA" w:rsidRPr="0012042A" w:rsidRDefault="00C544FA" w:rsidP="00524564">
      <w:pPr>
        <w:autoSpaceDE w:val="0"/>
        <w:autoSpaceDN w:val="0"/>
        <w:adjustRightInd w:val="0"/>
        <w:rPr>
          <w:color w:val="auto"/>
        </w:rPr>
      </w:pPr>
    </w:p>
    <w:p w14:paraId="382AA3A8" w14:textId="787B642D" w:rsidR="00706B43" w:rsidRPr="0012042A" w:rsidRDefault="00D27608" w:rsidP="00524564">
      <w:pPr>
        <w:tabs>
          <w:tab w:val="left" w:pos="720"/>
        </w:tabs>
        <w:autoSpaceDE w:val="0"/>
        <w:autoSpaceDN w:val="0"/>
        <w:adjustRightInd w:val="0"/>
        <w:rPr>
          <w:color w:val="auto"/>
        </w:rPr>
      </w:pPr>
      <w:r w:rsidRPr="0012042A">
        <w:rPr>
          <w:color w:val="auto"/>
        </w:rPr>
        <w:t>(</w:t>
      </w:r>
      <w:r w:rsidR="00B91F92" w:rsidRPr="0012042A">
        <w:rPr>
          <w:color w:val="auto"/>
        </w:rPr>
        <w:t>g</w:t>
      </w:r>
      <w:r w:rsidRPr="0012042A">
        <w:rPr>
          <w:color w:val="auto"/>
        </w:rPr>
        <w:t>)</w:t>
      </w:r>
      <w:r w:rsidR="005F64A7" w:rsidRPr="0012042A">
        <w:rPr>
          <w:color w:val="auto"/>
        </w:rPr>
        <w:t xml:space="preserve"> </w:t>
      </w:r>
      <w:r w:rsidR="005F64A7" w:rsidRPr="0012042A">
        <w:rPr>
          <w:color w:val="auto"/>
          <w:u w:val="single"/>
        </w:rPr>
        <w:t>Supplanting</w:t>
      </w:r>
      <w:r w:rsidR="00B91F92" w:rsidRPr="0012042A">
        <w:rPr>
          <w:color w:val="auto"/>
        </w:rPr>
        <w:t xml:space="preserve"> </w:t>
      </w:r>
    </w:p>
    <w:p w14:paraId="56AD2F98" w14:textId="418676AD" w:rsidR="009B0CAB" w:rsidRPr="0012042A" w:rsidRDefault="004E2CAC" w:rsidP="00524564">
      <w:pPr>
        <w:autoSpaceDE w:val="0"/>
        <w:autoSpaceDN w:val="0"/>
        <w:adjustRightInd w:val="0"/>
        <w:rPr>
          <w:color w:val="auto"/>
        </w:rPr>
      </w:pPr>
      <w:r w:rsidRPr="0012042A">
        <w:rPr>
          <w:color w:val="auto"/>
        </w:rPr>
        <w:t xml:space="preserve">Supplanting rules do not apply to these funds. </w:t>
      </w:r>
    </w:p>
    <w:p w14:paraId="4D07CFEE" w14:textId="77777777" w:rsidR="009B0CAB" w:rsidRPr="0012042A" w:rsidRDefault="009B0CAB" w:rsidP="00524564">
      <w:pPr>
        <w:autoSpaceDE w:val="0"/>
        <w:autoSpaceDN w:val="0"/>
        <w:adjustRightInd w:val="0"/>
        <w:ind w:left="0"/>
        <w:rPr>
          <w:color w:val="auto"/>
        </w:rPr>
      </w:pPr>
    </w:p>
    <w:p w14:paraId="29A7254F" w14:textId="209B28D2" w:rsidR="002260AB" w:rsidRPr="0012042A" w:rsidRDefault="002260AB" w:rsidP="00524564">
      <w:pPr>
        <w:autoSpaceDE w:val="0"/>
        <w:autoSpaceDN w:val="0"/>
        <w:adjustRightInd w:val="0"/>
        <w:rPr>
          <w:color w:val="auto"/>
        </w:rPr>
      </w:pPr>
      <w:r w:rsidRPr="0012042A">
        <w:rPr>
          <w:color w:val="auto"/>
        </w:rPr>
        <w:t xml:space="preserve">(h) </w:t>
      </w:r>
      <w:r w:rsidRPr="0012042A">
        <w:rPr>
          <w:color w:val="auto"/>
          <w:u w:val="single"/>
        </w:rPr>
        <w:t>Proposed Subawards and Subcontracts</w:t>
      </w:r>
      <w:r w:rsidRPr="0012042A">
        <w:rPr>
          <w:color w:val="auto"/>
        </w:rPr>
        <w:t xml:space="preserve"> Applicants may propose to </w:t>
      </w:r>
      <w:proofErr w:type="gramStart"/>
      <w:r w:rsidRPr="0012042A">
        <w:rPr>
          <w:color w:val="auto"/>
        </w:rPr>
        <w:t>enter into</w:t>
      </w:r>
      <w:proofErr w:type="gramEnd"/>
      <w:r w:rsidRPr="0012042A">
        <w:rPr>
          <w:color w:val="auto"/>
        </w:rPr>
        <w:t xml:space="preserve"> subawards or subcontracts under this award, each of which involve different rules and applicant responsibilities. A subaward carries out a portion of the grant agreement while a contract is often for obtaining goods and services for the grantee's </w:t>
      </w:r>
      <w:r w:rsidRPr="0012042A">
        <w:rPr>
          <w:color w:val="auto"/>
        </w:rPr>
        <w:lastRenderedPageBreak/>
        <w:t xml:space="preserve">own use. (44 Ill. Admin Code 7000.240). If a third party will provide some of the essential services, or develop or modify a product, that the applicant has committed to provide or produce, ICJIA may consider the agreement with the third party a subaward for purposes of grant administration.  </w:t>
      </w:r>
    </w:p>
    <w:p w14:paraId="0C4F20F1" w14:textId="77777777" w:rsidR="002260AB" w:rsidRPr="0012042A" w:rsidRDefault="002260AB" w:rsidP="00524564">
      <w:pPr>
        <w:autoSpaceDE w:val="0"/>
        <w:autoSpaceDN w:val="0"/>
        <w:adjustRightInd w:val="0"/>
        <w:rPr>
          <w:color w:val="auto"/>
        </w:rPr>
      </w:pPr>
    </w:p>
    <w:p w14:paraId="52AF7DD7" w14:textId="77777777" w:rsidR="002260AB" w:rsidRPr="0012042A" w:rsidRDefault="002260AB" w:rsidP="00524564">
      <w:pPr>
        <w:autoSpaceDE w:val="0"/>
        <w:autoSpaceDN w:val="0"/>
        <w:adjustRightInd w:val="0"/>
        <w:rPr>
          <w:color w:val="auto"/>
        </w:rPr>
      </w:pPr>
      <w:r w:rsidRPr="0012042A">
        <w:rPr>
          <w:color w:val="auto"/>
        </w:rPr>
        <w:t>Applicants must classify each expense in the contractual budget as a subaward or subcontract. The substance of the agreement, not the title or structure of the agreement, will determine whether it is a subaward of a subcontract. Applicants are advised to use the “Checklist for Contractor/Subrecipient Determinations” available at the GATA Resource Library for guidance: https://www.illinois.gov/sites/gata/pages/resourcelibrary.aspx.</w:t>
      </w:r>
    </w:p>
    <w:p w14:paraId="317B751A" w14:textId="77777777" w:rsidR="002260AB" w:rsidRPr="0012042A" w:rsidRDefault="002260AB" w:rsidP="00524564">
      <w:pPr>
        <w:autoSpaceDE w:val="0"/>
        <w:autoSpaceDN w:val="0"/>
        <w:adjustRightInd w:val="0"/>
        <w:rPr>
          <w:color w:val="auto"/>
        </w:rPr>
      </w:pPr>
    </w:p>
    <w:p w14:paraId="684831AC" w14:textId="77777777" w:rsidR="002260AB" w:rsidRPr="0012042A" w:rsidRDefault="002260AB" w:rsidP="00524564">
      <w:pPr>
        <w:autoSpaceDE w:val="0"/>
        <w:autoSpaceDN w:val="0"/>
        <w:adjustRightInd w:val="0"/>
        <w:rPr>
          <w:color w:val="auto"/>
        </w:rPr>
      </w:pPr>
      <w:r w:rsidRPr="0012042A">
        <w:rPr>
          <w:color w:val="auto"/>
        </w:rPr>
        <w:t>Applicants are required to justify their use of subawards and explain their capacity to serve as “pass-through” entities in the program narrative.  Applicants will monitor subaward compliance with grant terms, applicable federal and state law including the Uniform Administrative Requirements, Cost Principles, and Audit Requirements for Federal Award, 2 C.F.R. Part 200, the Grant Accountability and Transparency Act, 44 Ill. Admin. Code 7000, and ICJIA policies. Proposed subawards must be identified, if possible, and their roles described in both the program and budget narratives.</w:t>
      </w:r>
    </w:p>
    <w:p w14:paraId="34A67B69" w14:textId="77777777" w:rsidR="002260AB" w:rsidRPr="0012042A" w:rsidRDefault="002260AB" w:rsidP="00524564">
      <w:pPr>
        <w:autoSpaceDE w:val="0"/>
        <w:autoSpaceDN w:val="0"/>
        <w:adjustRightInd w:val="0"/>
        <w:rPr>
          <w:color w:val="auto"/>
        </w:rPr>
      </w:pPr>
    </w:p>
    <w:p w14:paraId="71D94282" w14:textId="23C3A385" w:rsidR="002260AB" w:rsidRPr="0012042A" w:rsidRDefault="002260AB" w:rsidP="00524564">
      <w:pPr>
        <w:autoSpaceDE w:val="0"/>
        <w:autoSpaceDN w:val="0"/>
        <w:adjustRightInd w:val="0"/>
        <w:rPr>
          <w:color w:val="auto"/>
        </w:rPr>
      </w:pPr>
      <w:r w:rsidRPr="0012042A">
        <w:rPr>
          <w:color w:val="auto"/>
        </w:rPr>
        <w:t>For procurement contracts, applicants are encouraged to promote free and open competition in awarding contracts. All subcontracts must comply with federal and state requirements as well as</w:t>
      </w:r>
      <w:r w:rsidR="00845093" w:rsidRPr="0012042A">
        <w:rPr>
          <w:color w:val="auto"/>
        </w:rPr>
        <w:t xml:space="preserve"> the ICJIA Subcontract Policy. </w:t>
      </w:r>
      <w:r w:rsidRPr="0012042A">
        <w:rPr>
          <w:color w:val="auto"/>
        </w:rPr>
        <w:t xml:space="preserve">Some agreements may be entered into through a “sole source” process, however, other agreements must be competitively bid through a “Request for Proposal” process. </w:t>
      </w:r>
    </w:p>
    <w:p w14:paraId="36D96D7D" w14:textId="77777777" w:rsidR="002260AB" w:rsidRPr="0012042A" w:rsidRDefault="002260AB" w:rsidP="00524564">
      <w:pPr>
        <w:autoSpaceDE w:val="0"/>
        <w:autoSpaceDN w:val="0"/>
        <w:adjustRightInd w:val="0"/>
        <w:rPr>
          <w:color w:val="auto"/>
        </w:rPr>
      </w:pPr>
    </w:p>
    <w:p w14:paraId="4B73F3D3" w14:textId="0C30FDB4" w:rsidR="005F64A7" w:rsidRPr="0012042A" w:rsidRDefault="002260AB" w:rsidP="00524564">
      <w:pPr>
        <w:autoSpaceDE w:val="0"/>
        <w:autoSpaceDN w:val="0"/>
        <w:adjustRightInd w:val="0"/>
        <w:rPr>
          <w:color w:val="auto"/>
        </w:rPr>
      </w:pPr>
      <w:r w:rsidRPr="0012042A">
        <w:rPr>
          <w:color w:val="auto"/>
        </w:rPr>
        <w:t xml:space="preserve">ICJIA will make the final determination whether a proposed agreement constitutes a subaward or a subcontract. ICJIA’s determination is final and not subject to appeal.   </w:t>
      </w:r>
    </w:p>
    <w:p w14:paraId="4E81AB25" w14:textId="77777777" w:rsidR="002260AB" w:rsidRPr="0012042A" w:rsidRDefault="002260AB" w:rsidP="00524564">
      <w:pPr>
        <w:autoSpaceDE w:val="0"/>
        <w:autoSpaceDN w:val="0"/>
        <w:adjustRightInd w:val="0"/>
        <w:rPr>
          <w:color w:val="auto"/>
        </w:rPr>
      </w:pPr>
    </w:p>
    <w:p w14:paraId="17E0951F" w14:textId="68C88E55" w:rsidR="00E3661F" w:rsidRPr="0012042A" w:rsidRDefault="00845093" w:rsidP="00881575">
      <w:pPr>
        <w:autoSpaceDE w:val="0"/>
        <w:autoSpaceDN w:val="0"/>
        <w:adjustRightInd w:val="0"/>
        <w:ind w:left="360"/>
        <w:rPr>
          <w:b/>
          <w:color w:val="auto"/>
        </w:rPr>
      </w:pPr>
      <w:r w:rsidRPr="0012042A">
        <w:rPr>
          <w:b/>
          <w:i/>
          <w:color w:val="auto"/>
        </w:rPr>
        <w:t>8</w:t>
      </w:r>
      <w:r w:rsidR="00E3661F" w:rsidRPr="0012042A">
        <w:rPr>
          <w:b/>
          <w:i/>
          <w:color w:val="auto"/>
        </w:rPr>
        <w:t>. Requirement Prior to Submitting the Application.</w:t>
      </w:r>
      <w:r w:rsidR="007B63F2" w:rsidRPr="0012042A">
        <w:rPr>
          <w:b/>
          <w:i/>
          <w:color w:val="auto"/>
        </w:rPr>
        <w:t xml:space="preserve"> </w:t>
      </w:r>
      <w:r w:rsidR="00881575">
        <w:rPr>
          <w:color w:val="auto"/>
          <w:u w:val="single"/>
        </w:rPr>
        <w:t>N/A</w:t>
      </w:r>
    </w:p>
    <w:p w14:paraId="600102F3" w14:textId="77777777" w:rsidR="005F1CC5" w:rsidRPr="0012042A" w:rsidRDefault="005F1CC5" w:rsidP="00524564">
      <w:pPr>
        <w:autoSpaceDE w:val="0"/>
        <w:autoSpaceDN w:val="0"/>
        <w:adjustRightInd w:val="0"/>
        <w:ind w:left="360"/>
        <w:rPr>
          <w:color w:val="auto"/>
        </w:rPr>
      </w:pPr>
    </w:p>
    <w:p w14:paraId="6566FFD3" w14:textId="756E9CB6" w:rsidR="005F1CC5" w:rsidRPr="0012042A" w:rsidRDefault="005F1CC5" w:rsidP="00524564">
      <w:pPr>
        <w:autoSpaceDE w:val="0"/>
        <w:autoSpaceDN w:val="0"/>
        <w:adjustRightInd w:val="0"/>
        <w:ind w:left="0"/>
        <w:rPr>
          <w:b/>
          <w:color w:val="auto"/>
          <w:sz w:val="28"/>
          <w:szCs w:val="28"/>
        </w:rPr>
      </w:pPr>
      <w:r w:rsidRPr="0012042A">
        <w:rPr>
          <w:b/>
          <w:color w:val="auto"/>
          <w:sz w:val="28"/>
          <w:szCs w:val="28"/>
        </w:rPr>
        <w:t>E. Application Review Information</w:t>
      </w:r>
    </w:p>
    <w:p w14:paraId="2F7EEA3B" w14:textId="6B82D9F7" w:rsidR="005F1CC5" w:rsidRPr="0012042A" w:rsidRDefault="005F1CC5" w:rsidP="00524564">
      <w:pPr>
        <w:autoSpaceDE w:val="0"/>
        <w:autoSpaceDN w:val="0"/>
        <w:adjustRightInd w:val="0"/>
        <w:ind w:left="0"/>
        <w:rPr>
          <w:color w:val="auto"/>
        </w:rPr>
      </w:pPr>
    </w:p>
    <w:p w14:paraId="4E75DEDA" w14:textId="7876098E" w:rsidR="005F1CC5" w:rsidRPr="0012042A" w:rsidRDefault="005F1CC5" w:rsidP="00524564">
      <w:pPr>
        <w:autoSpaceDE w:val="0"/>
        <w:autoSpaceDN w:val="0"/>
        <w:adjustRightInd w:val="0"/>
        <w:ind w:left="360"/>
        <w:rPr>
          <w:color w:val="auto"/>
        </w:rPr>
      </w:pPr>
      <w:r w:rsidRPr="0012042A">
        <w:rPr>
          <w:b/>
          <w:i/>
          <w:color w:val="auto"/>
        </w:rPr>
        <w:t>1. Criteri</w:t>
      </w:r>
      <w:r w:rsidR="008B19AF" w:rsidRPr="0012042A">
        <w:rPr>
          <w:b/>
          <w:i/>
          <w:color w:val="auto"/>
        </w:rPr>
        <w:t>a</w:t>
      </w:r>
      <w:r w:rsidRPr="0012042A">
        <w:rPr>
          <w:color w:val="auto"/>
        </w:rPr>
        <w:t xml:space="preserve"> </w:t>
      </w:r>
    </w:p>
    <w:p w14:paraId="4C1ED85A" w14:textId="311B08F2" w:rsidR="000864BB" w:rsidRPr="0012042A" w:rsidRDefault="00D63BCE" w:rsidP="00524564">
      <w:pPr>
        <w:widowControl w:val="0"/>
        <w:ind w:left="360"/>
        <w:jc w:val="both"/>
        <w:rPr>
          <w:color w:val="auto"/>
        </w:rPr>
      </w:pPr>
      <w:r w:rsidRPr="0012042A">
        <w:rPr>
          <w:color w:val="auto"/>
        </w:rPr>
        <w:t xml:space="preserve">Application materials must address all components of this Notice of Funding Opportunity and demonstrate both a need for the program and an ability to successfully implement the program. </w:t>
      </w:r>
      <w:r w:rsidR="000864BB" w:rsidRPr="0012042A">
        <w:rPr>
          <w:color w:val="auto"/>
        </w:rPr>
        <w:t xml:space="preserve">Evaluation criteria must include at a minimum the following criteria categories: </w:t>
      </w:r>
    </w:p>
    <w:p w14:paraId="186D9500" w14:textId="77777777" w:rsidR="000864BB" w:rsidRPr="0012042A" w:rsidRDefault="000864BB" w:rsidP="00524564">
      <w:pPr>
        <w:widowControl w:val="0"/>
        <w:jc w:val="both"/>
        <w:rPr>
          <w:color w:val="auto"/>
        </w:rPr>
      </w:pPr>
    </w:p>
    <w:p w14:paraId="42F1BF8E" w14:textId="11FE57C4" w:rsidR="000864BB" w:rsidRPr="0012042A" w:rsidRDefault="000864BB" w:rsidP="00524564">
      <w:pPr>
        <w:widowControl w:val="0"/>
        <w:jc w:val="both"/>
        <w:rPr>
          <w:color w:val="auto"/>
        </w:rPr>
      </w:pPr>
      <w:r w:rsidRPr="0012042A">
        <w:rPr>
          <w:color w:val="auto"/>
        </w:rPr>
        <w:t>(a) Need – identification of stakeholders, facts and evidence that demonstrate the proposal supports the grant program purpose;</w:t>
      </w:r>
    </w:p>
    <w:p w14:paraId="0C03CAA5" w14:textId="77777777" w:rsidR="000864BB" w:rsidRPr="0012042A" w:rsidRDefault="000864BB" w:rsidP="00524564">
      <w:pPr>
        <w:widowControl w:val="0"/>
        <w:jc w:val="both"/>
        <w:rPr>
          <w:color w:val="auto"/>
        </w:rPr>
      </w:pPr>
    </w:p>
    <w:p w14:paraId="27921762" w14:textId="77777777" w:rsidR="000864BB" w:rsidRPr="0012042A" w:rsidRDefault="000864BB" w:rsidP="00524564">
      <w:pPr>
        <w:widowControl w:val="0"/>
        <w:jc w:val="both"/>
        <w:rPr>
          <w:color w:val="auto"/>
        </w:rPr>
      </w:pPr>
      <w:r w:rsidRPr="0012042A">
        <w:rPr>
          <w:color w:val="auto"/>
        </w:rPr>
        <w:t>(b) Capacity – the ability of an entity to execute the grant project according to project requirements;</w:t>
      </w:r>
    </w:p>
    <w:p w14:paraId="2451FA11" w14:textId="77777777" w:rsidR="000864BB" w:rsidRPr="0012042A" w:rsidRDefault="000864BB" w:rsidP="00524564">
      <w:pPr>
        <w:widowControl w:val="0"/>
        <w:jc w:val="both"/>
        <w:rPr>
          <w:color w:val="auto"/>
        </w:rPr>
      </w:pPr>
    </w:p>
    <w:p w14:paraId="0BA4609C" w14:textId="335FAB1C" w:rsidR="00D63BCE" w:rsidRPr="0012042A" w:rsidRDefault="000864BB" w:rsidP="00524564">
      <w:pPr>
        <w:widowControl w:val="0"/>
        <w:jc w:val="both"/>
        <w:rPr>
          <w:color w:val="auto"/>
        </w:rPr>
      </w:pPr>
      <w:r w:rsidRPr="0012042A">
        <w:rPr>
          <w:color w:val="auto"/>
        </w:rPr>
        <w:t xml:space="preserve">(c) Quality – the totality of features and characteristics of a service, project or product </w:t>
      </w:r>
      <w:r w:rsidRPr="0012042A">
        <w:rPr>
          <w:color w:val="auto"/>
        </w:rPr>
        <w:lastRenderedPageBreak/>
        <w:t>that indicated its ability to satisfy the requirements of the grant program; and</w:t>
      </w:r>
    </w:p>
    <w:p w14:paraId="780FA226" w14:textId="12652B1D" w:rsidR="000864BB" w:rsidRPr="0012042A" w:rsidRDefault="000864BB" w:rsidP="00524564">
      <w:pPr>
        <w:widowControl w:val="0"/>
        <w:jc w:val="both"/>
        <w:rPr>
          <w:color w:val="auto"/>
        </w:rPr>
      </w:pPr>
    </w:p>
    <w:p w14:paraId="4E33C3E3" w14:textId="633BDBB2" w:rsidR="000864BB" w:rsidRPr="0012042A" w:rsidRDefault="000864BB" w:rsidP="00524564">
      <w:pPr>
        <w:widowControl w:val="0"/>
        <w:jc w:val="both"/>
        <w:rPr>
          <w:color w:val="auto"/>
        </w:rPr>
      </w:pPr>
      <w:r w:rsidRPr="0012042A">
        <w:rPr>
          <w:color w:val="auto"/>
        </w:rPr>
        <w:t>(d) Other such as societal impact, economic impact, cost effectiveness, sustainability, and grant specific criteria.</w:t>
      </w:r>
    </w:p>
    <w:p w14:paraId="7A41BFED" w14:textId="77777777" w:rsidR="00BB482E" w:rsidRPr="0012042A" w:rsidRDefault="00BB482E" w:rsidP="00524564">
      <w:pPr>
        <w:widowControl w:val="0"/>
        <w:ind w:left="360"/>
        <w:jc w:val="both"/>
        <w:rPr>
          <w:color w:val="auto"/>
        </w:rPr>
      </w:pPr>
    </w:p>
    <w:p w14:paraId="76EF8FD1" w14:textId="3475D313" w:rsidR="00BB482E" w:rsidRPr="0012042A" w:rsidRDefault="00BB482E" w:rsidP="00524564">
      <w:pPr>
        <w:widowControl w:val="0"/>
        <w:ind w:left="360"/>
        <w:jc w:val="both"/>
        <w:rPr>
          <w:color w:val="auto"/>
        </w:rPr>
      </w:pPr>
      <w:r w:rsidRPr="0012042A">
        <w:rPr>
          <w:color w:val="auto"/>
        </w:rPr>
        <w:t>Program scoring criteria vary by NOFO and/or funding source. Criteria should reflect mandatory program elements.</w:t>
      </w:r>
    </w:p>
    <w:p w14:paraId="12CC3C16" w14:textId="77777777" w:rsidR="000864BB" w:rsidRPr="0012042A" w:rsidRDefault="000864BB" w:rsidP="00524564">
      <w:pPr>
        <w:widowControl w:val="0"/>
        <w:jc w:val="both"/>
        <w:rPr>
          <w:color w:val="auto"/>
        </w:rPr>
      </w:pPr>
    </w:p>
    <w:p w14:paraId="68B1128A" w14:textId="0DCB2066" w:rsidR="003214BE" w:rsidRPr="0012042A" w:rsidRDefault="003214BE" w:rsidP="00524564">
      <w:pPr>
        <w:widowControl w:val="0"/>
        <w:ind w:left="360"/>
        <w:jc w:val="both"/>
        <w:rPr>
          <w:color w:val="auto"/>
        </w:rPr>
      </w:pPr>
      <w:r w:rsidRPr="0012042A">
        <w:rPr>
          <w:color w:val="auto"/>
        </w:rPr>
        <w:t>Application materials must address all components of this Notice of Funding Opportunity and demonstrate both a need for the program and an ability to successfully implement the program. Reviewers will score applications based on completeness, clear and detailed responses to program narrative questions, and inclusion of all mandatory program elements</w:t>
      </w:r>
      <w:r w:rsidR="00003737" w:rsidRPr="0012042A">
        <w:rPr>
          <w:color w:val="auto"/>
        </w:rPr>
        <w:t xml:space="preserve"> as well as consideration of past performance history and/or financial standing with ICJIA</w:t>
      </w:r>
      <w:r w:rsidRPr="0012042A">
        <w:rPr>
          <w:color w:val="auto"/>
        </w:rPr>
        <w:t xml:space="preserve">. The applicant must demonstrate that costs are reasonable, necessary, and allowable. </w:t>
      </w:r>
    </w:p>
    <w:p w14:paraId="6C212A9F" w14:textId="77777777" w:rsidR="003214BE" w:rsidRPr="0012042A" w:rsidRDefault="003214BE" w:rsidP="00524564">
      <w:pPr>
        <w:widowControl w:val="0"/>
        <w:jc w:val="both"/>
        <w:rPr>
          <w:color w:val="auto"/>
        </w:rPr>
      </w:pPr>
    </w:p>
    <w:p w14:paraId="0C9ABB81" w14:textId="604EE792" w:rsidR="00F85D7C" w:rsidRDefault="00D63BCE" w:rsidP="00524564">
      <w:pPr>
        <w:widowControl w:val="0"/>
        <w:ind w:left="360"/>
        <w:jc w:val="both"/>
        <w:rPr>
          <w:color w:val="auto"/>
        </w:rPr>
      </w:pPr>
      <w:r w:rsidRPr="0012042A">
        <w:rPr>
          <w:color w:val="auto"/>
        </w:rPr>
        <w:t>The total number of points available is 100</w:t>
      </w:r>
      <w:r w:rsidR="00706B43" w:rsidRPr="0012042A">
        <w:rPr>
          <w:color w:val="auto"/>
        </w:rPr>
        <w:t>.</w:t>
      </w:r>
      <w:r w:rsidR="003214BE" w:rsidRPr="0012042A">
        <w:rPr>
          <w:color w:val="auto"/>
        </w:rPr>
        <w:t xml:space="preserve"> </w:t>
      </w:r>
    </w:p>
    <w:p w14:paraId="4E16A521" w14:textId="661CE304" w:rsidR="00F85D7C" w:rsidRDefault="00F85D7C">
      <w:pPr>
        <w:rPr>
          <w:color w:val="auto"/>
        </w:rPr>
      </w:pPr>
    </w:p>
    <w:tbl>
      <w:tblPr>
        <w:tblStyle w:val="TableGrid"/>
        <w:tblW w:w="0" w:type="auto"/>
        <w:tblLook w:val="04A0" w:firstRow="1" w:lastRow="0" w:firstColumn="1" w:lastColumn="0" w:noHBand="0" w:noVBand="1"/>
      </w:tblPr>
      <w:tblGrid>
        <w:gridCol w:w="7285"/>
        <w:gridCol w:w="720"/>
        <w:gridCol w:w="895"/>
      </w:tblGrid>
      <w:tr w:rsidR="00F85D7C" w:rsidRPr="00CB5165" w14:paraId="3CC417EE" w14:textId="77777777" w:rsidTr="00CB6D75">
        <w:trPr>
          <w:trHeight w:val="620"/>
          <w:tblHeader/>
        </w:trPr>
        <w:tc>
          <w:tcPr>
            <w:tcW w:w="7285" w:type="dxa"/>
            <w:tcBorders>
              <w:bottom w:val="single" w:sz="12" w:space="0" w:color="auto"/>
            </w:tcBorders>
            <w:shd w:val="clear" w:color="auto" w:fill="D9D9D9" w:themeFill="background1" w:themeFillShade="D9"/>
            <w:hideMark/>
          </w:tcPr>
          <w:p w14:paraId="610D82A6" w14:textId="77777777" w:rsidR="00F85D7C" w:rsidRPr="00153BE4" w:rsidRDefault="00F85D7C" w:rsidP="009E15AF">
            <w:pPr>
              <w:autoSpaceDE w:val="0"/>
              <w:autoSpaceDN w:val="0"/>
              <w:adjustRightInd w:val="0"/>
              <w:ind w:left="360"/>
              <w:jc w:val="center"/>
              <w:rPr>
                <w:rFonts w:ascii="Times New Roman" w:hAnsi="Times New Roman" w:cs="Times New Roman"/>
                <w:b/>
                <w:bCs/>
              </w:rPr>
            </w:pPr>
            <w:bookmarkStart w:id="13" w:name="_Hlk4685034"/>
            <w:r w:rsidRPr="00153BE4">
              <w:rPr>
                <w:rFonts w:ascii="Times New Roman" w:hAnsi="Times New Roman" w:cs="Times New Roman"/>
                <w:b/>
                <w:bCs/>
              </w:rPr>
              <w:t>Scoring Criteria</w:t>
            </w:r>
          </w:p>
        </w:tc>
        <w:tc>
          <w:tcPr>
            <w:tcW w:w="1615" w:type="dxa"/>
            <w:gridSpan w:val="2"/>
            <w:tcBorders>
              <w:bottom w:val="single" w:sz="12" w:space="0" w:color="auto"/>
            </w:tcBorders>
            <w:shd w:val="clear" w:color="auto" w:fill="D9D9D9" w:themeFill="background1" w:themeFillShade="D9"/>
            <w:hideMark/>
          </w:tcPr>
          <w:p w14:paraId="5E59F976" w14:textId="77777777" w:rsidR="00F85D7C" w:rsidRPr="00CB5165" w:rsidRDefault="00F85D7C" w:rsidP="00F85D7C">
            <w:pPr>
              <w:autoSpaceDE w:val="0"/>
              <w:autoSpaceDN w:val="0"/>
              <w:adjustRightInd w:val="0"/>
              <w:ind w:left="360"/>
              <w:rPr>
                <w:rFonts w:ascii="Times New Roman" w:hAnsi="Times New Roman" w:cs="Times New Roman"/>
                <w:b/>
                <w:bCs/>
              </w:rPr>
            </w:pPr>
            <w:r w:rsidRPr="00CB5165">
              <w:rPr>
                <w:rFonts w:ascii="Times New Roman" w:hAnsi="Times New Roman" w:cs="Times New Roman"/>
                <w:b/>
                <w:bCs/>
              </w:rPr>
              <w:t>Possible Points</w:t>
            </w:r>
          </w:p>
        </w:tc>
      </w:tr>
      <w:tr w:rsidR="00F85D7C" w:rsidRPr="00CB5165" w14:paraId="3070B59E" w14:textId="77777777" w:rsidTr="00CB6D75">
        <w:trPr>
          <w:trHeight w:val="300"/>
        </w:trPr>
        <w:tc>
          <w:tcPr>
            <w:tcW w:w="7285" w:type="dxa"/>
            <w:tcBorders>
              <w:top w:val="single" w:sz="12" w:space="0" w:color="auto"/>
              <w:left w:val="single" w:sz="12" w:space="0" w:color="auto"/>
              <w:bottom w:val="single" w:sz="2" w:space="0" w:color="auto"/>
              <w:right w:val="single" w:sz="2" w:space="0" w:color="auto"/>
            </w:tcBorders>
            <w:hideMark/>
          </w:tcPr>
          <w:p w14:paraId="49D6ED29" w14:textId="77777777" w:rsidR="00F85D7C" w:rsidRPr="00153BE4" w:rsidRDefault="00F85D7C" w:rsidP="009E15AF">
            <w:pPr>
              <w:autoSpaceDE w:val="0"/>
              <w:autoSpaceDN w:val="0"/>
              <w:adjustRightInd w:val="0"/>
              <w:rPr>
                <w:rFonts w:ascii="Times New Roman" w:hAnsi="Times New Roman" w:cs="Times New Roman"/>
                <w:b/>
                <w:bCs/>
              </w:rPr>
            </w:pPr>
            <w:r w:rsidRPr="00153BE4">
              <w:rPr>
                <w:rFonts w:ascii="Times New Roman" w:hAnsi="Times New Roman" w:cs="Times New Roman"/>
                <w:b/>
                <w:bCs/>
              </w:rPr>
              <w:t>Goals, Objectives and Performance Measures</w:t>
            </w:r>
          </w:p>
        </w:tc>
        <w:tc>
          <w:tcPr>
            <w:tcW w:w="720" w:type="dxa"/>
            <w:tcBorders>
              <w:top w:val="single" w:sz="12" w:space="0" w:color="auto"/>
              <w:left w:val="single" w:sz="2" w:space="0" w:color="auto"/>
              <w:bottom w:val="single" w:sz="2" w:space="0" w:color="auto"/>
              <w:right w:val="single" w:sz="2" w:space="0" w:color="auto"/>
            </w:tcBorders>
            <w:noWrap/>
            <w:hideMark/>
          </w:tcPr>
          <w:p w14:paraId="555526B8" w14:textId="0981ABFD" w:rsidR="00F85D7C" w:rsidRPr="00F85D7C" w:rsidRDefault="00F85D7C" w:rsidP="00F85D7C">
            <w:pPr>
              <w:autoSpaceDE w:val="0"/>
              <w:autoSpaceDN w:val="0"/>
              <w:adjustRightInd w:val="0"/>
              <w:rPr>
                <w:rFonts w:ascii="Times New Roman" w:hAnsi="Times New Roman" w:cs="Times New Roman"/>
                <w:b/>
              </w:rPr>
            </w:pPr>
            <w:r w:rsidRPr="00F85D7C">
              <w:rPr>
                <w:rFonts w:ascii="Times New Roman" w:hAnsi="Times New Roman" w:cs="Times New Roman"/>
                <w:b/>
              </w:rPr>
              <w:t>5</w:t>
            </w:r>
          </w:p>
        </w:tc>
        <w:tc>
          <w:tcPr>
            <w:tcW w:w="895" w:type="dxa"/>
            <w:tcBorders>
              <w:top w:val="single" w:sz="12" w:space="0" w:color="auto"/>
              <w:left w:val="single" w:sz="2" w:space="0" w:color="auto"/>
              <w:bottom w:val="single" w:sz="2" w:space="0" w:color="auto"/>
              <w:right w:val="single" w:sz="12" w:space="0" w:color="auto"/>
            </w:tcBorders>
            <w:noWrap/>
            <w:hideMark/>
          </w:tcPr>
          <w:p w14:paraId="3EBB3F1B" w14:textId="2854B95C" w:rsidR="00F85D7C" w:rsidRPr="00CB5165" w:rsidRDefault="00F85D7C" w:rsidP="00F85D7C">
            <w:pPr>
              <w:autoSpaceDE w:val="0"/>
              <w:autoSpaceDN w:val="0"/>
              <w:adjustRightInd w:val="0"/>
              <w:ind w:left="360"/>
              <w:rPr>
                <w:rFonts w:ascii="Times New Roman" w:hAnsi="Times New Roman" w:cs="Times New Roman"/>
                <w:b/>
                <w:bCs/>
              </w:rPr>
            </w:pPr>
          </w:p>
        </w:tc>
      </w:tr>
      <w:tr w:rsidR="00F85D7C" w:rsidRPr="00CB5165" w14:paraId="7150185D" w14:textId="77777777" w:rsidTr="00CB6D75">
        <w:trPr>
          <w:trHeight w:val="750"/>
        </w:trPr>
        <w:tc>
          <w:tcPr>
            <w:tcW w:w="7285" w:type="dxa"/>
            <w:tcBorders>
              <w:top w:val="single" w:sz="2" w:space="0" w:color="auto"/>
              <w:left w:val="single" w:sz="12" w:space="0" w:color="auto"/>
              <w:bottom w:val="single" w:sz="12" w:space="0" w:color="auto"/>
              <w:right w:val="single" w:sz="2" w:space="0" w:color="auto"/>
            </w:tcBorders>
            <w:hideMark/>
          </w:tcPr>
          <w:p w14:paraId="6EF43AD3"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FY 2020 projected indicators are reasonable based on FY 2019 outputs to date.</w:t>
            </w:r>
          </w:p>
        </w:tc>
        <w:tc>
          <w:tcPr>
            <w:tcW w:w="720" w:type="dxa"/>
            <w:tcBorders>
              <w:top w:val="single" w:sz="2" w:space="0" w:color="auto"/>
              <w:left w:val="single" w:sz="2" w:space="0" w:color="auto"/>
              <w:bottom w:val="single" w:sz="12" w:space="0" w:color="auto"/>
              <w:right w:val="single" w:sz="2" w:space="0" w:color="auto"/>
            </w:tcBorders>
            <w:noWrap/>
            <w:hideMark/>
          </w:tcPr>
          <w:p w14:paraId="2A8194FC" w14:textId="7BC14D65" w:rsidR="00F85D7C" w:rsidRPr="00CB5165" w:rsidRDefault="00F85D7C" w:rsidP="00F85D7C">
            <w:pPr>
              <w:autoSpaceDE w:val="0"/>
              <w:autoSpaceDN w:val="0"/>
              <w:adjustRightInd w:val="0"/>
              <w:rPr>
                <w:rFonts w:ascii="Times New Roman" w:hAnsi="Times New Roman" w:cs="Times New Roman"/>
              </w:rPr>
            </w:pPr>
          </w:p>
        </w:tc>
        <w:tc>
          <w:tcPr>
            <w:tcW w:w="895" w:type="dxa"/>
            <w:tcBorders>
              <w:top w:val="single" w:sz="2" w:space="0" w:color="auto"/>
              <w:left w:val="single" w:sz="2" w:space="0" w:color="auto"/>
              <w:bottom w:val="single" w:sz="12" w:space="0" w:color="auto"/>
              <w:right w:val="single" w:sz="12" w:space="0" w:color="auto"/>
            </w:tcBorders>
            <w:noWrap/>
            <w:hideMark/>
          </w:tcPr>
          <w:p w14:paraId="483D436A" w14:textId="17411784" w:rsidR="00F85D7C" w:rsidRPr="00CB5165" w:rsidRDefault="00F85D7C" w:rsidP="00F85D7C">
            <w:pPr>
              <w:autoSpaceDE w:val="0"/>
              <w:autoSpaceDN w:val="0"/>
              <w:adjustRightInd w:val="0"/>
              <w:ind w:left="360"/>
              <w:rPr>
                <w:rFonts w:ascii="Times New Roman" w:hAnsi="Times New Roman" w:cs="Times New Roman"/>
              </w:rPr>
            </w:pPr>
            <w:r>
              <w:rPr>
                <w:rFonts w:ascii="Times New Roman" w:hAnsi="Times New Roman" w:cs="Times New Roman"/>
              </w:rPr>
              <w:t>5</w:t>
            </w:r>
          </w:p>
        </w:tc>
      </w:tr>
      <w:tr w:rsidR="00F85D7C" w:rsidRPr="00CB5165" w14:paraId="747BB0F8" w14:textId="77777777" w:rsidTr="00CB6D75">
        <w:trPr>
          <w:trHeight w:val="345"/>
        </w:trPr>
        <w:tc>
          <w:tcPr>
            <w:tcW w:w="7285" w:type="dxa"/>
            <w:tcBorders>
              <w:top w:val="single" w:sz="12" w:space="0" w:color="auto"/>
              <w:left w:val="single" w:sz="12" w:space="0" w:color="auto"/>
              <w:bottom w:val="single" w:sz="2" w:space="0" w:color="auto"/>
              <w:right w:val="single" w:sz="2" w:space="0" w:color="auto"/>
            </w:tcBorders>
            <w:hideMark/>
          </w:tcPr>
          <w:p w14:paraId="28C3A657" w14:textId="77777777" w:rsidR="00F85D7C" w:rsidRPr="00153BE4" w:rsidRDefault="00F85D7C" w:rsidP="009E15AF">
            <w:pPr>
              <w:autoSpaceDE w:val="0"/>
              <w:autoSpaceDN w:val="0"/>
              <w:adjustRightInd w:val="0"/>
              <w:rPr>
                <w:rFonts w:ascii="Times New Roman" w:hAnsi="Times New Roman" w:cs="Times New Roman"/>
                <w:b/>
                <w:bCs/>
              </w:rPr>
            </w:pPr>
            <w:r w:rsidRPr="00153BE4">
              <w:rPr>
                <w:rFonts w:ascii="Times New Roman" w:hAnsi="Times New Roman" w:cs="Times New Roman"/>
                <w:b/>
                <w:bCs/>
              </w:rPr>
              <w:t xml:space="preserve">Summary of the FY 2019 Program progress: </w:t>
            </w:r>
          </w:p>
        </w:tc>
        <w:tc>
          <w:tcPr>
            <w:tcW w:w="720" w:type="dxa"/>
            <w:tcBorders>
              <w:top w:val="single" w:sz="12" w:space="0" w:color="auto"/>
              <w:left w:val="single" w:sz="2" w:space="0" w:color="auto"/>
              <w:bottom w:val="single" w:sz="2" w:space="0" w:color="auto"/>
              <w:right w:val="single" w:sz="2" w:space="0" w:color="auto"/>
            </w:tcBorders>
            <w:noWrap/>
            <w:hideMark/>
          </w:tcPr>
          <w:p w14:paraId="74D12980" w14:textId="5AB12AB9" w:rsidR="00F85D7C" w:rsidRPr="00F85D7C" w:rsidRDefault="00F85D7C" w:rsidP="00F85D7C">
            <w:pPr>
              <w:autoSpaceDE w:val="0"/>
              <w:autoSpaceDN w:val="0"/>
              <w:adjustRightInd w:val="0"/>
              <w:rPr>
                <w:rFonts w:ascii="Times New Roman" w:hAnsi="Times New Roman" w:cs="Times New Roman"/>
                <w:b/>
              </w:rPr>
            </w:pPr>
            <w:r w:rsidRPr="00F85D7C">
              <w:rPr>
                <w:rFonts w:ascii="Times New Roman" w:hAnsi="Times New Roman" w:cs="Times New Roman"/>
                <w:b/>
              </w:rPr>
              <w:t>10</w:t>
            </w:r>
          </w:p>
        </w:tc>
        <w:tc>
          <w:tcPr>
            <w:tcW w:w="895" w:type="dxa"/>
            <w:tcBorders>
              <w:top w:val="single" w:sz="12" w:space="0" w:color="auto"/>
              <w:left w:val="single" w:sz="2" w:space="0" w:color="auto"/>
              <w:bottom w:val="single" w:sz="2" w:space="0" w:color="auto"/>
              <w:right w:val="single" w:sz="12" w:space="0" w:color="auto"/>
            </w:tcBorders>
            <w:noWrap/>
            <w:hideMark/>
          </w:tcPr>
          <w:p w14:paraId="173201CC" w14:textId="5A03C6DF" w:rsidR="00F85D7C" w:rsidRPr="00CB5165" w:rsidRDefault="00F85D7C" w:rsidP="00F85D7C">
            <w:pPr>
              <w:autoSpaceDE w:val="0"/>
              <w:autoSpaceDN w:val="0"/>
              <w:adjustRightInd w:val="0"/>
              <w:ind w:left="360"/>
              <w:rPr>
                <w:rFonts w:ascii="Times New Roman" w:hAnsi="Times New Roman" w:cs="Times New Roman"/>
              </w:rPr>
            </w:pPr>
          </w:p>
        </w:tc>
      </w:tr>
      <w:tr w:rsidR="00F85D7C" w:rsidRPr="00CB5165" w14:paraId="7A9CBFC9" w14:textId="77777777" w:rsidTr="00CB6D75">
        <w:trPr>
          <w:trHeight w:val="660"/>
        </w:trPr>
        <w:tc>
          <w:tcPr>
            <w:tcW w:w="7285" w:type="dxa"/>
            <w:tcBorders>
              <w:top w:val="single" w:sz="2" w:space="0" w:color="auto"/>
              <w:left w:val="single" w:sz="12" w:space="0" w:color="auto"/>
              <w:bottom w:val="single" w:sz="2" w:space="0" w:color="auto"/>
              <w:right w:val="single" w:sz="2" w:space="0" w:color="auto"/>
            </w:tcBorders>
            <w:hideMark/>
          </w:tcPr>
          <w:p w14:paraId="48410D55"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Achievement towards FY 2019 goals is expected or explanation for non-achievement is justified.</w:t>
            </w:r>
          </w:p>
        </w:tc>
        <w:tc>
          <w:tcPr>
            <w:tcW w:w="720" w:type="dxa"/>
            <w:tcBorders>
              <w:top w:val="single" w:sz="2" w:space="0" w:color="auto"/>
              <w:left w:val="single" w:sz="2" w:space="0" w:color="auto"/>
              <w:bottom w:val="single" w:sz="2" w:space="0" w:color="auto"/>
              <w:right w:val="single" w:sz="2" w:space="0" w:color="auto"/>
            </w:tcBorders>
            <w:noWrap/>
            <w:hideMark/>
          </w:tcPr>
          <w:p w14:paraId="02A95DCF" w14:textId="4A71267D" w:rsidR="00F85D7C" w:rsidRPr="00CB5165" w:rsidRDefault="00F85D7C" w:rsidP="00F85D7C">
            <w:pPr>
              <w:autoSpaceDE w:val="0"/>
              <w:autoSpaceDN w:val="0"/>
              <w:adjustRightInd w:val="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36807F34" w14:textId="2F815EA7" w:rsidR="00F85D7C" w:rsidRPr="00CB5165" w:rsidRDefault="00F85D7C" w:rsidP="00F85D7C">
            <w:pPr>
              <w:autoSpaceDE w:val="0"/>
              <w:autoSpaceDN w:val="0"/>
              <w:adjustRightInd w:val="0"/>
              <w:ind w:left="360"/>
              <w:rPr>
                <w:rFonts w:ascii="Times New Roman" w:hAnsi="Times New Roman" w:cs="Times New Roman"/>
              </w:rPr>
            </w:pPr>
            <w:r>
              <w:rPr>
                <w:rFonts w:ascii="Times New Roman" w:hAnsi="Times New Roman" w:cs="Times New Roman"/>
              </w:rPr>
              <w:t>5</w:t>
            </w:r>
          </w:p>
        </w:tc>
      </w:tr>
      <w:tr w:rsidR="00F85D7C" w:rsidRPr="00CB5165" w14:paraId="4FC10664" w14:textId="77777777" w:rsidTr="00B809FB">
        <w:trPr>
          <w:trHeight w:val="300"/>
        </w:trPr>
        <w:tc>
          <w:tcPr>
            <w:tcW w:w="7285" w:type="dxa"/>
            <w:tcBorders>
              <w:top w:val="single" w:sz="2" w:space="0" w:color="auto"/>
              <w:left w:val="single" w:sz="12" w:space="0" w:color="auto"/>
              <w:bottom w:val="single" w:sz="12" w:space="0" w:color="auto"/>
              <w:right w:val="single" w:sz="2" w:space="0" w:color="auto"/>
            </w:tcBorders>
            <w:hideMark/>
          </w:tcPr>
          <w:p w14:paraId="6A768751"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Staff trainings and staff turnover are described and explained.</w:t>
            </w:r>
          </w:p>
        </w:tc>
        <w:tc>
          <w:tcPr>
            <w:tcW w:w="720" w:type="dxa"/>
            <w:tcBorders>
              <w:top w:val="single" w:sz="2" w:space="0" w:color="auto"/>
              <w:left w:val="single" w:sz="2" w:space="0" w:color="auto"/>
              <w:bottom w:val="single" w:sz="12" w:space="0" w:color="auto"/>
              <w:right w:val="single" w:sz="2" w:space="0" w:color="auto"/>
            </w:tcBorders>
            <w:noWrap/>
            <w:hideMark/>
          </w:tcPr>
          <w:p w14:paraId="60320DA8" w14:textId="66AFDAC7"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12" w:space="0" w:color="auto"/>
              <w:right w:val="single" w:sz="12" w:space="0" w:color="auto"/>
            </w:tcBorders>
            <w:noWrap/>
            <w:hideMark/>
          </w:tcPr>
          <w:p w14:paraId="7B42E10F" w14:textId="57C956E3" w:rsidR="00F85D7C" w:rsidRPr="00F85D7C" w:rsidRDefault="00F85D7C" w:rsidP="00F85D7C">
            <w:pPr>
              <w:autoSpaceDE w:val="0"/>
              <w:autoSpaceDN w:val="0"/>
              <w:adjustRightInd w:val="0"/>
              <w:ind w:left="360"/>
              <w:rPr>
                <w:rFonts w:ascii="Times New Roman" w:hAnsi="Times New Roman" w:cs="Times New Roman"/>
                <w:bCs/>
              </w:rPr>
            </w:pPr>
            <w:r w:rsidRPr="00CB5165">
              <w:rPr>
                <w:rFonts w:ascii="Times New Roman" w:hAnsi="Times New Roman" w:cs="Times New Roman"/>
                <w:b/>
                <w:bCs/>
              </w:rPr>
              <w:t> </w:t>
            </w:r>
            <w:r w:rsidRPr="00F85D7C">
              <w:rPr>
                <w:rFonts w:ascii="Times New Roman" w:hAnsi="Times New Roman" w:cs="Times New Roman"/>
                <w:bCs/>
              </w:rPr>
              <w:t>5</w:t>
            </w:r>
          </w:p>
        </w:tc>
      </w:tr>
      <w:tr w:rsidR="00F85D7C" w:rsidRPr="00CB5165" w14:paraId="53E37235" w14:textId="77777777" w:rsidTr="00B809FB">
        <w:trPr>
          <w:trHeight w:val="420"/>
        </w:trPr>
        <w:tc>
          <w:tcPr>
            <w:tcW w:w="7285" w:type="dxa"/>
            <w:tcBorders>
              <w:top w:val="single" w:sz="12" w:space="0" w:color="auto"/>
              <w:left w:val="single" w:sz="12" w:space="0" w:color="auto"/>
              <w:bottom w:val="single" w:sz="2" w:space="0" w:color="auto"/>
              <w:right w:val="single" w:sz="2" w:space="0" w:color="auto"/>
            </w:tcBorders>
            <w:hideMark/>
          </w:tcPr>
          <w:p w14:paraId="3B1F139A" w14:textId="77777777" w:rsidR="00F85D7C" w:rsidRPr="00153BE4" w:rsidRDefault="00F85D7C" w:rsidP="009E15AF">
            <w:pPr>
              <w:autoSpaceDE w:val="0"/>
              <w:autoSpaceDN w:val="0"/>
              <w:adjustRightInd w:val="0"/>
              <w:rPr>
                <w:rFonts w:ascii="Times New Roman" w:hAnsi="Times New Roman" w:cs="Times New Roman"/>
                <w:b/>
                <w:bCs/>
              </w:rPr>
            </w:pPr>
            <w:r w:rsidRPr="00153BE4">
              <w:rPr>
                <w:rFonts w:ascii="Times New Roman" w:hAnsi="Times New Roman" w:cs="Times New Roman"/>
                <w:b/>
                <w:bCs/>
              </w:rPr>
              <w:t>FY 2020 Project Description</w:t>
            </w:r>
          </w:p>
        </w:tc>
        <w:tc>
          <w:tcPr>
            <w:tcW w:w="720" w:type="dxa"/>
            <w:tcBorders>
              <w:top w:val="single" w:sz="12" w:space="0" w:color="auto"/>
              <w:left w:val="single" w:sz="2" w:space="0" w:color="auto"/>
              <w:bottom w:val="single" w:sz="2" w:space="0" w:color="auto"/>
              <w:right w:val="single" w:sz="2" w:space="0" w:color="auto"/>
            </w:tcBorders>
            <w:noWrap/>
            <w:hideMark/>
          </w:tcPr>
          <w:p w14:paraId="323FDCA7" w14:textId="62043B46" w:rsidR="00F85D7C" w:rsidRPr="00F85D7C" w:rsidRDefault="00F85D7C" w:rsidP="00F85D7C">
            <w:pPr>
              <w:autoSpaceDE w:val="0"/>
              <w:autoSpaceDN w:val="0"/>
              <w:adjustRightInd w:val="0"/>
              <w:rPr>
                <w:rFonts w:ascii="Times New Roman" w:hAnsi="Times New Roman" w:cs="Times New Roman"/>
                <w:b/>
              </w:rPr>
            </w:pPr>
            <w:r w:rsidRPr="00F85D7C">
              <w:rPr>
                <w:rFonts w:ascii="Times New Roman" w:hAnsi="Times New Roman" w:cs="Times New Roman"/>
                <w:b/>
              </w:rPr>
              <w:t>75</w:t>
            </w:r>
          </w:p>
        </w:tc>
        <w:tc>
          <w:tcPr>
            <w:tcW w:w="895" w:type="dxa"/>
            <w:tcBorders>
              <w:top w:val="single" w:sz="12" w:space="0" w:color="auto"/>
              <w:left w:val="single" w:sz="2" w:space="0" w:color="auto"/>
              <w:bottom w:val="single" w:sz="2" w:space="0" w:color="auto"/>
              <w:right w:val="single" w:sz="12" w:space="0" w:color="auto"/>
            </w:tcBorders>
            <w:noWrap/>
            <w:hideMark/>
          </w:tcPr>
          <w:p w14:paraId="5700C71C" w14:textId="0A07304E" w:rsidR="00F85D7C" w:rsidRPr="00CB5165" w:rsidRDefault="00F85D7C" w:rsidP="00F85D7C">
            <w:pPr>
              <w:autoSpaceDE w:val="0"/>
              <w:autoSpaceDN w:val="0"/>
              <w:adjustRightInd w:val="0"/>
              <w:ind w:left="360"/>
              <w:rPr>
                <w:rFonts w:ascii="Times New Roman" w:hAnsi="Times New Roman" w:cs="Times New Roman"/>
              </w:rPr>
            </w:pPr>
          </w:p>
        </w:tc>
      </w:tr>
      <w:tr w:rsidR="00F85D7C" w:rsidRPr="00CB5165" w14:paraId="24E1F018" w14:textId="77777777" w:rsidTr="00B809FB">
        <w:trPr>
          <w:trHeight w:val="645"/>
        </w:trPr>
        <w:tc>
          <w:tcPr>
            <w:tcW w:w="7285" w:type="dxa"/>
            <w:tcBorders>
              <w:top w:val="single" w:sz="2" w:space="0" w:color="auto"/>
              <w:left w:val="single" w:sz="12" w:space="0" w:color="auto"/>
              <w:bottom w:val="single" w:sz="2" w:space="0" w:color="auto"/>
              <w:right w:val="single" w:sz="2" w:space="0" w:color="auto"/>
            </w:tcBorders>
            <w:hideMark/>
          </w:tcPr>
          <w:p w14:paraId="57A150D1"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Counties that the program will serve are listed.  If serving Cook County, the neighborhoods are listed.</w:t>
            </w:r>
          </w:p>
        </w:tc>
        <w:tc>
          <w:tcPr>
            <w:tcW w:w="720" w:type="dxa"/>
            <w:tcBorders>
              <w:top w:val="single" w:sz="2" w:space="0" w:color="auto"/>
              <w:left w:val="single" w:sz="2" w:space="0" w:color="auto"/>
              <w:bottom w:val="single" w:sz="2" w:space="0" w:color="auto"/>
              <w:right w:val="single" w:sz="2" w:space="0" w:color="auto"/>
            </w:tcBorders>
            <w:noWrap/>
            <w:hideMark/>
          </w:tcPr>
          <w:p w14:paraId="62A63B8A" w14:textId="5ED90C54"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1E470044" w14:textId="2A935B2B" w:rsidR="00F85D7C" w:rsidRPr="00CB5165" w:rsidRDefault="00F85D7C" w:rsidP="00F85D7C">
            <w:pPr>
              <w:autoSpaceDE w:val="0"/>
              <w:autoSpaceDN w:val="0"/>
              <w:adjustRightInd w:val="0"/>
              <w:ind w:left="360"/>
              <w:rPr>
                <w:rFonts w:ascii="Times New Roman" w:hAnsi="Times New Roman" w:cs="Times New Roman"/>
              </w:rPr>
            </w:pPr>
            <w:r>
              <w:rPr>
                <w:rFonts w:ascii="Times New Roman" w:hAnsi="Times New Roman" w:cs="Times New Roman"/>
              </w:rPr>
              <w:t>5</w:t>
            </w:r>
          </w:p>
        </w:tc>
      </w:tr>
      <w:tr w:rsidR="00F85D7C" w:rsidRPr="00CB5165" w14:paraId="2A33DDED" w14:textId="77777777" w:rsidTr="00B809FB">
        <w:trPr>
          <w:trHeight w:val="1605"/>
        </w:trPr>
        <w:tc>
          <w:tcPr>
            <w:tcW w:w="7285" w:type="dxa"/>
            <w:tcBorders>
              <w:top w:val="single" w:sz="2" w:space="0" w:color="auto"/>
              <w:left w:val="single" w:sz="12" w:space="0" w:color="auto"/>
              <w:bottom w:val="single" w:sz="2" w:space="0" w:color="auto"/>
              <w:right w:val="single" w:sz="2" w:space="0" w:color="auto"/>
            </w:tcBorders>
            <w:hideMark/>
          </w:tcPr>
          <w:p w14:paraId="0AC495D3"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 xml:space="preserve">Program design thoroughly describes how program fits within applicant agency; how it fits the needs of your community and the systems that benefit from the program; how children are identified and how the program ensures that it reaches traditionally underserved children and families. </w:t>
            </w:r>
          </w:p>
        </w:tc>
        <w:tc>
          <w:tcPr>
            <w:tcW w:w="720" w:type="dxa"/>
            <w:tcBorders>
              <w:top w:val="single" w:sz="2" w:space="0" w:color="auto"/>
              <w:left w:val="single" w:sz="2" w:space="0" w:color="auto"/>
              <w:bottom w:val="single" w:sz="2" w:space="0" w:color="auto"/>
              <w:right w:val="single" w:sz="2" w:space="0" w:color="auto"/>
            </w:tcBorders>
            <w:noWrap/>
            <w:hideMark/>
          </w:tcPr>
          <w:p w14:paraId="32B46F9C" w14:textId="666DF97D"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4F2A70BD" w14:textId="4D19460E" w:rsidR="00F85D7C" w:rsidRPr="00CB5165" w:rsidRDefault="00F85D7C" w:rsidP="00F85D7C">
            <w:pPr>
              <w:autoSpaceDE w:val="0"/>
              <w:autoSpaceDN w:val="0"/>
              <w:adjustRightInd w:val="0"/>
              <w:ind w:left="360"/>
              <w:rPr>
                <w:rFonts w:ascii="Times New Roman" w:hAnsi="Times New Roman" w:cs="Times New Roman"/>
              </w:rPr>
            </w:pPr>
            <w:r>
              <w:rPr>
                <w:rFonts w:ascii="Times New Roman" w:hAnsi="Times New Roman" w:cs="Times New Roman"/>
              </w:rPr>
              <w:t>10</w:t>
            </w:r>
          </w:p>
        </w:tc>
      </w:tr>
      <w:tr w:rsidR="00F85D7C" w:rsidRPr="00CB5165" w14:paraId="4052CF49" w14:textId="77777777" w:rsidTr="00B809FB">
        <w:trPr>
          <w:trHeight w:val="1169"/>
        </w:trPr>
        <w:tc>
          <w:tcPr>
            <w:tcW w:w="7285" w:type="dxa"/>
            <w:tcBorders>
              <w:top w:val="single" w:sz="2" w:space="0" w:color="auto"/>
              <w:left w:val="single" w:sz="12" w:space="0" w:color="auto"/>
              <w:bottom w:val="single" w:sz="2" w:space="0" w:color="auto"/>
              <w:right w:val="single" w:sz="2" w:space="0" w:color="auto"/>
            </w:tcBorders>
            <w:hideMark/>
          </w:tcPr>
          <w:p w14:paraId="22D589B7"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 xml:space="preserve">Assessment section thoroughly describes the assessment process including staff administering, number of sessions in each assessment, how they are used in service planning.  Additionally, challenges or barriers and how they are addressed are described.  </w:t>
            </w:r>
          </w:p>
        </w:tc>
        <w:tc>
          <w:tcPr>
            <w:tcW w:w="720" w:type="dxa"/>
            <w:tcBorders>
              <w:top w:val="single" w:sz="2" w:space="0" w:color="auto"/>
              <w:left w:val="single" w:sz="2" w:space="0" w:color="auto"/>
              <w:bottom w:val="single" w:sz="2" w:space="0" w:color="auto"/>
              <w:right w:val="single" w:sz="2" w:space="0" w:color="auto"/>
            </w:tcBorders>
            <w:noWrap/>
            <w:hideMark/>
          </w:tcPr>
          <w:p w14:paraId="7511094B" w14:textId="75CED8A8"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299E7DF4" w14:textId="7D8BB22E" w:rsidR="00F85D7C" w:rsidRPr="00CB5165" w:rsidRDefault="00F37E27" w:rsidP="00F85D7C">
            <w:pPr>
              <w:autoSpaceDE w:val="0"/>
              <w:autoSpaceDN w:val="0"/>
              <w:adjustRightInd w:val="0"/>
              <w:ind w:left="360"/>
              <w:rPr>
                <w:rFonts w:ascii="Times New Roman" w:hAnsi="Times New Roman" w:cs="Times New Roman"/>
              </w:rPr>
            </w:pPr>
            <w:r>
              <w:rPr>
                <w:rFonts w:ascii="Times New Roman" w:hAnsi="Times New Roman" w:cs="Times New Roman"/>
              </w:rPr>
              <w:t>1</w:t>
            </w:r>
            <w:r w:rsidR="00F85D7C">
              <w:rPr>
                <w:rFonts w:ascii="Times New Roman" w:hAnsi="Times New Roman" w:cs="Times New Roman"/>
              </w:rPr>
              <w:t>0</w:t>
            </w:r>
          </w:p>
        </w:tc>
      </w:tr>
      <w:tr w:rsidR="00F85D7C" w:rsidRPr="00CB5165" w14:paraId="38BA5674" w14:textId="77777777" w:rsidTr="00B809FB">
        <w:trPr>
          <w:trHeight w:val="1050"/>
        </w:trPr>
        <w:tc>
          <w:tcPr>
            <w:tcW w:w="7285" w:type="dxa"/>
            <w:tcBorders>
              <w:top w:val="single" w:sz="2" w:space="0" w:color="auto"/>
              <w:left w:val="single" w:sz="12" w:space="0" w:color="auto"/>
              <w:bottom w:val="single" w:sz="2" w:space="0" w:color="auto"/>
              <w:right w:val="single" w:sz="2" w:space="0" w:color="auto"/>
            </w:tcBorders>
            <w:hideMark/>
          </w:tcPr>
          <w:p w14:paraId="43E6EE99"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lastRenderedPageBreak/>
              <w:t xml:space="preserve">Narrative thoroughly describes clinical modalities used and rationale for the approach.  Description should include identification of staff providing services, language proficiencies and location and time services are offered.  </w:t>
            </w:r>
          </w:p>
        </w:tc>
        <w:tc>
          <w:tcPr>
            <w:tcW w:w="720" w:type="dxa"/>
            <w:tcBorders>
              <w:top w:val="single" w:sz="2" w:space="0" w:color="auto"/>
              <w:left w:val="single" w:sz="2" w:space="0" w:color="auto"/>
              <w:bottom w:val="single" w:sz="2" w:space="0" w:color="auto"/>
              <w:right w:val="single" w:sz="2" w:space="0" w:color="auto"/>
            </w:tcBorders>
            <w:noWrap/>
            <w:hideMark/>
          </w:tcPr>
          <w:p w14:paraId="0D5C3D93" w14:textId="62A35999"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26B2E9A6" w14:textId="5A85F6C9" w:rsidR="00F85D7C" w:rsidRPr="00F85D7C" w:rsidRDefault="00F85D7C" w:rsidP="00F85D7C">
            <w:pPr>
              <w:autoSpaceDE w:val="0"/>
              <w:autoSpaceDN w:val="0"/>
              <w:adjustRightInd w:val="0"/>
              <w:ind w:left="360"/>
              <w:rPr>
                <w:rFonts w:ascii="Times New Roman" w:hAnsi="Times New Roman" w:cs="Times New Roman"/>
                <w:bCs/>
              </w:rPr>
            </w:pPr>
            <w:r w:rsidRPr="00F85D7C">
              <w:rPr>
                <w:rFonts w:ascii="Times New Roman" w:hAnsi="Times New Roman" w:cs="Times New Roman"/>
                <w:bCs/>
              </w:rPr>
              <w:t>10</w:t>
            </w:r>
          </w:p>
        </w:tc>
      </w:tr>
      <w:tr w:rsidR="00F85D7C" w:rsidRPr="00CB5165" w14:paraId="5B02481A" w14:textId="77777777" w:rsidTr="00B809FB">
        <w:trPr>
          <w:trHeight w:val="1245"/>
        </w:trPr>
        <w:tc>
          <w:tcPr>
            <w:tcW w:w="7285" w:type="dxa"/>
            <w:tcBorders>
              <w:top w:val="single" w:sz="2" w:space="0" w:color="auto"/>
              <w:left w:val="single" w:sz="12" w:space="0" w:color="auto"/>
              <w:bottom w:val="single" w:sz="2" w:space="0" w:color="auto"/>
              <w:right w:val="single" w:sz="2" w:space="0" w:color="auto"/>
            </w:tcBorders>
            <w:hideMark/>
          </w:tcPr>
          <w:p w14:paraId="5F936F1D"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Narrative thoroughly describes case management model used and rationale for the approach.  Description should include identification of staff providing services, language proficiencies and location and time services are offered.</w:t>
            </w:r>
          </w:p>
        </w:tc>
        <w:tc>
          <w:tcPr>
            <w:tcW w:w="720" w:type="dxa"/>
            <w:tcBorders>
              <w:top w:val="single" w:sz="2" w:space="0" w:color="auto"/>
              <w:left w:val="single" w:sz="2" w:space="0" w:color="auto"/>
              <w:bottom w:val="single" w:sz="2" w:space="0" w:color="auto"/>
              <w:right w:val="single" w:sz="2" w:space="0" w:color="auto"/>
            </w:tcBorders>
            <w:noWrap/>
            <w:hideMark/>
          </w:tcPr>
          <w:p w14:paraId="361A969C" w14:textId="54224378"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3510A7CE" w14:textId="77A1CBB8" w:rsidR="00F85D7C" w:rsidRPr="00F85D7C" w:rsidRDefault="00F85D7C" w:rsidP="00F85D7C">
            <w:pPr>
              <w:autoSpaceDE w:val="0"/>
              <w:autoSpaceDN w:val="0"/>
              <w:adjustRightInd w:val="0"/>
              <w:ind w:left="360"/>
              <w:rPr>
                <w:rFonts w:ascii="Times New Roman" w:hAnsi="Times New Roman" w:cs="Times New Roman"/>
                <w:bCs/>
              </w:rPr>
            </w:pPr>
            <w:r w:rsidRPr="00F85D7C">
              <w:rPr>
                <w:rFonts w:ascii="Times New Roman" w:hAnsi="Times New Roman" w:cs="Times New Roman"/>
                <w:bCs/>
              </w:rPr>
              <w:t>10</w:t>
            </w:r>
          </w:p>
        </w:tc>
      </w:tr>
      <w:tr w:rsidR="00F85D7C" w:rsidRPr="00CB5165" w14:paraId="604CBD9C" w14:textId="77777777" w:rsidTr="00B809FB">
        <w:trPr>
          <w:trHeight w:val="1140"/>
        </w:trPr>
        <w:tc>
          <w:tcPr>
            <w:tcW w:w="7285" w:type="dxa"/>
            <w:tcBorders>
              <w:top w:val="single" w:sz="2" w:space="0" w:color="auto"/>
              <w:left w:val="single" w:sz="12" w:space="0" w:color="auto"/>
              <w:bottom w:val="single" w:sz="2" w:space="0" w:color="auto"/>
              <w:right w:val="single" w:sz="2" w:space="0" w:color="auto"/>
            </w:tcBorders>
            <w:hideMark/>
          </w:tcPr>
          <w:p w14:paraId="0194E51E"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Narrative describes how cases are closed, cases are tracked and record keeping processes.  Description must include discussion of how confidentiality is kept.</w:t>
            </w:r>
          </w:p>
        </w:tc>
        <w:tc>
          <w:tcPr>
            <w:tcW w:w="720" w:type="dxa"/>
            <w:tcBorders>
              <w:top w:val="single" w:sz="2" w:space="0" w:color="auto"/>
              <w:left w:val="single" w:sz="2" w:space="0" w:color="auto"/>
              <w:bottom w:val="single" w:sz="2" w:space="0" w:color="auto"/>
              <w:right w:val="single" w:sz="2" w:space="0" w:color="auto"/>
            </w:tcBorders>
            <w:noWrap/>
            <w:hideMark/>
          </w:tcPr>
          <w:p w14:paraId="482650F1" w14:textId="03185573"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00FC0B5E" w14:textId="02AA3CFC" w:rsidR="00F85D7C" w:rsidRPr="00F85D7C" w:rsidRDefault="00F37E27" w:rsidP="00F85D7C">
            <w:pPr>
              <w:autoSpaceDE w:val="0"/>
              <w:autoSpaceDN w:val="0"/>
              <w:adjustRightInd w:val="0"/>
              <w:ind w:left="360"/>
              <w:rPr>
                <w:rFonts w:ascii="Times New Roman" w:hAnsi="Times New Roman" w:cs="Times New Roman"/>
                <w:bCs/>
              </w:rPr>
            </w:pPr>
            <w:r>
              <w:rPr>
                <w:rFonts w:ascii="Times New Roman" w:hAnsi="Times New Roman" w:cs="Times New Roman"/>
                <w:bCs/>
              </w:rPr>
              <w:t>1</w:t>
            </w:r>
            <w:r w:rsidR="00F85D7C" w:rsidRPr="00F85D7C">
              <w:rPr>
                <w:rFonts w:ascii="Times New Roman" w:hAnsi="Times New Roman" w:cs="Times New Roman"/>
                <w:bCs/>
              </w:rPr>
              <w:t>0</w:t>
            </w:r>
          </w:p>
        </w:tc>
      </w:tr>
      <w:tr w:rsidR="00F85D7C" w:rsidRPr="00CB5165" w14:paraId="2178F73A" w14:textId="77777777" w:rsidTr="00B809FB">
        <w:trPr>
          <w:trHeight w:val="1035"/>
        </w:trPr>
        <w:tc>
          <w:tcPr>
            <w:tcW w:w="7285" w:type="dxa"/>
            <w:tcBorders>
              <w:top w:val="single" w:sz="2" w:space="0" w:color="auto"/>
              <w:left w:val="single" w:sz="12" w:space="0" w:color="auto"/>
              <w:bottom w:val="single" w:sz="2" w:space="0" w:color="auto"/>
              <w:right w:val="single" w:sz="2" w:space="0" w:color="auto"/>
            </w:tcBorders>
            <w:hideMark/>
          </w:tcPr>
          <w:p w14:paraId="7B12E6CE"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Narrative thoroughly describes coalition meetings and public awareness activities; answering all the questions in sections 5 Coalition and 6 Public Awareness</w:t>
            </w:r>
          </w:p>
        </w:tc>
        <w:tc>
          <w:tcPr>
            <w:tcW w:w="720" w:type="dxa"/>
            <w:tcBorders>
              <w:top w:val="single" w:sz="2" w:space="0" w:color="auto"/>
              <w:left w:val="single" w:sz="2" w:space="0" w:color="auto"/>
              <w:bottom w:val="single" w:sz="2" w:space="0" w:color="auto"/>
              <w:right w:val="single" w:sz="2" w:space="0" w:color="auto"/>
            </w:tcBorders>
            <w:noWrap/>
            <w:hideMark/>
          </w:tcPr>
          <w:p w14:paraId="1F2D700A" w14:textId="778E3A36"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2" w:space="0" w:color="auto"/>
              <w:right w:val="single" w:sz="12" w:space="0" w:color="auto"/>
            </w:tcBorders>
            <w:noWrap/>
            <w:hideMark/>
          </w:tcPr>
          <w:p w14:paraId="2D2FE535" w14:textId="7F86AC8C" w:rsidR="00F85D7C" w:rsidRPr="00CB5165" w:rsidRDefault="00F85D7C" w:rsidP="00F85D7C">
            <w:pPr>
              <w:autoSpaceDE w:val="0"/>
              <w:autoSpaceDN w:val="0"/>
              <w:adjustRightInd w:val="0"/>
              <w:ind w:left="360"/>
              <w:rPr>
                <w:rFonts w:ascii="Times New Roman" w:hAnsi="Times New Roman" w:cs="Times New Roman"/>
              </w:rPr>
            </w:pPr>
            <w:r>
              <w:rPr>
                <w:rFonts w:ascii="Times New Roman" w:hAnsi="Times New Roman" w:cs="Times New Roman"/>
              </w:rPr>
              <w:t>10</w:t>
            </w:r>
          </w:p>
        </w:tc>
      </w:tr>
      <w:tr w:rsidR="00F85D7C" w:rsidRPr="00CB5165" w14:paraId="41B11762" w14:textId="77777777" w:rsidTr="00B809FB">
        <w:trPr>
          <w:trHeight w:val="3045"/>
        </w:trPr>
        <w:tc>
          <w:tcPr>
            <w:tcW w:w="7285" w:type="dxa"/>
            <w:tcBorders>
              <w:top w:val="single" w:sz="2" w:space="0" w:color="auto"/>
              <w:left w:val="single" w:sz="12" w:space="0" w:color="auto"/>
              <w:bottom w:val="single" w:sz="12" w:space="0" w:color="auto"/>
              <w:right w:val="single" w:sz="2" w:space="0" w:color="auto"/>
            </w:tcBorders>
            <w:hideMark/>
          </w:tcPr>
          <w:p w14:paraId="38B11ECC"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Thoroughly describes how project is staffed, including percent of time on program, responsibilities for project coordination, case management, assessment, service provision, and data entry into the SFS database. Also includes the clinical supervision that SFS staff receive, including approach and frequency, and if the supervision is conducted in-house or contracted to an outside agency.  Specify the clinical supervisor’s training in childhood exposure to violence. Also includes the clinical supervision that SFS staff receive, including approach and frequency, and if the supervision is conducted in-house or contracted to an outside agency. Specify the clinical supervisor’s training in childhood exposure to violence.</w:t>
            </w:r>
          </w:p>
        </w:tc>
        <w:tc>
          <w:tcPr>
            <w:tcW w:w="720" w:type="dxa"/>
            <w:tcBorders>
              <w:top w:val="single" w:sz="2" w:space="0" w:color="auto"/>
              <w:left w:val="single" w:sz="2" w:space="0" w:color="auto"/>
              <w:bottom w:val="single" w:sz="12" w:space="0" w:color="auto"/>
              <w:right w:val="single" w:sz="2" w:space="0" w:color="auto"/>
            </w:tcBorders>
            <w:noWrap/>
            <w:hideMark/>
          </w:tcPr>
          <w:p w14:paraId="7DF750D2" w14:textId="343A343F"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12" w:space="0" w:color="auto"/>
              <w:right w:val="single" w:sz="12" w:space="0" w:color="auto"/>
            </w:tcBorders>
            <w:noWrap/>
            <w:hideMark/>
          </w:tcPr>
          <w:p w14:paraId="13E48AE4" w14:textId="1BAE2E82" w:rsidR="00F85D7C" w:rsidRPr="00F85D7C" w:rsidRDefault="00F85D7C" w:rsidP="00F85D7C">
            <w:pPr>
              <w:autoSpaceDE w:val="0"/>
              <w:autoSpaceDN w:val="0"/>
              <w:adjustRightInd w:val="0"/>
              <w:ind w:left="360"/>
              <w:rPr>
                <w:rFonts w:ascii="Times New Roman" w:hAnsi="Times New Roman" w:cs="Times New Roman"/>
                <w:bCs/>
              </w:rPr>
            </w:pPr>
            <w:r w:rsidRPr="00F85D7C">
              <w:rPr>
                <w:rFonts w:ascii="Times New Roman" w:hAnsi="Times New Roman" w:cs="Times New Roman"/>
                <w:bCs/>
              </w:rPr>
              <w:t>10</w:t>
            </w:r>
          </w:p>
        </w:tc>
      </w:tr>
      <w:tr w:rsidR="00F85D7C" w:rsidRPr="00CB5165" w14:paraId="73380E06" w14:textId="77777777" w:rsidTr="00B809FB">
        <w:trPr>
          <w:trHeight w:val="420"/>
        </w:trPr>
        <w:tc>
          <w:tcPr>
            <w:tcW w:w="7285" w:type="dxa"/>
            <w:tcBorders>
              <w:top w:val="single" w:sz="12" w:space="0" w:color="auto"/>
              <w:left w:val="single" w:sz="12" w:space="0" w:color="auto"/>
              <w:bottom w:val="single" w:sz="2" w:space="0" w:color="auto"/>
              <w:right w:val="single" w:sz="2" w:space="0" w:color="auto"/>
            </w:tcBorders>
            <w:hideMark/>
          </w:tcPr>
          <w:p w14:paraId="41DADA2D" w14:textId="77777777" w:rsidR="00F85D7C" w:rsidRPr="00153BE4" w:rsidRDefault="00F85D7C" w:rsidP="009E15AF">
            <w:pPr>
              <w:autoSpaceDE w:val="0"/>
              <w:autoSpaceDN w:val="0"/>
              <w:adjustRightInd w:val="0"/>
              <w:rPr>
                <w:rFonts w:ascii="Times New Roman" w:hAnsi="Times New Roman" w:cs="Times New Roman"/>
                <w:b/>
                <w:bCs/>
              </w:rPr>
            </w:pPr>
            <w:r w:rsidRPr="00153BE4">
              <w:rPr>
                <w:rFonts w:ascii="Times New Roman" w:hAnsi="Times New Roman" w:cs="Times New Roman"/>
                <w:b/>
                <w:bCs/>
              </w:rPr>
              <w:t>Deliverables and Milestones</w:t>
            </w:r>
          </w:p>
        </w:tc>
        <w:tc>
          <w:tcPr>
            <w:tcW w:w="720" w:type="dxa"/>
            <w:tcBorders>
              <w:top w:val="single" w:sz="12" w:space="0" w:color="auto"/>
              <w:left w:val="single" w:sz="2" w:space="0" w:color="auto"/>
              <w:bottom w:val="single" w:sz="2" w:space="0" w:color="auto"/>
              <w:right w:val="single" w:sz="2" w:space="0" w:color="auto"/>
            </w:tcBorders>
            <w:noWrap/>
            <w:hideMark/>
          </w:tcPr>
          <w:p w14:paraId="03F0C672" w14:textId="2234551D" w:rsidR="00F85D7C" w:rsidRPr="00CB5165" w:rsidRDefault="00F37E27" w:rsidP="00F37E27">
            <w:pPr>
              <w:autoSpaceDE w:val="0"/>
              <w:autoSpaceDN w:val="0"/>
              <w:adjustRightInd w:val="0"/>
              <w:rPr>
                <w:rFonts w:ascii="Times New Roman" w:hAnsi="Times New Roman" w:cs="Times New Roman"/>
                <w:b/>
                <w:bCs/>
              </w:rPr>
            </w:pPr>
            <w:r>
              <w:rPr>
                <w:rFonts w:ascii="Times New Roman" w:hAnsi="Times New Roman" w:cs="Times New Roman"/>
                <w:b/>
                <w:bCs/>
              </w:rPr>
              <w:t>5</w:t>
            </w:r>
          </w:p>
        </w:tc>
        <w:tc>
          <w:tcPr>
            <w:tcW w:w="895" w:type="dxa"/>
            <w:tcBorders>
              <w:top w:val="single" w:sz="12" w:space="0" w:color="auto"/>
              <w:left w:val="single" w:sz="2" w:space="0" w:color="auto"/>
              <w:bottom w:val="single" w:sz="2" w:space="0" w:color="auto"/>
              <w:right w:val="single" w:sz="12" w:space="0" w:color="auto"/>
            </w:tcBorders>
            <w:noWrap/>
            <w:hideMark/>
          </w:tcPr>
          <w:p w14:paraId="46F9AB93" w14:textId="6BF4A7E5" w:rsidR="00F85D7C" w:rsidRPr="00CB5165" w:rsidRDefault="00F85D7C" w:rsidP="00F85D7C">
            <w:pPr>
              <w:autoSpaceDE w:val="0"/>
              <w:autoSpaceDN w:val="0"/>
              <w:adjustRightInd w:val="0"/>
              <w:ind w:left="360"/>
              <w:rPr>
                <w:rFonts w:ascii="Times New Roman" w:hAnsi="Times New Roman" w:cs="Times New Roman"/>
                <w:b/>
                <w:bCs/>
              </w:rPr>
            </w:pPr>
          </w:p>
        </w:tc>
      </w:tr>
      <w:tr w:rsidR="00F85D7C" w:rsidRPr="00CB5165" w14:paraId="500D12FE" w14:textId="77777777" w:rsidTr="00B809FB">
        <w:trPr>
          <w:trHeight w:val="810"/>
        </w:trPr>
        <w:tc>
          <w:tcPr>
            <w:tcW w:w="7285" w:type="dxa"/>
            <w:tcBorders>
              <w:top w:val="single" w:sz="2" w:space="0" w:color="auto"/>
              <w:left w:val="single" w:sz="12" w:space="0" w:color="auto"/>
              <w:bottom w:val="single" w:sz="12" w:space="0" w:color="auto"/>
              <w:right w:val="single" w:sz="2" w:space="0" w:color="auto"/>
            </w:tcBorders>
            <w:hideMark/>
          </w:tcPr>
          <w:p w14:paraId="487F0466"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Implementation schedule is complete and provides sufficient detail to demonstrate how program will be implemented</w:t>
            </w:r>
          </w:p>
        </w:tc>
        <w:tc>
          <w:tcPr>
            <w:tcW w:w="720" w:type="dxa"/>
            <w:tcBorders>
              <w:top w:val="single" w:sz="2" w:space="0" w:color="auto"/>
              <w:left w:val="single" w:sz="2" w:space="0" w:color="auto"/>
              <w:bottom w:val="single" w:sz="12" w:space="0" w:color="auto"/>
              <w:right w:val="single" w:sz="2" w:space="0" w:color="auto"/>
            </w:tcBorders>
            <w:noWrap/>
            <w:hideMark/>
          </w:tcPr>
          <w:p w14:paraId="4BD89F96" w14:textId="3CAA39F9"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12" w:space="0" w:color="auto"/>
              <w:right w:val="single" w:sz="12" w:space="0" w:color="auto"/>
            </w:tcBorders>
            <w:noWrap/>
            <w:hideMark/>
          </w:tcPr>
          <w:p w14:paraId="506F11DC" w14:textId="599CC737" w:rsidR="00F85D7C" w:rsidRPr="00CB5165" w:rsidRDefault="00F37E27" w:rsidP="00F85D7C">
            <w:pPr>
              <w:autoSpaceDE w:val="0"/>
              <w:autoSpaceDN w:val="0"/>
              <w:adjustRightInd w:val="0"/>
              <w:ind w:left="360"/>
              <w:rPr>
                <w:rFonts w:ascii="Times New Roman" w:hAnsi="Times New Roman" w:cs="Times New Roman"/>
              </w:rPr>
            </w:pPr>
            <w:r>
              <w:rPr>
                <w:rFonts w:ascii="Times New Roman" w:hAnsi="Times New Roman" w:cs="Times New Roman"/>
              </w:rPr>
              <w:t>5</w:t>
            </w:r>
          </w:p>
        </w:tc>
      </w:tr>
      <w:tr w:rsidR="00F85D7C" w:rsidRPr="00CB5165" w14:paraId="34F3E6AD" w14:textId="77777777" w:rsidTr="00B809FB">
        <w:trPr>
          <w:trHeight w:val="300"/>
        </w:trPr>
        <w:tc>
          <w:tcPr>
            <w:tcW w:w="7285" w:type="dxa"/>
            <w:tcBorders>
              <w:top w:val="single" w:sz="12" w:space="0" w:color="auto"/>
              <w:left w:val="single" w:sz="12" w:space="0" w:color="auto"/>
              <w:bottom w:val="single" w:sz="2" w:space="0" w:color="auto"/>
              <w:right w:val="single" w:sz="2" w:space="0" w:color="auto"/>
            </w:tcBorders>
            <w:hideMark/>
          </w:tcPr>
          <w:p w14:paraId="209E6D99" w14:textId="77777777" w:rsidR="00F85D7C" w:rsidRPr="00153BE4" w:rsidRDefault="00F85D7C" w:rsidP="009E15AF">
            <w:pPr>
              <w:autoSpaceDE w:val="0"/>
              <w:autoSpaceDN w:val="0"/>
              <w:adjustRightInd w:val="0"/>
              <w:rPr>
                <w:rFonts w:ascii="Times New Roman" w:hAnsi="Times New Roman" w:cs="Times New Roman"/>
                <w:b/>
                <w:bCs/>
              </w:rPr>
            </w:pPr>
            <w:r w:rsidRPr="00153BE4">
              <w:rPr>
                <w:rFonts w:ascii="Times New Roman" w:hAnsi="Times New Roman" w:cs="Times New Roman"/>
                <w:b/>
                <w:bCs/>
              </w:rPr>
              <w:t>Budget</w:t>
            </w:r>
          </w:p>
        </w:tc>
        <w:tc>
          <w:tcPr>
            <w:tcW w:w="720" w:type="dxa"/>
            <w:tcBorders>
              <w:top w:val="single" w:sz="12" w:space="0" w:color="auto"/>
              <w:left w:val="single" w:sz="2" w:space="0" w:color="auto"/>
              <w:bottom w:val="single" w:sz="2" w:space="0" w:color="auto"/>
              <w:right w:val="single" w:sz="2" w:space="0" w:color="auto"/>
            </w:tcBorders>
            <w:noWrap/>
            <w:hideMark/>
          </w:tcPr>
          <w:p w14:paraId="78DF3975" w14:textId="32AFCCF5" w:rsidR="00F85D7C" w:rsidRPr="00CB5165" w:rsidRDefault="00F37E27" w:rsidP="00F37E27">
            <w:pPr>
              <w:autoSpaceDE w:val="0"/>
              <w:autoSpaceDN w:val="0"/>
              <w:adjustRightInd w:val="0"/>
              <w:rPr>
                <w:rFonts w:ascii="Times New Roman" w:hAnsi="Times New Roman" w:cs="Times New Roman"/>
                <w:b/>
                <w:bCs/>
              </w:rPr>
            </w:pPr>
            <w:r>
              <w:rPr>
                <w:rFonts w:ascii="Times New Roman" w:hAnsi="Times New Roman" w:cs="Times New Roman"/>
                <w:b/>
                <w:bCs/>
              </w:rPr>
              <w:t>5</w:t>
            </w:r>
          </w:p>
        </w:tc>
        <w:tc>
          <w:tcPr>
            <w:tcW w:w="895" w:type="dxa"/>
            <w:tcBorders>
              <w:top w:val="single" w:sz="12" w:space="0" w:color="auto"/>
              <w:left w:val="single" w:sz="2" w:space="0" w:color="auto"/>
              <w:bottom w:val="single" w:sz="2" w:space="0" w:color="auto"/>
              <w:right w:val="single" w:sz="12" w:space="0" w:color="auto"/>
            </w:tcBorders>
            <w:noWrap/>
            <w:hideMark/>
          </w:tcPr>
          <w:p w14:paraId="26AC2428" w14:textId="26E74849" w:rsidR="00F85D7C" w:rsidRPr="00CB5165" w:rsidRDefault="00F85D7C" w:rsidP="00F37E27">
            <w:pPr>
              <w:autoSpaceDE w:val="0"/>
              <w:autoSpaceDN w:val="0"/>
              <w:adjustRightInd w:val="0"/>
              <w:rPr>
                <w:rFonts w:ascii="Times New Roman" w:hAnsi="Times New Roman" w:cs="Times New Roman"/>
                <w:b/>
                <w:bCs/>
              </w:rPr>
            </w:pPr>
          </w:p>
        </w:tc>
      </w:tr>
      <w:tr w:rsidR="00F85D7C" w:rsidRPr="00CB5165" w14:paraId="2B329137" w14:textId="77777777" w:rsidTr="00B809FB">
        <w:trPr>
          <w:trHeight w:val="975"/>
        </w:trPr>
        <w:tc>
          <w:tcPr>
            <w:tcW w:w="7285" w:type="dxa"/>
            <w:tcBorders>
              <w:top w:val="single" w:sz="2" w:space="0" w:color="auto"/>
              <w:left w:val="single" w:sz="12" w:space="0" w:color="auto"/>
              <w:bottom w:val="single" w:sz="12" w:space="0" w:color="auto"/>
              <w:right w:val="single" w:sz="2" w:space="0" w:color="auto"/>
            </w:tcBorders>
            <w:hideMark/>
          </w:tcPr>
          <w:p w14:paraId="0BE55404" w14:textId="77777777" w:rsidR="00F85D7C" w:rsidRPr="00153BE4" w:rsidRDefault="00F85D7C" w:rsidP="00153BE4">
            <w:pPr>
              <w:pStyle w:val="ListParagraph"/>
              <w:numPr>
                <w:ilvl w:val="0"/>
                <w:numId w:val="38"/>
              </w:numPr>
              <w:autoSpaceDE w:val="0"/>
              <w:autoSpaceDN w:val="0"/>
              <w:adjustRightInd w:val="0"/>
              <w:rPr>
                <w:rFonts w:ascii="Times New Roman" w:hAnsi="Times New Roman" w:cs="Times New Roman"/>
              </w:rPr>
            </w:pPr>
            <w:r w:rsidRPr="00153BE4">
              <w:rPr>
                <w:rFonts w:ascii="Times New Roman" w:hAnsi="Times New Roman" w:cs="Times New Roman"/>
              </w:rPr>
              <w:t xml:space="preserve">Budget is complete. Budgeted items are cost-effective in relation to the proposed activities. Narrative is complete for all line items, clearly detailing how the applicant arrived at and calculated the budget amounts. </w:t>
            </w:r>
          </w:p>
        </w:tc>
        <w:tc>
          <w:tcPr>
            <w:tcW w:w="720" w:type="dxa"/>
            <w:tcBorders>
              <w:top w:val="single" w:sz="2" w:space="0" w:color="auto"/>
              <w:left w:val="single" w:sz="2" w:space="0" w:color="auto"/>
              <w:bottom w:val="single" w:sz="12" w:space="0" w:color="auto"/>
              <w:right w:val="single" w:sz="2" w:space="0" w:color="auto"/>
            </w:tcBorders>
            <w:noWrap/>
            <w:hideMark/>
          </w:tcPr>
          <w:p w14:paraId="77D4D6C5" w14:textId="1057C2CB" w:rsidR="00F85D7C" w:rsidRPr="00CB5165" w:rsidRDefault="00F85D7C" w:rsidP="00F85D7C">
            <w:pPr>
              <w:autoSpaceDE w:val="0"/>
              <w:autoSpaceDN w:val="0"/>
              <w:adjustRightInd w:val="0"/>
              <w:ind w:left="360"/>
              <w:rPr>
                <w:rFonts w:ascii="Times New Roman" w:hAnsi="Times New Roman" w:cs="Times New Roman"/>
              </w:rPr>
            </w:pPr>
          </w:p>
        </w:tc>
        <w:tc>
          <w:tcPr>
            <w:tcW w:w="895" w:type="dxa"/>
            <w:tcBorders>
              <w:top w:val="single" w:sz="2" w:space="0" w:color="auto"/>
              <w:left w:val="single" w:sz="2" w:space="0" w:color="auto"/>
              <w:bottom w:val="single" w:sz="12" w:space="0" w:color="auto"/>
              <w:right w:val="single" w:sz="12" w:space="0" w:color="auto"/>
            </w:tcBorders>
            <w:noWrap/>
            <w:hideMark/>
          </w:tcPr>
          <w:p w14:paraId="3B40420C" w14:textId="26041807" w:rsidR="00F85D7C" w:rsidRPr="00CB5165" w:rsidRDefault="00F37E27" w:rsidP="00F85D7C">
            <w:pPr>
              <w:autoSpaceDE w:val="0"/>
              <w:autoSpaceDN w:val="0"/>
              <w:adjustRightInd w:val="0"/>
              <w:ind w:left="360"/>
              <w:rPr>
                <w:rFonts w:ascii="Times New Roman" w:hAnsi="Times New Roman" w:cs="Times New Roman"/>
              </w:rPr>
            </w:pPr>
            <w:r>
              <w:rPr>
                <w:rFonts w:ascii="Times New Roman" w:hAnsi="Times New Roman" w:cs="Times New Roman"/>
              </w:rPr>
              <w:t>5</w:t>
            </w:r>
          </w:p>
        </w:tc>
      </w:tr>
      <w:tr w:rsidR="00F37E27" w:rsidRPr="00CB5165" w14:paraId="7D555B88" w14:textId="77777777" w:rsidTr="00B809FB">
        <w:trPr>
          <w:trHeight w:val="300"/>
        </w:trPr>
        <w:tc>
          <w:tcPr>
            <w:tcW w:w="7285" w:type="dxa"/>
            <w:tcBorders>
              <w:top w:val="single" w:sz="12" w:space="0" w:color="auto"/>
            </w:tcBorders>
            <w:hideMark/>
          </w:tcPr>
          <w:p w14:paraId="4DF9B010" w14:textId="77777777" w:rsidR="00F37E27" w:rsidRPr="00153BE4" w:rsidRDefault="00F37E27" w:rsidP="009E15AF">
            <w:pPr>
              <w:autoSpaceDE w:val="0"/>
              <w:autoSpaceDN w:val="0"/>
              <w:adjustRightInd w:val="0"/>
              <w:rPr>
                <w:rFonts w:ascii="Times New Roman" w:hAnsi="Times New Roman" w:cs="Times New Roman"/>
                <w:b/>
                <w:bCs/>
              </w:rPr>
            </w:pPr>
            <w:r w:rsidRPr="00153BE4">
              <w:rPr>
                <w:rFonts w:ascii="Times New Roman" w:hAnsi="Times New Roman" w:cs="Times New Roman"/>
                <w:b/>
                <w:bCs/>
              </w:rPr>
              <w:t>Total Possible Points</w:t>
            </w:r>
          </w:p>
        </w:tc>
        <w:tc>
          <w:tcPr>
            <w:tcW w:w="1615" w:type="dxa"/>
            <w:gridSpan w:val="2"/>
            <w:tcBorders>
              <w:top w:val="single" w:sz="12" w:space="0" w:color="auto"/>
            </w:tcBorders>
            <w:noWrap/>
            <w:hideMark/>
          </w:tcPr>
          <w:p w14:paraId="15BC8C0C" w14:textId="049F163D" w:rsidR="00F37E27" w:rsidRPr="00CB5165" w:rsidRDefault="00F37E27" w:rsidP="00F37E27">
            <w:pPr>
              <w:autoSpaceDE w:val="0"/>
              <w:autoSpaceDN w:val="0"/>
              <w:adjustRightInd w:val="0"/>
              <w:jc w:val="center"/>
              <w:rPr>
                <w:rFonts w:ascii="Times New Roman" w:hAnsi="Times New Roman" w:cs="Times New Roman"/>
                <w:b/>
                <w:bCs/>
              </w:rPr>
            </w:pPr>
            <w:r>
              <w:rPr>
                <w:rFonts w:ascii="Times New Roman" w:hAnsi="Times New Roman" w:cs="Times New Roman"/>
                <w:b/>
                <w:bCs/>
              </w:rPr>
              <w:t>100</w:t>
            </w:r>
          </w:p>
        </w:tc>
      </w:tr>
      <w:bookmarkEnd w:id="13"/>
    </w:tbl>
    <w:p w14:paraId="19A4BF63" w14:textId="77777777" w:rsidR="0046678E" w:rsidRPr="0012042A" w:rsidRDefault="0046678E" w:rsidP="00524564">
      <w:pPr>
        <w:widowControl w:val="0"/>
        <w:ind w:left="360"/>
        <w:jc w:val="both"/>
        <w:rPr>
          <w:color w:val="auto"/>
        </w:rPr>
      </w:pPr>
    </w:p>
    <w:p w14:paraId="5D56EC68" w14:textId="77777777" w:rsidR="00D63BCE" w:rsidRPr="0012042A" w:rsidRDefault="00D63BCE" w:rsidP="00524564">
      <w:pPr>
        <w:autoSpaceDE w:val="0"/>
        <w:autoSpaceDN w:val="0"/>
        <w:adjustRightInd w:val="0"/>
        <w:ind w:left="360"/>
        <w:rPr>
          <w:color w:val="auto"/>
        </w:rPr>
      </w:pPr>
    </w:p>
    <w:p w14:paraId="6C39A80F" w14:textId="630BD679" w:rsidR="005F1CC5" w:rsidRPr="0012042A" w:rsidRDefault="005F1CC5" w:rsidP="00524564">
      <w:pPr>
        <w:autoSpaceDE w:val="0"/>
        <w:autoSpaceDN w:val="0"/>
        <w:adjustRightInd w:val="0"/>
        <w:ind w:left="360"/>
        <w:rPr>
          <w:color w:val="auto"/>
        </w:rPr>
      </w:pPr>
    </w:p>
    <w:p w14:paraId="582FBB4B" w14:textId="760DBC52" w:rsidR="005F1CC5" w:rsidRPr="0012042A" w:rsidRDefault="005F1CC5" w:rsidP="00524564">
      <w:pPr>
        <w:autoSpaceDE w:val="0"/>
        <w:autoSpaceDN w:val="0"/>
        <w:adjustRightInd w:val="0"/>
        <w:ind w:left="360"/>
        <w:rPr>
          <w:b/>
          <w:i/>
          <w:color w:val="auto"/>
        </w:rPr>
      </w:pPr>
      <w:r w:rsidRPr="0012042A">
        <w:rPr>
          <w:b/>
          <w:i/>
          <w:color w:val="auto"/>
        </w:rPr>
        <w:t>2. Review and Selection Process</w:t>
      </w:r>
    </w:p>
    <w:p w14:paraId="7FDA445E" w14:textId="77777777" w:rsidR="00F93424" w:rsidRPr="0012042A" w:rsidRDefault="00F93424" w:rsidP="00524564">
      <w:pPr>
        <w:autoSpaceDE w:val="0"/>
        <w:autoSpaceDN w:val="0"/>
        <w:adjustRightInd w:val="0"/>
        <w:ind w:left="360"/>
        <w:rPr>
          <w:color w:val="auto"/>
        </w:rPr>
      </w:pPr>
    </w:p>
    <w:p w14:paraId="3FC0B534" w14:textId="77777777" w:rsidR="008B6BE8" w:rsidRPr="0012042A" w:rsidRDefault="008B6BE8" w:rsidP="00524564">
      <w:pPr>
        <w:autoSpaceDE w:val="0"/>
        <w:autoSpaceDN w:val="0"/>
        <w:adjustRightInd w:val="0"/>
        <w:ind w:left="360"/>
        <w:rPr>
          <w:color w:val="auto"/>
        </w:rPr>
      </w:pPr>
    </w:p>
    <w:p w14:paraId="3146C8CB" w14:textId="4F2C5718" w:rsidR="008D0C09" w:rsidRPr="0012042A" w:rsidRDefault="00245C6F" w:rsidP="00524564">
      <w:pPr>
        <w:ind w:left="360"/>
        <w:contextualSpacing/>
        <w:rPr>
          <w:color w:val="auto"/>
        </w:rPr>
      </w:pPr>
      <w:r w:rsidRPr="0012042A">
        <w:rPr>
          <w:color w:val="auto"/>
        </w:rPr>
        <w:lastRenderedPageBreak/>
        <w:t xml:space="preserve">All applications will be screened for completeness and GATA ICQ submission for the current </w:t>
      </w:r>
      <w:r w:rsidR="004A4DFD" w:rsidRPr="0012042A">
        <w:rPr>
          <w:color w:val="auto"/>
        </w:rPr>
        <w:t>state fiscal year</w:t>
      </w:r>
      <w:r w:rsidRPr="0012042A">
        <w:rPr>
          <w:color w:val="auto"/>
        </w:rPr>
        <w:t xml:space="preserve">. Applications from agencies do not have a current ICQ submitted by the date of application will not be reviewed.  </w:t>
      </w:r>
    </w:p>
    <w:p w14:paraId="7A339D47" w14:textId="36F6634F" w:rsidR="008D0C09" w:rsidRPr="0012042A" w:rsidRDefault="008D0C09" w:rsidP="00524564">
      <w:pPr>
        <w:ind w:left="0"/>
        <w:contextualSpacing/>
        <w:rPr>
          <w:color w:val="auto"/>
        </w:rPr>
      </w:pPr>
    </w:p>
    <w:p w14:paraId="777B8E2F" w14:textId="77777777" w:rsidR="00035B41" w:rsidRPr="0012042A" w:rsidRDefault="00035B41" w:rsidP="00035B41">
      <w:pPr>
        <w:ind w:left="360"/>
        <w:contextualSpacing/>
        <w:rPr>
          <w:color w:val="auto"/>
        </w:rPr>
      </w:pPr>
      <w:r w:rsidRPr="0012042A">
        <w:rPr>
          <w:color w:val="auto"/>
        </w:rPr>
        <w:t>Selection of proposals that pass the screening process will be reviewed by a scoring panel of ICJIA staff. Scores will be based on the average of team scores. Past performance history and/or financial standing with ICJIA may also be considered.</w:t>
      </w:r>
    </w:p>
    <w:p w14:paraId="63414D4F" w14:textId="77777777" w:rsidR="00245C6F" w:rsidRPr="0012042A" w:rsidRDefault="00245C6F" w:rsidP="00524564">
      <w:pPr>
        <w:ind w:left="0"/>
        <w:contextualSpacing/>
        <w:rPr>
          <w:color w:val="auto"/>
        </w:rPr>
      </w:pPr>
    </w:p>
    <w:p w14:paraId="1BD3BA3C" w14:textId="76296FF0" w:rsidR="00245C6F" w:rsidRPr="0012042A" w:rsidRDefault="00245C6F" w:rsidP="00524564">
      <w:pPr>
        <w:ind w:left="360"/>
        <w:contextualSpacing/>
        <w:rPr>
          <w:color w:val="auto"/>
        </w:rPr>
      </w:pPr>
      <w:r w:rsidRPr="0012042A">
        <w:rPr>
          <w:color w:val="auto"/>
        </w:rPr>
        <w:t xml:space="preserve">ICJIA reserves the right to reject any or all incomplete proposals, proposals including unallowable activities, proposals that fail to meet eligibility or program requirements, or proposals that are otherwise deemed to be unsatisfactory. ICJIA also reserves the right to invite applicants to </w:t>
      </w:r>
      <w:r w:rsidR="00741BF9" w:rsidRPr="0012042A">
        <w:rPr>
          <w:color w:val="auto"/>
        </w:rPr>
        <w:t>answer clarifying questions and</w:t>
      </w:r>
      <w:r w:rsidRPr="0012042A">
        <w:rPr>
          <w:color w:val="auto"/>
        </w:rPr>
        <w:t xml:space="preserve"> modify budgets that include unallowable or unreasonable costs. </w:t>
      </w:r>
    </w:p>
    <w:p w14:paraId="1752E0EE" w14:textId="77777777" w:rsidR="004C2782" w:rsidRPr="0012042A" w:rsidRDefault="004C2782" w:rsidP="00524564">
      <w:pPr>
        <w:contextualSpacing/>
        <w:rPr>
          <w:color w:val="auto"/>
        </w:rPr>
      </w:pPr>
    </w:p>
    <w:p w14:paraId="7F5993F9" w14:textId="55B539E1" w:rsidR="008B6BE8" w:rsidRPr="0012042A" w:rsidRDefault="008B6BE8" w:rsidP="00524564">
      <w:pPr>
        <w:ind w:left="360"/>
        <w:contextualSpacing/>
        <w:rPr>
          <w:color w:val="auto"/>
        </w:rPr>
      </w:pPr>
      <w:r w:rsidRPr="0012042A">
        <w:rPr>
          <w:color w:val="auto"/>
        </w:rPr>
        <w:t xml:space="preserve">Successful applicants whose applications contained unallowable or unreasonable costs will have their award reduced by the total amount of those costs. Upon applicant acceptance of the grant award, announcement of the grant award shall be published by the awarding agency to the GATA portal. </w:t>
      </w:r>
      <w:r w:rsidR="00741BF9" w:rsidRPr="0012042A">
        <w:rPr>
          <w:color w:val="auto"/>
        </w:rPr>
        <w:t xml:space="preserve"> </w:t>
      </w:r>
      <w:r w:rsidRPr="0012042A">
        <w:rPr>
          <w:color w:val="auto"/>
        </w:rPr>
        <w:t xml:space="preserve">Review team recommendations will be forwarded to </w:t>
      </w:r>
      <w:r w:rsidR="00035B41" w:rsidRPr="0012042A">
        <w:rPr>
          <w:color w:val="auto"/>
        </w:rPr>
        <w:t>the ICJIA Budget</w:t>
      </w:r>
      <w:r w:rsidRPr="0012042A">
        <w:rPr>
          <w:color w:val="auto"/>
        </w:rPr>
        <w:t xml:space="preserve"> Committee for approval. Applicants will be notified of the </w:t>
      </w:r>
      <w:r w:rsidR="00035B41" w:rsidRPr="0012042A">
        <w:rPr>
          <w:color w:val="auto"/>
        </w:rPr>
        <w:t>Budget</w:t>
      </w:r>
      <w:r w:rsidR="002C4649" w:rsidRPr="0012042A">
        <w:rPr>
          <w:color w:val="auto"/>
        </w:rPr>
        <w:t xml:space="preserve"> </w:t>
      </w:r>
      <w:r w:rsidRPr="0012042A">
        <w:rPr>
          <w:color w:val="auto"/>
        </w:rPr>
        <w:t xml:space="preserve">Committee's decision. </w:t>
      </w:r>
    </w:p>
    <w:p w14:paraId="1BCD96E0" w14:textId="77777777" w:rsidR="008B6BE8" w:rsidRPr="0012042A" w:rsidRDefault="008B6BE8" w:rsidP="00524564">
      <w:pPr>
        <w:autoSpaceDE w:val="0"/>
        <w:autoSpaceDN w:val="0"/>
        <w:adjustRightInd w:val="0"/>
        <w:ind w:left="360"/>
        <w:rPr>
          <w:color w:val="auto"/>
        </w:rPr>
      </w:pPr>
    </w:p>
    <w:p w14:paraId="79BF36D9" w14:textId="77777777" w:rsidR="00F93424" w:rsidRPr="0012042A" w:rsidRDefault="009A0703" w:rsidP="00524564">
      <w:pPr>
        <w:ind w:left="360"/>
        <w:rPr>
          <w:color w:val="auto"/>
        </w:rPr>
      </w:pPr>
      <w:r w:rsidRPr="0012042A">
        <w:rPr>
          <w:b/>
          <w:i/>
          <w:color w:val="auto"/>
        </w:rPr>
        <w:t>3.</w:t>
      </w:r>
      <w:r w:rsidRPr="0012042A">
        <w:rPr>
          <w:b/>
          <w:color w:val="auto"/>
        </w:rPr>
        <w:t xml:space="preserve"> </w:t>
      </w:r>
      <w:r w:rsidRPr="0012042A">
        <w:rPr>
          <w:b/>
          <w:i/>
          <w:color w:val="auto"/>
        </w:rPr>
        <w:t>Appeal Process</w:t>
      </w:r>
      <w:r w:rsidRPr="0012042A">
        <w:rPr>
          <w:color w:val="auto"/>
        </w:rPr>
        <w:t xml:space="preserve"> </w:t>
      </w:r>
    </w:p>
    <w:p w14:paraId="48C21D1A" w14:textId="77777777" w:rsidR="00F93424" w:rsidRPr="0012042A" w:rsidRDefault="00F93424" w:rsidP="00524564">
      <w:pPr>
        <w:ind w:left="360"/>
        <w:rPr>
          <w:color w:val="auto"/>
        </w:rPr>
      </w:pPr>
    </w:p>
    <w:p w14:paraId="76D0ED3B" w14:textId="37A825E2" w:rsidR="00741BF9" w:rsidRPr="0012042A" w:rsidRDefault="00741BF9" w:rsidP="00524564">
      <w:pPr>
        <w:ind w:left="360"/>
        <w:rPr>
          <w:color w:val="auto"/>
        </w:rPr>
      </w:pPr>
      <w:r w:rsidRPr="0012042A">
        <w:rPr>
          <w:color w:val="auto"/>
        </w:rPr>
        <w:t>Unsuccessful applicants may request a formal appeal. Only the evaluation process is subject to appeal. Evaluation scores and funding determinations may not be contested and will not be considered by ICJIA’s Appeals Review Officer. The appeal must be via email and submitted within 14 calendar days after either the date the grant award notice is published or receipt of a Funding Opportunity Declination Letter from ICJIA, whichever comes first. The written appeal must include, at a minimum, the following:</w:t>
      </w:r>
    </w:p>
    <w:p w14:paraId="4829DDAE" w14:textId="77777777" w:rsidR="00741BF9" w:rsidRPr="0012042A" w:rsidRDefault="00741BF9" w:rsidP="00524564">
      <w:pPr>
        <w:ind w:left="360"/>
        <w:rPr>
          <w:color w:val="auto"/>
        </w:rPr>
      </w:pPr>
    </w:p>
    <w:p w14:paraId="092A2FC2" w14:textId="77777777" w:rsidR="00741BF9" w:rsidRPr="0012042A" w:rsidRDefault="00741BF9" w:rsidP="00524564">
      <w:pPr>
        <w:pStyle w:val="ListParagraph"/>
        <w:numPr>
          <w:ilvl w:val="0"/>
          <w:numId w:val="14"/>
        </w:numPr>
        <w:ind w:left="1440"/>
        <w:rPr>
          <w:color w:val="auto"/>
        </w:rPr>
      </w:pPr>
      <w:r w:rsidRPr="0012042A">
        <w:rPr>
          <w:color w:val="auto"/>
        </w:rPr>
        <w:t>Statement indicating a request for a formal appeal.</w:t>
      </w:r>
    </w:p>
    <w:p w14:paraId="3276ED42" w14:textId="77777777" w:rsidR="00741BF9" w:rsidRPr="0012042A" w:rsidRDefault="00741BF9" w:rsidP="00524564">
      <w:pPr>
        <w:pStyle w:val="ListParagraph"/>
        <w:numPr>
          <w:ilvl w:val="0"/>
          <w:numId w:val="14"/>
        </w:numPr>
        <w:ind w:left="1440"/>
        <w:rPr>
          <w:color w:val="auto"/>
        </w:rPr>
      </w:pPr>
      <w:r w:rsidRPr="0012042A">
        <w:rPr>
          <w:color w:val="auto"/>
        </w:rPr>
        <w:t>The name and address of the appealing party.</w:t>
      </w:r>
    </w:p>
    <w:p w14:paraId="1778D745" w14:textId="77777777" w:rsidR="00741BF9" w:rsidRPr="0012042A" w:rsidRDefault="00741BF9" w:rsidP="00524564">
      <w:pPr>
        <w:pStyle w:val="ListParagraph"/>
        <w:numPr>
          <w:ilvl w:val="0"/>
          <w:numId w:val="14"/>
        </w:numPr>
        <w:ind w:left="1440"/>
        <w:rPr>
          <w:color w:val="auto"/>
        </w:rPr>
      </w:pPr>
      <w:r w:rsidRPr="0012042A">
        <w:rPr>
          <w:color w:val="auto"/>
        </w:rPr>
        <w:t>Identification of the grant program.</w:t>
      </w:r>
    </w:p>
    <w:p w14:paraId="11E720D3" w14:textId="77777777" w:rsidR="00741BF9" w:rsidRPr="0012042A" w:rsidRDefault="00741BF9" w:rsidP="00524564">
      <w:pPr>
        <w:pStyle w:val="ListParagraph"/>
        <w:numPr>
          <w:ilvl w:val="0"/>
          <w:numId w:val="14"/>
        </w:numPr>
        <w:ind w:left="1440"/>
        <w:rPr>
          <w:color w:val="auto"/>
        </w:rPr>
      </w:pPr>
      <w:r w:rsidRPr="0012042A">
        <w:rPr>
          <w:color w:val="auto"/>
        </w:rPr>
        <w:t xml:space="preserve">A statement of reason for the appeal. </w:t>
      </w:r>
    </w:p>
    <w:p w14:paraId="6AE2FF50" w14:textId="77777777" w:rsidR="00741BF9" w:rsidRPr="0012042A" w:rsidRDefault="00741BF9" w:rsidP="00524564">
      <w:pPr>
        <w:ind w:left="360"/>
        <w:rPr>
          <w:color w:val="auto"/>
        </w:rPr>
      </w:pPr>
    </w:p>
    <w:p w14:paraId="216996E7" w14:textId="77777777" w:rsidR="00741BF9" w:rsidRPr="0012042A" w:rsidRDefault="00741BF9" w:rsidP="00524564">
      <w:pPr>
        <w:ind w:left="360"/>
        <w:rPr>
          <w:color w:val="auto"/>
        </w:rPr>
      </w:pPr>
      <w:r w:rsidRPr="0012042A">
        <w:rPr>
          <w:color w:val="auto"/>
        </w:rPr>
        <w:t>Please send your appeal to:</w:t>
      </w:r>
    </w:p>
    <w:p w14:paraId="6ACED2B0" w14:textId="77777777" w:rsidR="00741BF9" w:rsidRPr="0012042A" w:rsidRDefault="00741BF9" w:rsidP="00524564">
      <w:pPr>
        <w:ind w:left="360"/>
        <w:rPr>
          <w:color w:val="auto"/>
        </w:rPr>
      </w:pPr>
    </w:p>
    <w:p w14:paraId="1B75A1AD" w14:textId="77777777" w:rsidR="00741BF9" w:rsidRPr="0012042A" w:rsidRDefault="00741BF9" w:rsidP="00524564">
      <w:pPr>
        <w:ind w:left="360"/>
        <w:rPr>
          <w:color w:val="auto"/>
        </w:rPr>
      </w:pPr>
      <w:r w:rsidRPr="0012042A">
        <w:rPr>
          <w:color w:val="auto"/>
        </w:rPr>
        <w:t xml:space="preserve">Appeals Review Officer </w:t>
      </w:r>
    </w:p>
    <w:p w14:paraId="0AC82784" w14:textId="77777777" w:rsidR="00741BF9" w:rsidRPr="0012042A" w:rsidRDefault="00741BF9" w:rsidP="00524564">
      <w:pPr>
        <w:ind w:left="360"/>
        <w:rPr>
          <w:color w:val="auto"/>
        </w:rPr>
      </w:pPr>
      <w:r w:rsidRPr="0012042A">
        <w:rPr>
          <w:color w:val="auto"/>
        </w:rPr>
        <w:t xml:space="preserve">Illinois Criminal Justice Information Authority </w:t>
      </w:r>
    </w:p>
    <w:p w14:paraId="3BA0B93D" w14:textId="77777777" w:rsidR="00741BF9" w:rsidRPr="0012042A" w:rsidRDefault="00F576EF" w:rsidP="00524564">
      <w:pPr>
        <w:ind w:left="360"/>
        <w:rPr>
          <w:color w:val="auto"/>
        </w:rPr>
      </w:pPr>
      <w:hyperlink r:id="rId19" w:history="1">
        <w:r w:rsidR="00741BF9" w:rsidRPr="0012042A">
          <w:rPr>
            <w:rStyle w:val="Hyperlink"/>
            <w:color w:val="auto"/>
          </w:rPr>
          <w:t>Cja.aro@Illinois.gov</w:t>
        </w:r>
      </w:hyperlink>
      <w:r w:rsidR="00741BF9" w:rsidRPr="0012042A">
        <w:rPr>
          <w:color w:val="auto"/>
        </w:rPr>
        <w:t xml:space="preserve">  </w:t>
      </w:r>
    </w:p>
    <w:p w14:paraId="1FEF1B2D" w14:textId="77777777" w:rsidR="00741BF9" w:rsidRPr="0012042A" w:rsidRDefault="00741BF9" w:rsidP="00524564">
      <w:pPr>
        <w:ind w:left="360"/>
        <w:rPr>
          <w:color w:val="auto"/>
        </w:rPr>
      </w:pPr>
    </w:p>
    <w:p w14:paraId="32F241CC" w14:textId="77777777" w:rsidR="00741BF9" w:rsidRPr="0012042A" w:rsidRDefault="00741BF9" w:rsidP="00524564">
      <w:pPr>
        <w:ind w:left="360"/>
        <w:rPr>
          <w:color w:val="auto"/>
        </w:rPr>
      </w:pPr>
      <w:r w:rsidRPr="0012042A">
        <w:rPr>
          <w:color w:val="auto"/>
        </w:rPr>
        <w:t xml:space="preserve">Once an appeal is received, ICJIA will acknowledge receipt of an appeal within 14 calendar days from the date the appeal was received. ICJIA will respond to the appeal, in writing, within 60 days or supply a written explanation as to why additional time is required. The appealing party must supply any additional information requested by </w:t>
      </w:r>
      <w:r w:rsidRPr="0012042A">
        <w:rPr>
          <w:color w:val="auto"/>
        </w:rPr>
        <w:lastRenderedPageBreak/>
        <w:t xml:space="preserve">ICJIA within the </w:t>
      </w:r>
      <w:proofErr w:type="gramStart"/>
      <w:r w:rsidRPr="0012042A">
        <w:rPr>
          <w:color w:val="auto"/>
        </w:rPr>
        <w:t>time period</w:t>
      </w:r>
      <w:proofErr w:type="gramEnd"/>
      <w:r w:rsidRPr="0012042A">
        <w:rPr>
          <w:color w:val="auto"/>
        </w:rPr>
        <w:t xml:space="preserve"> set in the request. ICJIA will resolve the appeal by means of written determination. </w:t>
      </w:r>
    </w:p>
    <w:p w14:paraId="12D30EA5" w14:textId="77777777" w:rsidR="00741BF9" w:rsidRPr="0012042A" w:rsidRDefault="00741BF9" w:rsidP="00524564">
      <w:pPr>
        <w:ind w:left="360"/>
        <w:rPr>
          <w:color w:val="auto"/>
        </w:rPr>
      </w:pPr>
    </w:p>
    <w:p w14:paraId="45E59A1F" w14:textId="77777777" w:rsidR="00741BF9" w:rsidRPr="0012042A" w:rsidRDefault="00741BF9" w:rsidP="00524564">
      <w:pPr>
        <w:ind w:left="360"/>
        <w:rPr>
          <w:color w:val="auto"/>
        </w:rPr>
      </w:pPr>
      <w:r w:rsidRPr="0012042A">
        <w:rPr>
          <w:color w:val="auto"/>
        </w:rPr>
        <w:t xml:space="preserve">The determination will include: </w:t>
      </w:r>
    </w:p>
    <w:p w14:paraId="14566A5C" w14:textId="77777777" w:rsidR="00741BF9" w:rsidRPr="0012042A" w:rsidRDefault="00741BF9" w:rsidP="00524564">
      <w:pPr>
        <w:pStyle w:val="ListParagraph"/>
        <w:ind w:left="360"/>
        <w:rPr>
          <w:color w:val="auto"/>
        </w:rPr>
      </w:pPr>
    </w:p>
    <w:p w14:paraId="523B0FC1" w14:textId="77777777" w:rsidR="00741BF9" w:rsidRPr="0012042A" w:rsidRDefault="00741BF9" w:rsidP="00524564">
      <w:pPr>
        <w:pStyle w:val="ListParagraph"/>
        <w:numPr>
          <w:ilvl w:val="0"/>
          <w:numId w:val="11"/>
        </w:numPr>
        <w:ind w:left="1440"/>
        <w:rPr>
          <w:color w:val="auto"/>
        </w:rPr>
      </w:pPr>
      <w:r w:rsidRPr="0012042A">
        <w:rPr>
          <w:color w:val="auto"/>
        </w:rPr>
        <w:t xml:space="preserve">Review of the appeal. </w:t>
      </w:r>
    </w:p>
    <w:p w14:paraId="3ED85221" w14:textId="77777777" w:rsidR="00741BF9" w:rsidRPr="0012042A" w:rsidRDefault="00741BF9" w:rsidP="00524564">
      <w:pPr>
        <w:pStyle w:val="ListParagraph"/>
        <w:numPr>
          <w:ilvl w:val="0"/>
          <w:numId w:val="11"/>
        </w:numPr>
        <w:ind w:left="1440"/>
        <w:rPr>
          <w:color w:val="auto"/>
        </w:rPr>
      </w:pPr>
      <w:r w:rsidRPr="0012042A">
        <w:rPr>
          <w:color w:val="auto"/>
        </w:rPr>
        <w:t xml:space="preserve">Appeal determination. </w:t>
      </w:r>
    </w:p>
    <w:p w14:paraId="0BD38EDD" w14:textId="77777777" w:rsidR="00741BF9" w:rsidRPr="0012042A" w:rsidRDefault="00741BF9" w:rsidP="00524564">
      <w:pPr>
        <w:pStyle w:val="ListParagraph"/>
        <w:numPr>
          <w:ilvl w:val="0"/>
          <w:numId w:val="11"/>
        </w:numPr>
        <w:ind w:left="1440"/>
        <w:rPr>
          <w:color w:val="auto"/>
        </w:rPr>
      </w:pPr>
      <w:r w:rsidRPr="0012042A">
        <w:rPr>
          <w:color w:val="auto"/>
        </w:rPr>
        <w:t>Rationale for the determination.</w:t>
      </w:r>
    </w:p>
    <w:p w14:paraId="4E1C63B7" w14:textId="77777777" w:rsidR="00741BF9" w:rsidRPr="0012042A" w:rsidRDefault="00741BF9" w:rsidP="00524564">
      <w:pPr>
        <w:pStyle w:val="ListParagraph"/>
        <w:numPr>
          <w:ilvl w:val="0"/>
          <w:numId w:val="11"/>
        </w:numPr>
        <w:ind w:left="1440"/>
        <w:rPr>
          <w:color w:val="auto"/>
        </w:rPr>
      </w:pPr>
      <w:r w:rsidRPr="0012042A">
        <w:rPr>
          <w:color w:val="auto"/>
        </w:rPr>
        <w:t>Standard description of the appeal review process and criteria.</w:t>
      </w:r>
    </w:p>
    <w:p w14:paraId="20429F65" w14:textId="1A923A3D" w:rsidR="00E45110" w:rsidRPr="0012042A" w:rsidRDefault="00E45110" w:rsidP="00524564">
      <w:pPr>
        <w:rPr>
          <w:color w:val="auto"/>
        </w:rPr>
      </w:pPr>
    </w:p>
    <w:p w14:paraId="43285EF5" w14:textId="77777777" w:rsidR="00F93424" w:rsidRPr="0012042A" w:rsidRDefault="00741BF9" w:rsidP="00524564">
      <w:pPr>
        <w:ind w:left="360"/>
        <w:rPr>
          <w:color w:val="auto"/>
        </w:rPr>
      </w:pPr>
      <w:r w:rsidRPr="0012042A">
        <w:rPr>
          <w:b/>
          <w:i/>
          <w:color w:val="auto"/>
        </w:rPr>
        <w:t>4. Debriefing Process</w:t>
      </w:r>
      <w:r w:rsidRPr="0012042A">
        <w:rPr>
          <w:color w:val="auto"/>
        </w:rPr>
        <w:t xml:space="preserve"> </w:t>
      </w:r>
    </w:p>
    <w:p w14:paraId="00645CA1" w14:textId="77777777" w:rsidR="00F93424" w:rsidRPr="0012042A" w:rsidRDefault="00F93424" w:rsidP="00524564">
      <w:pPr>
        <w:ind w:left="360"/>
        <w:rPr>
          <w:color w:val="auto"/>
        </w:rPr>
      </w:pPr>
    </w:p>
    <w:p w14:paraId="13DE0388" w14:textId="7ECFAE73" w:rsidR="00741BF9" w:rsidRPr="0012042A" w:rsidRDefault="00741BF9" w:rsidP="00524564">
      <w:pPr>
        <w:ind w:left="360"/>
        <w:rPr>
          <w:color w:val="auto"/>
        </w:rPr>
      </w:pPr>
      <w:r w:rsidRPr="0012042A">
        <w:rPr>
          <w:color w:val="auto"/>
        </w:rPr>
        <w:t xml:space="preserve">Unsuccessful applicants may request a debriefing for feedback that could help them improve future funding applications. Debriefings will take the form of written advice to applicants on the strengths and weaknesses of their applications in terms of the evaluation and review criteria. </w:t>
      </w:r>
    </w:p>
    <w:p w14:paraId="473A2A62" w14:textId="77777777" w:rsidR="00741BF9" w:rsidRPr="0012042A" w:rsidRDefault="00741BF9" w:rsidP="00524564">
      <w:pPr>
        <w:pStyle w:val="ListParagraph"/>
        <w:ind w:left="0"/>
        <w:rPr>
          <w:color w:val="auto"/>
        </w:rPr>
      </w:pPr>
    </w:p>
    <w:p w14:paraId="1D78D15D" w14:textId="77777777" w:rsidR="00741BF9" w:rsidRPr="0012042A" w:rsidRDefault="00741BF9" w:rsidP="00524564">
      <w:pPr>
        <w:pStyle w:val="ListParagraph"/>
        <w:ind w:left="360"/>
        <w:rPr>
          <w:color w:val="auto"/>
        </w:rPr>
      </w:pPr>
      <w:r w:rsidRPr="0012042A">
        <w:rPr>
          <w:color w:val="auto"/>
        </w:rPr>
        <w:t xml:space="preserve">Requests for debriefings must be made via email and submitted within seven calendar days after receipt of notice. Debriefing requests will not be granted if there is an active appeal, administrative action, or court proceeding. The written debriefing requests shall include at a minimum the following: </w:t>
      </w:r>
    </w:p>
    <w:p w14:paraId="3F049582" w14:textId="77777777" w:rsidR="00741BF9" w:rsidRPr="0012042A" w:rsidRDefault="00741BF9" w:rsidP="00524564">
      <w:pPr>
        <w:pStyle w:val="ListParagraph"/>
        <w:ind w:left="0"/>
        <w:rPr>
          <w:color w:val="auto"/>
        </w:rPr>
      </w:pPr>
    </w:p>
    <w:p w14:paraId="2DE862F6" w14:textId="2419AD02" w:rsidR="00741BF9" w:rsidRPr="0012042A" w:rsidRDefault="00741BF9" w:rsidP="00524564">
      <w:pPr>
        <w:pStyle w:val="ListParagraph"/>
        <w:numPr>
          <w:ilvl w:val="0"/>
          <w:numId w:val="15"/>
        </w:numPr>
        <w:rPr>
          <w:color w:val="auto"/>
        </w:rPr>
      </w:pPr>
      <w:r w:rsidRPr="0012042A">
        <w:rPr>
          <w:color w:val="auto"/>
        </w:rPr>
        <w:t>The name and address of the requesting party</w:t>
      </w:r>
    </w:p>
    <w:p w14:paraId="47293CD3" w14:textId="080EDAEE" w:rsidR="00741BF9" w:rsidRPr="0012042A" w:rsidRDefault="00741BF9" w:rsidP="00524564">
      <w:pPr>
        <w:pStyle w:val="ListParagraph"/>
        <w:numPr>
          <w:ilvl w:val="0"/>
          <w:numId w:val="15"/>
        </w:numPr>
        <w:rPr>
          <w:color w:val="auto"/>
        </w:rPr>
      </w:pPr>
      <w:r w:rsidRPr="0012042A">
        <w:rPr>
          <w:color w:val="auto"/>
        </w:rPr>
        <w:t>Identification of grant program</w:t>
      </w:r>
    </w:p>
    <w:p w14:paraId="140F531B" w14:textId="3CF18E97" w:rsidR="00741BF9" w:rsidRPr="0012042A" w:rsidRDefault="00741BF9" w:rsidP="00524564">
      <w:pPr>
        <w:pStyle w:val="ListParagraph"/>
        <w:numPr>
          <w:ilvl w:val="0"/>
          <w:numId w:val="15"/>
        </w:numPr>
        <w:rPr>
          <w:color w:val="auto"/>
        </w:rPr>
      </w:pPr>
      <w:r w:rsidRPr="0012042A">
        <w:rPr>
          <w:color w:val="auto"/>
        </w:rPr>
        <w:t>Reasons for the debrief request</w:t>
      </w:r>
    </w:p>
    <w:p w14:paraId="2AF3EE3A" w14:textId="77777777" w:rsidR="00741BF9" w:rsidRPr="0012042A" w:rsidRDefault="00741BF9" w:rsidP="00524564">
      <w:pPr>
        <w:pStyle w:val="ListParagraph"/>
        <w:ind w:left="0"/>
        <w:rPr>
          <w:color w:val="auto"/>
        </w:rPr>
      </w:pPr>
    </w:p>
    <w:p w14:paraId="6B07027B" w14:textId="77777777" w:rsidR="00741BF9" w:rsidRPr="0012042A" w:rsidRDefault="00741BF9" w:rsidP="00524564">
      <w:pPr>
        <w:pStyle w:val="ListParagraph"/>
        <w:ind w:left="360"/>
        <w:rPr>
          <w:color w:val="auto"/>
        </w:rPr>
      </w:pPr>
      <w:r w:rsidRPr="0012042A">
        <w:rPr>
          <w:color w:val="auto"/>
        </w:rPr>
        <w:t>Please send requests to:</w:t>
      </w:r>
    </w:p>
    <w:p w14:paraId="22D003A2" w14:textId="27F5161F" w:rsidR="00E45110" w:rsidRPr="0012042A" w:rsidRDefault="00E45110" w:rsidP="00524564">
      <w:pPr>
        <w:ind w:left="0"/>
        <w:rPr>
          <w:color w:val="auto"/>
        </w:rPr>
      </w:pPr>
    </w:p>
    <w:p w14:paraId="2128318C" w14:textId="0BBD9911" w:rsidR="00E45110" w:rsidRPr="0012042A" w:rsidRDefault="00D746C0" w:rsidP="00524564">
      <w:pPr>
        <w:ind w:left="360"/>
        <w:rPr>
          <w:color w:val="auto"/>
        </w:rPr>
      </w:pPr>
      <w:r w:rsidRPr="0012042A">
        <w:rPr>
          <w:color w:val="auto"/>
        </w:rPr>
        <w:t>Shai Hoffman</w:t>
      </w:r>
      <w:r w:rsidR="00E45110" w:rsidRPr="0012042A">
        <w:rPr>
          <w:color w:val="auto"/>
        </w:rPr>
        <w:t xml:space="preserve"> </w:t>
      </w:r>
    </w:p>
    <w:p w14:paraId="1E019D94" w14:textId="77777777" w:rsidR="00E45110" w:rsidRPr="0012042A" w:rsidRDefault="00E45110" w:rsidP="00524564">
      <w:pPr>
        <w:ind w:left="360"/>
        <w:rPr>
          <w:color w:val="auto"/>
        </w:rPr>
      </w:pPr>
      <w:r w:rsidRPr="0012042A">
        <w:rPr>
          <w:color w:val="auto"/>
        </w:rPr>
        <w:t>Illinois Criminal Justice Information Authority</w:t>
      </w:r>
    </w:p>
    <w:p w14:paraId="3F0708D0" w14:textId="73EAFDDF" w:rsidR="00E45110" w:rsidRPr="0012042A" w:rsidRDefault="00885FB3" w:rsidP="00524564">
      <w:pPr>
        <w:ind w:left="360"/>
        <w:rPr>
          <w:color w:val="auto"/>
        </w:rPr>
      </w:pPr>
      <w:r w:rsidRPr="0012042A">
        <w:rPr>
          <w:b/>
          <w:color w:val="auto"/>
        </w:rPr>
        <w:t>CJA.StateViolencePrevention</w:t>
      </w:r>
      <w:r w:rsidR="00E45110" w:rsidRPr="0012042A">
        <w:rPr>
          <w:b/>
          <w:color w:val="auto"/>
        </w:rPr>
        <w:t>@Illinois.gov</w:t>
      </w:r>
      <w:r w:rsidR="00E45110" w:rsidRPr="0012042A">
        <w:rPr>
          <w:color w:val="auto"/>
        </w:rPr>
        <w:t xml:space="preserve"> </w:t>
      </w:r>
    </w:p>
    <w:p w14:paraId="0BE9E96F" w14:textId="77777777" w:rsidR="00E45110" w:rsidRPr="0012042A" w:rsidRDefault="00E45110" w:rsidP="00524564">
      <w:pPr>
        <w:rPr>
          <w:color w:val="auto"/>
        </w:rPr>
      </w:pPr>
    </w:p>
    <w:p w14:paraId="3CABC64D" w14:textId="77777777" w:rsidR="00F93424" w:rsidRPr="0012042A" w:rsidRDefault="00E45110" w:rsidP="00524564">
      <w:pPr>
        <w:ind w:left="360"/>
        <w:rPr>
          <w:b/>
          <w:color w:val="auto"/>
        </w:rPr>
      </w:pPr>
      <w:r w:rsidRPr="0012042A">
        <w:rPr>
          <w:b/>
          <w:i/>
          <w:color w:val="auto"/>
        </w:rPr>
        <w:t>5. Programmatic Risk Assessment</w:t>
      </w:r>
      <w:r w:rsidRPr="0012042A">
        <w:rPr>
          <w:b/>
          <w:color w:val="auto"/>
        </w:rPr>
        <w:t xml:space="preserve"> </w:t>
      </w:r>
    </w:p>
    <w:p w14:paraId="3F02F307" w14:textId="77777777" w:rsidR="00F93424" w:rsidRPr="0012042A" w:rsidRDefault="00F93424" w:rsidP="00524564">
      <w:pPr>
        <w:ind w:left="360"/>
        <w:rPr>
          <w:b/>
          <w:color w:val="auto"/>
        </w:rPr>
      </w:pPr>
    </w:p>
    <w:p w14:paraId="41719FDC" w14:textId="24E34CB8" w:rsidR="00E45110" w:rsidRPr="0012042A" w:rsidRDefault="00E45110" w:rsidP="00524564">
      <w:pPr>
        <w:ind w:left="360"/>
        <w:rPr>
          <w:color w:val="auto"/>
        </w:rPr>
      </w:pPr>
      <w:r w:rsidRPr="0012042A">
        <w:rPr>
          <w:color w:val="auto"/>
        </w:rPr>
        <w:t xml:space="preserve">All applicant agencies recommended for funding will be required to submit a completed ICJIA Programmatic Risk Assessment (PRA). This assessment will identify elements of fiscal and administrative risk at the program level and will be used to determine required specific conditions to the interagency agreement. The PRA must be completed for the program agency. </w:t>
      </w:r>
    </w:p>
    <w:p w14:paraId="4E3FA8CF" w14:textId="77777777" w:rsidR="00E45110" w:rsidRPr="0012042A" w:rsidRDefault="00E45110" w:rsidP="00524564">
      <w:pPr>
        <w:ind w:left="360"/>
        <w:rPr>
          <w:color w:val="auto"/>
        </w:rPr>
      </w:pPr>
    </w:p>
    <w:p w14:paraId="2FAF88C4" w14:textId="77777777" w:rsidR="00E45110" w:rsidRPr="0012042A" w:rsidRDefault="00E45110" w:rsidP="00524564">
      <w:pPr>
        <w:ind w:left="360"/>
        <w:rPr>
          <w:color w:val="auto"/>
          <w:u w:val="single"/>
        </w:rPr>
      </w:pPr>
      <w:r w:rsidRPr="0012042A">
        <w:rPr>
          <w:color w:val="auto"/>
          <w:u w:val="single"/>
        </w:rPr>
        <w:t>Implementing Agency vs. Program Agency</w:t>
      </w:r>
    </w:p>
    <w:p w14:paraId="3BDBCE46" w14:textId="266E94A3" w:rsidR="00E45110" w:rsidRPr="0012042A" w:rsidRDefault="00E45110" w:rsidP="00524564">
      <w:pPr>
        <w:ind w:left="360"/>
        <w:rPr>
          <w:color w:val="auto"/>
        </w:rPr>
      </w:pPr>
      <w:r w:rsidRPr="0012042A">
        <w:rPr>
          <w:color w:val="auto"/>
        </w:rPr>
        <w:t>• An implementing agency is the legal entity that receives state funds, such as a county.</w:t>
      </w:r>
    </w:p>
    <w:p w14:paraId="63A1F0AA" w14:textId="7154BA76" w:rsidR="00E45110" w:rsidRPr="0012042A" w:rsidRDefault="00E45110" w:rsidP="00524564">
      <w:pPr>
        <w:ind w:left="360"/>
        <w:rPr>
          <w:color w:val="auto"/>
        </w:rPr>
      </w:pPr>
      <w:r w:rsidRPr="0012042A">
        <w:rPr>
          <w:color w:val="auto"/>
        </w:rPr>
        <w:t>• A program agency:</w:t>
      </w:r>
    </w:p>
    <w:p w14:paraId="05632075" w14:textId="46301056" w:rsidR="00E45110" w:rsidRPr="0012042A" w:rsidRDefault="00E45110" w:rsidP="00524564">
      <w:pPr>
        <w:pStyle w:val="ListParagraph"/>
        <w:numPr>
          <w:ilvl w:val="2"/>
          <w:numId w:val="7"/>
        </w:numPr>
        <w:rPr>
          <w:color w:val="auto"/>
        </w:rPr>
      </w:pPr>
      <w:r w:rsidRPr="0012042A">
        <w:rPr>
          <w:color w:val="auto"/>
        </w:rPr>
        <w:t xml:space="preserve">Is a subdivision of the implementing agency, such as a county probation </w:t>
      </w:r>
      <w:proofErr w:type="gramStart"/>
      <w:r w:rsidRPr="0012042A">
        <w:rPr>
          <w:color w:val="auto"/>
        </w:rPr>
        <w:t>department</w:t>
      </w:r>
      <w:r w:rsidR="001F285E" w:rsidRPr="0012042A">
        <w:rPr>
          <w:color w:val="auto"/>
        </w:rPr>
        <w:t>.</w:t>
      </w:r>
      <w:proofErr w:type="gramEnd"/>
    </w:p>
    <w:p w14:paraId="46E0E785" w14:textId="2C91595C" w:rsidR="00E45110" w:rsidRPr="0012042A" w:rsidRDefault="00E45110" w:rsidP="00524564">
      <w:pPr>
        <w:pStyle w:val="ListParagraph"/>
        <w:numPr>
          <w:ilvl w:val="2"/>
          <w:numId w:val="7"/>
        </w:numPr>
        <w:rPr>
          <w:color w:val="auto"/>
        </w:rPr>
      </w:pPr>
      <w:r w:rsidRPr="0012042A">
        <w:rPr>
          <w:color w:val="auto"/>
        </w:rPr>
        <w:t>Carries out program operations</w:t>
      </w:r>
      <w:r w:rsidR="001F285E" w:rsidRPr="0012042A">
        <w:rPr>
          <w:color w:val="auto"/>
        </w:rPr>
        <w:t>.</w:t>
      </w:r>
    </w:p>
    <w:p w14:paraId="3D1EA9F1" w14:textId="04CFB99D" w:rsidR="00E45110" w:rsidRPr="0012042A" w:rsidRDefault="00E45110" w:rsidP="00524564">
      <w:pPr>
        <w:pStyle w:val="ListParagraph"/>
        <w:numPr>
          <w:ilvl w:val="2"/>
          <w:numId w:val="7"/>
        </w:numPr>
        <w:rPr>
          <w:color w:val="auto"/>
        </w:rPr>
      </w:pPr>
      <w:r w:rsidRPr="0012042A">
        <w:rPr>
          <w:color w:val="auto"/>
        </w:rPr>
        <w:lastRenderedPageBreak/>
        <w:t>Is responsible for data and fiscal reporting</w:t>
      </w:r>
      <w:r w:rsidR="001F285E" w:rsidRPr="0012042A">
        <w:rPr>
          <w:color w:val="auto"/>
        </w:rPr>
        <w:t>.</w:t>
      </w:r>
    </w:p>
    <w:p w14:paraId="5C6A471C" w14:textId="77777777" w:rsidR="00E45110" w:rsidRPr="0012042A" w:rsidRDefault="00E45110" w:rsidP="00524564">
      <w:pPr>
        <w:ind w:left="360"/>
        <w:rPr>
          <w:color w:val="auto"/>
        </w:rPr>
      </w:pPr>
    </w:p>
    <w:p w14:paraId="7436DEBA" w14:textId="77777777" w:rsidR="00E45110" w:rsidRPr="0012042A" w:rsidRDefault="00E45110" w:rsidP="00524564">
      <w:pPr>
        <w:ind w:left="360"/>
        <w:rPr>
          <w:color w:val="auto"/>
        </w:rPr>
      </w:pPr>
      <w:r w:rsidRPr="0012042A">
        <w:rPr>
          <w:color w:val="auto"/>
        </w:rPr>
        <w:t>PRAs completed for other state agencies will not be accepted by ICJIA.</w:t>
      </w:r>
    </w:p>
    <w:p w14:paraId="6271A809" w14:textId="5D4F4C72" w:rsidR="00E45110" w:rsidRPr="0012042A" w:rsidRDefault="00E45110" w:rsidP="00524564">
      <w:pPr>
        <w:rPr>
          <w:b/>
          <w:color w:val="auto"/>
        </w:rPr>
      </w:pPr>
    </w:p>
    <w:p w14:paraId="0970E169" w14:textId="053E458A" w:rsidR="005F1CC5" w:rsidRPr="0012042A" w:rsidRDefault="00E45110" w:rsidP="00524564">
      <w:pPr>
        <w:autoSpaceDE w:val="0"/>
        <w:autoSpaceDN w:val="0"/>
        <w:adjustRightInd w:val="0"/>
        <w:ind w:left="360"/>
        <w:rPr>
          <w:color w:val="auto"/>
        </w:rPr>
      </w:pPr>
      <w:r w:rsidRPr="0012042A">
        <w:rPr>
          <w:b/>
          <w:i/>
          <w:color w:val="auto"/>
        </w:rPr>
        <w:t>6</w:t>
      </w:r>
      <w:r w:rsidR="009A0703" w:rsidRPr="0012042A">
        <w:rPr>
          <w:b/>
          <w:i/>
          <w:color w:val="auto"/>
        </w:rPr>
        <w:t>.</w:t>
      </w:r>
      <w:r w:rsidR="005F1CC5" w:rsidRPr="0012042A">
        <w:rPr>
          <w:b/>
          <w:i/>
          <w:color w:val="auto"/>
        </w:rPr>
        <w:t xml:space="preserve"> Anticipated Announcement and State Award Dates</w:t>
      </w:r>
      <w:r w:rsidR="005F1CC5" w:rsidRPr="0012042A">
        <w:rPr>
          <w:color w:val="auto"/>
        </w:rPr>
        <w:t xml:space="preserve"> </w:t>
      </w:r>
    </w:p>
    <w:p w14:paraId="0354C231" w14:textId="487A0048" w:rsidR="00E45110" w:rsidRPr="0012042A" w:rsidRDefault="00E45110" w:rsidP="00524564">
      <w:pPr>
        <w:autoSpaceDE w:val="0"/>
        <w:autoSpaceDN w:val="0"/>
        <w:adjustRightInd w:val="0"/>
        <w:ind w:left="360"/>
        <w:rPr>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33"/>
        <w:gridCol w:w="4027"/>
      </w:tblGrid>
      <w:tr w:rsidR="00E45110" w:rsidRPr="0012042A" w14:paraId="5AD965DA" w14:textId="77777777" w:rsidTr="00EF02A2">
        <w:tc>
          <w:tcPr>
            <w:tcW w:w="5333" w:type="dxa"/>
            <w:shd w:val="clear" w:color="auto" w:fill="D9D9D9"/>
          </w:tcPr>
          <w:p w14:paraId="3FC020EA" w14:textId="77777777" w:rsidR="00E45110" w:rsidRPr="007B38D9" w:rsidRDefault="00E45110" w:rsidP="00524564">
            <w:pPr>
              <w:jc w:val="center"/>
              <w:rPr>
                <w:rFonts w:eastAsia="Calibri"/>
                <w:b/>
                <w:color w:val="auto"/>
              </w:rPr>
            </w:pPr>
            <w:r w:rsidRPr="007B38D9">
              <w:rPr>
                <w:rFonts w:eastAsia="Calibri"/>
                <w:b/>
                <w:color w:val="auto"/>
              </w:rPr>
              <w:t>Task</w:t>
            </w:r>
          </w:p>
        </w:tc>
        <w:tc>
          <w:tcPr>
            <w:tcW w:w="4027" w:type="dxa"/>
            <w:shd w:val="clear" w:color="auto" w:fill="D9D9D9"/>
          </w:tcPr>
          <w:p w14:paraId="48BB7737" w14:textId="77777777" w:rsidR="00E45110" w:rsidRPr="007B38D9" w:rsidRDefault="00E45110" w:rsidP="00524564">
            <w:pPr>
              <w:jc w:val="center"/>
              <w:rPr>
                <w:rFonts w:eastAsia="Calibri"/>
                <w:b/>
                <w:color w:val="auto"/>
              </w:rPr>
            </w:pPr>
            <w:r w:rsidRPr="007B38D9">
              <w:rPr>
                <w:rFonts w:eastAsia="Calibri"/>
                <w:b/>
                <w:color w:val="auto"/>
              </w:rPr>
              <w:t>Date</w:t>
            </w:r>
          </w:p>
        </w:tc>
      </w:tr>
      <w:tr w:rsidR="00E45110" w:rsidRPr="0012042A" w14:paraId="45ED7D34" w14:textId="77777777" w:rsidTr="00EF02A2">
        <w:tc>
          <w:tcPr>
            <w:tcW w:w="5333" w:type="dxa"/>
            <w:shd w:val="clear" w:color="auto" w:fill="auto"/>
          </w:tcPr>
          <w:p w14:paraId="6125331C" w14:textId="77777777" w:rsidR="00E45110" w:rsidRPr="007B38D9" w:rsidRDefault="00E45110" w:rsidP="00524564">
            <w:pPr>
              <w:jc w:val="center"/>
              <w:rPr>
                <w:rFonts w:eastAsia="Calibri"/>
                <w:color w:val="auto"/>
              </w:rPr>
            </w:pPr>
            <w:r w:rsidRPr="007B38D9">
              <w:rPr>
                <w:rFonts w:eastAsia="Calibri"/>
                <w:color w:val="auto"/>
              </w:rPr>
              <w:t>NOFO posted</w:t>
            </w:r>
          </w:p>
        </w:tc>
        <w:tc>
          <w:tcPr>
            <w:tcW w:w="4027" w:type="dxa"/>
            <w:shd w:val="clear" w:color="auto" w:fill="auto"/>
          </w:tcPr>
          <w:p w14:paraId="6B26ADFC" w14:textId="4933D0D0" w:rsidR="00E45110" w:rsidRPr="007B38D9" w:rsidRDefault="00C631B3" w:rsidP="003A09EC">
            <w:pPr>
              <w:jc w:val="center"/>
              <w:rPr>
                <w:color w:val="auto"/>
              </w:rPr>
            </w:pPr>
            <w:r w:rsidRPr="007B38D9">
              <w:rPr>
                <w:color w:val="auto"/>
              </w:rPr>
              <w:t>April 1</w:t>
            </w:r>
            <w:r w:rsidR="007B38D9" w:rsidRPr="007B38D9">
              <w:rPr>
                <w:color w:val="auto"/>
              </w:rPr>
              <w:t>1</w:t>
            </w:r>
            <w:r w:rsidRPr="007B38D9">
              <w:rPr>
                <w:color w:val="auto"/>
              </w:rPr>
              <w:t>, 2019</w:t>
            </w:r>
          </w:p>
        </w:tc>
      </w:tr>
      <w:tr w:rsidR="009D083C" w:rsidRPr="0012042A" w14:paraId="789439C4" w14:textId="77777777" w:rsidTr="00EF02A2">
        <w:tc>
          <w:tcPr>
            <w:tcW w:w="5333" w:type="dxa"/>
            <w:shd w:val="clear" w:color="auto" w:fill="auto"/>
          </w:tcPr>
          <w:p w14:paraId="42E91A05" w14:textId="77777777" w:rsidR="009D083C" w:rsidRPr="007B38D9" w:rsidRDefault="009D083C" w:rsidP="009D083C">
            <w:pPr>
              <w:jc w:val="center"/>
              <w:rPr>
                <w:rFonts w:eastAsia="Calibri"/>
                <w:color w:val="auto"/>
              </w:rPr>
            </w:pPr>
            <w:r w:rsidRPr="007B38D9">
              <w:rPr>
                <w:rFonts w:eastAsia="Calibri"/>
                <w:color w:val="auto"/>
              </w:rPr>
              <w:t>Applicant webinar registration deadline</w:t>
            </w:r>
          </w:p>
        </w:tc>
        <w:tc>
          <w:tcPr>
            <w:tcW w:w="4027" w:type="dxa"/>
            <w:shd w:val="clear" w:color="auto" w:fill="auto"/>
          </w:tcPr>
          <w:p w14:paraId="0397FB66" w14:textId="20043549" w:rsidR="009D083C" w:rsidRPr="007B38D9" w:rsidRDefault="00C631B3" w:rsidP="003A09EC">
            <w:pPr>
              <w:jc w:val="center"/>
              <w:rPr>
                <w:color w:val="auto"/>
              </w:rPr>
            </w:pPr>
            <w:r w:rsidRPr="007B38D9">
              <w:rPr>
                <w:color w:val="auto"/>
              </w:rPr>
              <w:t>N/A</w:t>
            </w:r>
          </w:p>
        </w:tc>
      </w:tr>
      <w:tr w:rsidR="00C631B3" w:rsidRPr="0012042A" w14:paraId="26CFDBC9" w14:textId="77777777" w:rsidTr="00EF02A2">
        <w:tc>
          <w:tcPr>
            <w:tcW w:w="5333" w:type="dxa"/>
            <w:shd w:val="clear" w:color="auto" w:fill="auto"/>
          </w:tcPr>
          <w:p w14:paraId="6978F981" w14:textId="77777777" w:rsidR="00C631B3" w:rsidRPr="007B38D9" w:rsidRDefault="00C631B3" w:rsidP="00C631B3">
            <w:pPr>
              <w:jc w:val="center"/>
              <w:rPr>
                <w:rFonts w:eastAsia="Calibri"/>
                <w:color w:val="auto"/>
              </w:rPr>
            </w:pPr>
            <w:r w:rsidRPr="007B38D9">
              <w:rPr>
                <w:rFonts w:eastAsia="Calibri"/>
                <w:color w:val="auto"/>
              </w:rPr>
              <w:t>Applicant webinar</w:t>
            </w:r>
          </w:p>
        </w:tc>
        <w:tc>
          <w:tcPr>
            <w:tcW w:w="4027" w:type="dxa"/>
            <w:shd w:val="clear" w:color="auto" w:fill="auto"/>
          </w:tcPr>
          <w:p w14:paraId="6108B9E1" w14:textId="0ECABE97" w:rsidR="00C631B3" w:rsidRPr="007B38D9" w:rsidRDefault="00C631B3" w:rsidP="003A09EC">
            <w:pPr>
              <w:jc w:val="center"/>
              <w:rPr>
                <w:color w:val="auto"/>
              </w:rPr>
            </w:pPr>
            <w:r w:rsidRPr="007B38D9">
              <w:rPr>
                <w:color w:val="auto"/>
              </w:rPr>
              <w:t>N/A</w:t>
            </w:r>
          </w:p>
        </w:tc>
      </w:tr>
      <w:tr w:rsidR="00C631B3" w:rsidRPr="0012042A" w14:paraId="2CB865E0" w14:textId="77777777" w:rsidTr="00EF02A2">
        <w:tc>
          <w:tcPr>
            <w:tcW w:w="5333" w:type="dxa"/>
            <w:shd w:val="clear" w:color="auto" w:fill="auto"/>
          </w:tcPr>
          <w:p w14:paraId="0F2F68D7" w14:textId="77777777" w:rsidR="00C631B3" w:rsidRPr="007B38D9" w:rsidRDefault="00C631B3" w:rsidP="00C631B3">
            <w:pPr>
              <w:jc w:val="center"/>
              <w:rPr>
                <w:rFonts w:eastAsia="Calibri"/>
                <w:color w:val="auto"/>
              </w:rPr>
            </w:pPr>
            <w:r w:rsidRPr="007B38D9">
              <w:rPr>
                <w:rFonts w:eastAsia="Calibri"/>
                <w:color w:val="auto"/>
              </w:rPr>
              <w:t xml:space="preserve">Notices of Intent due </w:t>
            </w:r>
          </w:p>
        </w:tc>
        <w:tc>
          <w:tcPr>
            <w:tcW w:w="4027" w:type="dxa"/>
            <w:shd w:val="clear" w:color="auto" w:fill="auto"/>
          </w:tcPr>
          <w:p w14:paraId="28D5CA23" w14:textId="4582A208" w:rsidR="00C631B3" w:rsidRPr="007B38D9" w:rsidRDefault="00C631B3" w:rsidP="003A09EC">
            <w:pPr>
              <w:jc w:val="center"/>
              <w:rPr>
                <w:color w:val="auto"/>
              </w:rPr>
            </w:pPr>
            <w:r w:rsidRPr="007B38D9">
              <w:rPr>
                <w:color w:val="auto"/>
              </w:rPr>
              <w:t>N/A</w:t>
            </w:r>
          </w:p>
        </w:tc>
      </w:tr>
      <w:tr w:rsidR="00E45110" w:rsidRPr="0012042A" w14:paraId="724A1868" w14:textId="77777777" w:rsidTr="00EF02A2">
        <w:tc>
          <w:tcPr>
            <w:tcW w:w="5333" w:type="dxa"/>
            <w:shd w:val="clear" w:color="auto" w:fill="auto"/>
          </w:tcPr>
          <w:p w14:paraId="39290EF4" w14:textId="5BF1CD82" w:rsidR="00E45110" w:rsidRPr="007B38D9" w:rsidRDefault="00E45110" w:rsidP="00524564">
            <w:pPr>
              <w:jc w:val="center"/>
              <w:rPr>
                <w:rFonts w:eastAsia="Calibri"/>
                <w:color w:val="auto"/>
              </w:rPr>
            </w:pPr>
            <w:r w:rsidRPr="007B38D9">
              <w:rPr>
                <w:rFonts w:eastAsia="Calibri"/>
                <w:color w:val="auto"/>
              </w:rPr>
              <w:t>NOFO</w:t>
            </w:r>
            <w:r w:rsidR="004C2782" w:rsidRPr="007B38D9">
              <w:rPr>
                <w:rFonts w:eastAsia="Calibri"/>
                <w:color w:val="auto"/>
              </w:rPr>
              <w:t xml:space="preserve"> question submission deadl</w:t>
            </w:r>
            <w:r w:rsidR="00F316D0" w:rsidRPr="007B38D9">
              <w:rPr>
                <w:rFonts w:eastAsia="Calibri"/>
                <w:color w:val="auto"/>
              </w:rPr>
              <w:t>in</w:t>
            </w:r>
            <w:r w:rsidRPr="007B38D9">
              <w:rPr>
                <w:rFonts w:eastAsia="Calibri"/>
                <w:color w:val="auto"/>
              </w:rPr>
              <w:t>e</w:t>
            </w:r>
          </w:p>
        </w:tc>
        <w:tc>
          <w:tcPr>
            <w:tcW w:w="4027" w:type="dxa"/>
            <w:shd w:val="clear" w:color="auto" w:fill="auto"/>
          </w:tcPr>
          <w:p w14:paraId="772F728A" w14:textId="3185F6BE" w:rsidR="00E45110" w:rsidRPr="007B38D9" w:rsidRDefault="00C631B3" w:rsidP="003A09EC">
            <w:pPr>
              <w:jc w:val="center"/>
              <w:rPr>
                <w:color w:val="auto"/>
              </w:rPr>
            </w:pPr>
            <w:r w:rsidRPr="007B38D9">
              <w:rPr>
                <w:color w:val="auto"/>
              </w:rPr>
              <w:t xml:space="preserve">May </w:t>
            </w:r>
            <w:r w:rsidR="007B38D9" w:rsidRPr="007B38D9">
              <w:rPr>
                <w:color w:val="auto"/>
              </w:rPr>
              <w:t>6</w:t>
            </w:r>
            <w:r w:rsidRPr="007B38D9">
              <w:rPr>
                <w:color w:val="auto"/>
              </w:rPr>
              <w:t>, 2019</w:t>
            </w:r>
          </w:p>
        </w:tc>
      </w:tr>
      <w:tr w:rsidR="00E45110" w:rsidRPr="0012042A" w14:paraId="0ED4155B" w14:textId="77777777" w:rsidTr="00EF02A2">
        <w:tc>
          <w:tcPr>
            <w:tcW w:w="5333" w:type="dxa"/>
            <w:shd w:val="clear" w:color="auto" w:fill="auto"/>
          </w:tcPr>
          <w:p w14:paraId="1F974CC9" w14:textId="77777777" w:rsidR="00E45110" w:rsidRPr="007B38D9" w:rsidRDefault="00E45110" w:rsidP="00524564">
            <w:pPr>
              <w:jc w:val="center"/>
              <w:rPr>
                <w:rFonts w:eastAsia="Calibri"/>
                <w:b/>
                <w:color w:val="auto"/>
              </w:rPr>
            </w:pPr>
            <w:r w:rsidRPr="007B38D9">
              <w:rPr>
                <w:rFonts w:eastAsia="Calibri"/>
                <w:b/>
                <w:color w:val="auto"/>
              </w:rPr>
              <w:t>Applications due</w:t>
            </w:r>
          </w:p>
        </w:tc>
        <w:tc>
          <w:tcPr>
            <w:tcW w:w="4027" w:type="dxa"/>
            <w:shd w:val="clear" w:color="auto" w:fill="auto"/>
          </w:tcPr>
          <w:p w14:paraId="0A69905E" w14:textId="1CA9162F" w:rsidR="00E45110" w:rsidRPr="007B38D9" w:rsidRDefault="00E45110" w:rsidP="003A09EC">
            <w:pPr>
              <w:widowControl w:val="0"/>
              <w:ind w:left="360" w:right="144"/>
              <w:jc w:val="center"/>
              <w:rPr>
                <w:b/>
                <w:color w:val="auto"/>
              </w:rPr>
            </w:pPr>
            <w:r w:rsidRPr="007B38D9">
              <w:rPr>
                <w:b/>
                <w:color w:val="auto"/>
              </w:rPr>
              <w:t xml:space="preserve">11:59 p.m., </w:t>
            </w:r>
            <w:r w:rsidR="00C631B3" w:rsidRPr="007B38D9">
              <w:rPr>
                <w:b/>
                <w:color w:val="auto"/>
              </w:rPr>
              <w:t>May 1</w:t>
            </w:r>
            <w:r w:rsidR="007B38D9" w:rsidRPr="007B38D9">
              <w:rPr>
                <w:b/>
                <w:color w:val="auto"/>
              </w:rPr>
              <w:t>3</w:t>
            </w:r>
            <w:r w:rsidR="00C631B3" w:rsidRPr="007B38D9">
              <w:rPr>
                <w:b/>
                <w:color w:val="auto"/>
              </w:rPr>
              <w:t>, 2019</w:t>
            </w:r>
          </w:p>
        </w:tc>
      </w:tr>
      <w:tr w:rsidR="00E45110" w:rsidRPr="0012042A" w14:paraId="3738E02B" w14:textId="77777777" w:rsidTr="00EF02A2">
        <w:tc>
          <w:tcPr>
            <w:tcW w:w="5333" w:type="dxa"/>
            <w:shd w:val="clear" w:color="auto" w:fill="auto"/>
          </w:tcPr>
          <w:p w14:paraId="7944082A" w14:textId="77777777" w:rsidR="00E45110" w:rsidRPr="007B38D9" w:rsidRDefault="00E45110" w:rsidP="00524564">
            <w:pPr>
              <w:tabs>
                <w:tab w:val="left" w:pos="1392"/>
                <w:tab w:val="center" w:pos="2286"/>
              </w:tabs>
              <w:jc w:val="center"/>
              <w:rPr>
                <w:rFonts w:eastAsia="Calibri"/>
                <w:color w:val="auto"/>
              </w:rPr>
            </w:pPr>
            <w:r w:rsidRPr="007B38D9">
              <w:rPr>
                <w:rFonts w:eastAsia="Calibri"/>
                <w:color w:val="auto"/>
              </w:rPr>
              <w:t>Budget Committee review/approval of recommended designations</w:t>
            </w:r>
          </w:p>
        </w:tc>
        <w:tc>
          <w:tcPr>
            <w:tcW w:w="4027" w:type="dxa"/>
            <w:shd w:val="clear" w:color="auto" w:fill="auto"/>
          </w:tcPr>
          <w:p w14:paraId="41FA37BB" w14:textId="0626AFDE" w:rsidR="00E45110" w:rsidRPr="007B38D9" w:rsidRDefault="009D083C" w:rsidP="003A09EC">
            <w:pPr>
              <w:jc w:val="center"/>
              <w:rPr>
                <w:rFonts w:eastAsia="Calibri"/>
                <w:color w:val="auto"/>
              </w:rPr>
            </w:pPr>
            <w:r w:rsidRPr="007B38D9">
              <w:rPr>
                <w:rFonts w:eastAsia="Calibri"/>
                <w:color w:val="auto"/>
              </w:rPr>
              <w:t>June 20, 2019</w:t>
            </w:r>
          </w:p>
        </w:tc>
      </w:tr>
      <w:tr w:rsidR="00E45110" w:rsidRPr="0012042A" w14:paraId="5BDCC011" w14:textId="77777777" w:rsidTr="00EF02A2">
        <w:tc>
          <w:tcPr>
            <w:tcW w:w="5333" w:type="dxa"/>
            <w:shd w:val="clear" w:color="auto" w:fill="auto"/>
          </w:tcPr>
          <w:p w14:paraId="1BFCA64B" w14:textId="77777777" w:rsidR="00E45110" w:rsidRPr="0012042A" w:rsidRDefault="00E45110" w:rsidP="00524564">
            <w:pPr>
              <w:tabs>
                <w:tab w:val="left" w:pos="1392"/>
                <w:tab w:val="center" w:pos="2286"/>
              </w:tabs>
              <w:jc w:val="center"/>
              <w:rPr>
                <w:rFonts w:eastAsia="Calibri"/>
                <w:color w:val="auto"/>
              </w:rPr>
            </w:pPr>
            <w:r w:rsidRPr="0012042A">
              <w:rPr>
                <w:rFonts w:eastAsia="Calibri"/>
                <w:color w:val="auto"/>
              </w:rPr>
              <w:t>Program start date</w:t>
            </w:r>
          </w:p>
        </w:tc>
        <w:tc>
          <w:tcPr>
            <w:tcW w:w="4027" w:type="dxa"/>
            <w:shd w:val="clear" w:color="auto" w:fill="auto"/>
          </w:tcPr>
          <w:p w14:paraId="46844876" w14:textId="596EE281" w:rsidR="00E45110" w:rsidRPr="0012042A" w:rsidRDefault="009D083C" w:rsidP="003A09EC">
            <w:pPr>
              <w:jc w:val="center"/>
              <w:rPr>
                <w:rFonts w:eastAsia="Calibri"/>
                <w:color w:val="auto"/>
              </w:rPr>
            </w:pPr>
            <w:r w:rsidRPr="0012042A">
              <w:rPr>
                <w:rFonts w:eastAsia="Calibri"/>
                <w:color w:val="auto"/>
              </w:rPr>
              <w:t>July 1, 2019</w:t>
            </w:r>
          </w:p>
        </w:tc>
      </w:tr>
    </w:tbl>
    <w:p w14:paraId="0B69A619" w14:textId="77777777" w:rsidR="00E45110" w:rsidRPr="0012042A" w:rsidRDefault="00E45110" w:rsidP="00524564">
      <w:pPr>
        <w:autoSpaceDE w:val="0"/>
        <w:autoSpaceDN w:val="0"/>
        <w:adjustRightInd w:val="0"/>
        <w:ind w:left="360"/>
        <w:rPr>
          <w:color w:val="auto"/>
        </w:rPr>
      </w:pPr>
    </w:p>
    <w:p w14:paraId="3A655610" w14:textId="4EF5B97A" w:rsidR="005F1CC5" w:rsidRPr="0012042A" w:rsidRDefault="005F1CC5" w:rsidP="00524564">
      <w:pPr>
        <w:autoSpaceDE w:val="0"/>
        <w:autoSpaceDN w:val="0"/>
        <w:adjustRightInd w:val="0"/>
        <w:ind w:left="0"/>
        <w:rPr>
          <w:b/>
          <w:color w:val="auto"/>
          <w:sz w:val="28"/>
          <w:szCs w:val="28"/>
        </w:rPr>
      </w:pPr>
      <w:r w:rsidRPr="0012042A">
        <w:rPr>
          <w:b/>
          <w:color w:val="auto"/>
          <w:sz w:val="28"/>
          <w:szCs w:val="28"/>
        </w:rPr>
        <w:t>F. Award Administration Information</w:t>
      </w:r>
    </w:p>
    <w:p w14:paraId="43D95B48" w14:textId="5DD6A103" w:rsidR="005F1CC5" w:rsidRPr="0012042A" w:rsidRDefault="005F1CC5" w:rsidP="00524564">
      <w:pPr>
        <w:autoSpaceDE w:val="0"/>
        <w:autoSpaceDN w:val="0"/>
        <w:adjustRightInd w:val="0"/>
        <w:ind w:left="0"/>
        <w:rPr>
          <w:color w:val="auto"/>
        </w:rPr>
      </w:pPr>
    </w:p>
    <w:p w14:paraId="03453308" w14:textId="6502550C" w:rsidR="000B238F" w:rsidRPr="0012042A" w:rsidRDefault="005F1CC5" w:rsidP="00524564">
      <w:pPr>
        <w:autoSpaceDE w:val="0"/>
        <w:autoSpaceDN w:val="0"/>
        <w:adjustRightInd w:val="0"/>
        <w:ind w:left="360"/>
        <w:rPr>
          <w:color w:val="auto"/>
        </w:rPr>
      </w:pPr>
      <w:bookmarkStart w:id="14" w:name="_Hlk534486345"/>
      <w:r w:rsidRPr="0012042A">
        <w:rPr>
          <w:b/>
          <w:i/>
          <w:color w:val="auto"/>
        </w:rPr>
        <w:t>1. State Award Notices</w:t>
      </w:r>
      <w:bookmarkEnd w:id="14"/>
      <w:r w:rsidRPr="0012042A">
        <w:rPr>
          <w:color w:val="auto"/>
        </w:rPr>
        <w:t xml:space="preserve"> </w:t>
      </w:r>
    </w:p>
    <w:p w14:paraId="37E125C8" w14:textId="4B768610" w:rsidR="000B238F" w:rsidRPr="0012042A" w:rsidRDefault="000B238F" w:rsidP="00524564">
      <w:pPr>
        <w:ind w:left="360"/>
        <w:rPr>
          <w:color w:val="auto"/>
        </w:rPr>
      </w:pPr>
      <w:r w:rsidRPr="0012042A">
        <w:rPr>
          <w:color w:val="auto"/>
        </w:rPr>
        <w:t>The</w:t>
      </w:r>
      <w:r w:rsidR="001F285E" w:rsidRPr="0012042A">
        <w:rPr>
          <w:color w:val="auto"/>
        </w:rPr>
        <w:t xml:space="preserve"> ICJIA</w:t>
      </w:r>
      <w:r w:rsidRPr="0012042A">
        <w:rPr>
          <w:color w:val="auto"/>
        </w:rPr>
        <w:t xml:space="preserve"> </w:t>
      </w:r>
      <w:r w:rsidR="00EF17AF" w:rsidRPr="0012042A">
        <w:rPr>
          <w:color w:val="auto"/>
        </w:rPr>
        <w:t>Budget</w:t>
      </w:r>
      <w:r w:rsidRPr="0012042A">
        <w:rPr>
          <w:color w:val="auto"/>
        </w:rPr>
        <w:t xml:space="preserve"> Committee is scheduled to review and approve designations </w:t>
      </w:r>
      <w:r w:rsidR="00E9579F">
        <w:rPr>
          <w:color w:val="auto"/>
        </w:rPr>
        <w:t xml:space="preserve">on </w:t>
      </w:r>
      <w:r w:rsidR="00EF17AF" w:rsidRPr="0012042A">
        <w:rPr>
          <w:color w:val="auto"/>
        </w:rPr>
        <w:t>June 20, 2019</w:t>
      </w:r>
      <w:r w:rsidRPr="0012042A">
        <w:rPr>
          <w:color w:val="auto"/>
        </w:rPr>
        <w:t>.</w:t>
      </w:r>
    </w:p>
    <w:p w14:paraId="16A42BA7" w14:textId="77777777" w:rsidR="000B238F" w:rsidRPr="0012042A" w:rsidRDefault="000B238F" w:rsidP="00524564">
      <w:pPr>
        <w:ind w:left="360"/>
        <w:rPr>
          <w:color w:val="auto"/>
        </w:rPr>
      </w:pPr>
    </w:p>
    <w:p w14:paraId="075098E4" w14:textId="0EEC0EC6" w:rsidR="000B238F" w:rsidRPr="0012042A" w:rsidRDefault="000B238F" w:rsidP="00524564">
      <w:pPr>
        <w:ind w:left="360"/>
        <w:rPr>
          <w:color w:val="auto"/>
        </w:rPr>
      </w:pPr>
      <w:r w:rsidRPr="0012042A">
        <w:rPr>
          <w:color w:val="auto"/>
        </w:rPr>
        <w:t xml:space="preserve">ICJIA will transmit a Notice of State Award (NOSA), and the grant agreement to successful applicants after the </w:t>
      </w:r>
      <w:r w:rsidR="00EF17AF" w:rsidRPr="0012042A">
        <w:rPr>
          <w:color w:val="auto"/>
        </w:rPr>
        <w:t>Budget</w:t>
      </w:r>
      <w:r w:rsidRPr="0012042A">
        <w:rPr>
          <w:color w:val="auto"/>
        </w:rPr>
        <w:t xml:space="preserve"> Committee reviews and approves designations. The NOSA will detail specific conditions resulting from pre-award risk assessments that will be included in the grant agreement. The NOSA will be provided and be must be accepted through the Grantee Portal unless an alternative distribution has been established by ICJIA. The NOSA is not an authorization to begin performance or incur costs.</w:t>
      </w:r>
    </w:p>
    <w:p w14:paraId="2E2B3141" w14:textId="77777777" w:rsidR="000B238F" w:rsidRPr="0012042A" w:rsidRDefault="000B238F" w:rsidP="00524564">
      <w:pPr>
        <w:ind w:left="360"/>
        <w:rPr>
          <w:color w:val="auto"/>
        </w:rPr>
      </w:pPr>
    </w:p>
    <w:p w14:paraId="50D9FC1B" w14:textId="20BC860A" w:rsidR="000B238F" w:rsidRPr="0012042A" w:rsidRDefault="000B238F" w:rsidP="00524564">
      <w:pPr>
        <w:ind w:left="360"/>
        <w:rPr>
          <w:color w:val="auto"/>
        </w:rPr>
      </w:pPr>
      <w:r w:rsidRPr="0012042A">
        <w:rPr>
          <w:color w:val="auto"/>
        </w:rPr>
        <w:t>ICJIA also requires additional documents to be submitted prior to the execution of an agreement</w:t>
      </w:r>
      <w:r w:rsidR="001F285E" w:rsidRPr="0012042A">
        <w:rPr>
          <w:color w:val="auto"/>
        </w:rPr>
        <w:t>, including</w:t>
      </w:r>
      <w:r w:rsidRPr="0012042A">
        <w:rPr>
          <w:color w:val="auto"/>
        </w:rPr>
        <w:t xml:space="preserve">: </w:t>
      </w:r>
    </w:p>
    <w:p w14:paraId="63E397A9" w14:textId="77777777" w:rsidR="000B238F" w:rsidRPr="0012042A" w:rsidRDefault="000B238F" w:rsidP="00524564">
      <w:pPr>
        <w:tabs>
          <w:tab w:val="left" w:pos="1080"/>
        </w:tabs>
        <w:rPr>
          <w:color w:val="auto"/>
        </w:rPr>
      </w:pPr>
      <w:r w:rsidRPr="0012042A">
        <w:rPr>
          <w:color w:val="auto"/>
        </w:rPr>
        <w:t>o</w:t>
      </w:r>
      <w:r w:rsidRPr="0012042A">
        <w:rPr>
          <w:color w:val="auto"/>
        </w:rPr>
        <w:tab/>
        <w:t>Fiscal Information Sheet</w:t>
      </w:r>
    </w:p>
    <w:p w14:paraId="2D3E14F9" w14:textId="77777777" w:rsidR="000B238F" w:rsidRPr="0012042A" w:rsidRDefault="000B238F" w:rsidP="00524564">
      <w:pPr>
        <w:tabs>
          <w:tab w:val="left" w:pos="1080"/>
        </w:tabs>
        <w:rPr>
          <w:color w:val="auto"/>
        </w:rPr>
      </w:pPr>
      <w:r w:rsidRPr="0012042A">
        <w:rPr>
          <w:color w:val="auto"/>
        </w:rPr>
        <w:t>o</w:t>
      </w:r>
      <w:r w:rsidRPr="0012042A">
        <w:rPr>
          <w:color w:val="auto"/>
        </w:rPr>
        <w:tab/>
        <w:t xml:space="preserve">Audit Information Sheet </w:t>
      </w:r>
    </w:p>
    <w:p w14:paraId="41B7617C" w14:textId="77777777" w:rsidR="000B238F" w:rsidRPr="0012042A" w:rsidRDefault="000B238F" w:rsidP="00524564">
      <w:pPr>
        <w:tabs>
          <w:tab w:val="left" w:pos="1080"/>
        </w:tabs>
        <w:rPr>
          <w:color w:val="auto"/>
        </w:rPr>
      </w:pPr>
      <w:r w:rsidRPr="0012042A">
        <w:rPr>
          <w:color w:val="auto"/>
        </w:rPr>
        <w:t>o</w:t>
      </w:r>
      <w:r w:rsidRPr="0012042A">
        <w:rPr>
          <w:color w:val="auto"/>
        </w:rPr>
        <w:tab/>
        <w:t>Programmatic Risk Assessment</w:t>
      </w:r>
    </w:p>
    <w:p w14:paraId="4D3AE51C" w14:textId="1B772905" w:rsidR="00776D1C" w:rsidRPr="0012042A" w:rsidRDefault="000B238F" w:rsidP="00524564">
      <w:pPr>
        <w:tabs>
          <w:tab w:val="left" w:pos="1080"/>
        </w:tabs>
        <w:rPr>
          <w:color w:val="auto"/>
        </w:rPr>
      </w:pPr>
      <w:r w:rsidRPr="0012042A">
        <w:rPr>
          <w:color w:val="auto"/>
        </w:rPr>
        <w:t>o</w:t>
      </w:r>
      <w:r w:rsidRPr="0012042A">
        <w:rPr>
          <w:color w:val="auto"/>
        </w:rPr>
        <w:tab/>
      </w:r>
      <w:r w:rsidR="00A678D8" w:rsidRPr="0012042A">
        <w:rPr>
          <w:color w:val="auto"/>
        </w:rPr>
        <w:t xml:space="preserve">501c3 </w:t>
      </w:r>
      <w:r w:rsidR="00F7193C" w:rsidRPr="0012042A">
        <w:rPr>
          <w:color w:val="auto"/>
        </w:rPr>
        <w:t xml:space="preserve">determination (or redetermination) letter </w:t>
      </w:r>
      <w:r w:rsidR="00A678D8" w:rsidRPr="0012042A">
        <w:rPr>
          <w:color w:val="auto"/>
        </w:rPr>
        <w:t>that is dated within the past five years</w:t>
      </w:r>
    </w:p>
    <w:p w14:paraId="2296EE12" w14:textId="77777777" w:rsidR="000B238F" w:rsidRPr="0012042A" w:rsidRDefault="000B238F" w:rsidP="00524564">
      <w:pPr>
        <w:ind w:left="360"/>
        <w:rPr>
          <w:b/>
          <w:color w:val="auto"/>
        </w:rPr>
      </w:pPr>
    </w:p>
    <w:p w14:paraId="17508209" w14:textId="40BA5F1E" w:rsidR="000B238F" w:rsidRPr="0012042A" w:rsidRDefault="005F1CC5" w:rsidP="00524564">
      <w:pPr>
        <w:autoSpaceDE w:val="0"/>
        <w:autoSpaceDN w:val="0"/>
        <w:adjustRightInd w:val="0"/>
        <w:ind w:left="360"/>
        <w:rPr>
          <w:b/>
          <w:i/>
          <w:color w:val="auto"/>
        </w:rPr>
      </w:pPr>
      <w:r w:rsidRPr="0012042A">
        <w:rPr>
          <w:b/>
          <w:i/>
          <w:color w:val="auto"/>
        </w:rPr>
        <w:t>2. Administrative and National Policy Requirements</w:t>
      </w:r>
      <w:r w:rsidR="000B238F" w:rsidRPr="0012042A">
        <w:rPr>
          <w:b/>
          <w:i/>
          <w:color w:val="auto"/>
        </w:rPr>
        <w:t xml:space="preserve">  </w:t>
      </w:r>
    </w:p>
    <w:p w14:paraId="61E9372E" w14:textId="5CD741BF" w:rsidR="007F1B77" w:rsidRPr="0012042A" w:rsidRDefault="007F1B77" w:rsidP="00524564">
      <w:pPr>
        <w:ind w:left="360"/>
        <w:rPr>
          <w:color w:val="auto"/>
        </w:rPr>
      </w:pPr>
      <w:r w:rsidRPr="0012042A">
        <w:rPr>
          <w:color w:val="auto"/>
        </w:rPr>
        <w:t xml:space="preserve">In addition to implementing the funded project consistent with the approved project proposal and budget, agencies selected for funding must comply with applicable grant terms and conditions and other legal requirements, including, but not limited to ICJIA Financial Guide and Policy and Procedure Manual, the Grant Accountability and Transparency Act, and the U.S. Department of Justice Grants Financial Guide, which </w:t>
      </w:r>
      <w:r w:rsidRPr="0012042A">
        <w:rPr>
          <w:color w:val="auto"/>
        </w:rPr>
        <w:lastRenderedPageBreak/>
        <w:t xml:space="preserve">will be included in the award documents, incorporated into the award by reference, or are otherwise applicable to the award. </w:t>
      </w:r>
    </w:p>
    <w:p w14:paraId="69269F32" w14:textId="29FBC4CB" w:rsidR="00C41624" w:rsidRPr="0012042A" w:rsidRDefault="00C41624" w:rsidP="00524564">
      <w:pPr>
        <w:ind w:left="360"/>
        <w:rPr>
          <w:color w:val="auto"/>
        </w:rPr>
      </w:pPr>
    </w:p>
    <w:p w14:paraId="3A491D3B" w14:textId="77777777" w:rsidR="00C41624" w:rsidRPr="0012042A" w:rsidRDefault="00C41624" w:rsidP="00524564">
      <w:pPr>
        <w:ind w:left="360"/>
        <w:rPr>
          <w:color w:val="auto"/>
        </w:rPr>
      </w:pPr>
      <w:r w:rsidRPr="0012042A">
        <w:rPr>
          <w:color w:val="auto"/>
        </w:rPr>
        <w:t>Additional programmatic and administrative special conditions may be required.</w:t>
      </w:r>
    </w:p>
    <w:p w14:paraId="3AB95911" w14:textId="77777777" w:rsidR="00C41624" w:rsidRPr="0012042A" w:rsidRDefault="00C41624" w:rsidP="00524564">
      <w:pPr>
        <w:ind w:left="360"/>
        <w:rPr>
          <w:color w:val="auto"/>
        </w:rPr>
      </w:pPr>
    </w:p>
    <w:p w14:paraId="424D4520" w14:textId="15D46D6D" w:rsidR="00C41624" w:rsidRPr="0012042A" w:rsidRDefault="005F1CC5" w:rsidP="00524564">
      <w:pPr>
        <w:autoSpaceDE w:val="0"/>
        <w:autoSpaceDN w:val="0"/>
        <w:adjustRightInd w:val="0"/>
        <w:ind w:left="360"/>
        <w:rPr>
          <w:color w:val="auto"/>
        </w:rPr>
      </w:pPr>
      <w:r w:rsidRPr="0012042A">
        <w:rPr>
          <w:b/>
          <w:i/>
          <w:color w:val="auto"/>
        </w:rPr>
        <w:t>3. Reporting</w:t>
      </w:r>
      <w:r w:rsidRPr="0012042A">
        <w:rPr>
          <w:color w:val="auto"/>
        </w:rPr>
        <w:t xml:space="preserve"> </w:t>
      </w:r>
    </w:p>
    <w:p w14:paraId="366AB32F" w14:textId="77777777" w:rsidR="00C41624" w:rsidRPr="0012042A" w:rsidRDefault="00C41624" w:rsidP="00524564">
      <w:pPr>
        <w:autoSpaceDE w:val="0"/>
        <w:autoSpaceDN w:val="0"/>
        <w:adjustRightInd w:val="0"/>
        <w:ind w:left="360"/>
        <w:rPr>
          <w:color w:val="auto"/>
        </w:rPr>
      </w:pPr>
    </w:p>
    <w:p w14:paraId="59DE5B22" w14:textId="77777777" w:rsidR="00B4305B" w:rsidRPr="0012042A" w:rsidRDefault="00B4305B" w:rsidP="00B4305B">
      <w:pPr>
        <w:autoSpaceDE w:val="0"/>
        <w:autoSpaceDN w:val="0"/>
        <w:adjustRightInd w:val="0"/>
        <w:ind w:left="360"/>
        <w:rPr>
          <w:color w:val="auto"/>
        </w:rPr>
      </w:pPr>
      <w:r w:rsidRPr="0012042A">
        <w:rPr>
          <w:color w:val="auto"/>
        </w:rPr>
        <w:t>Grantees must submit electronic quarterly financial and progress reports and final financial and progress reports. Mandatory fiscal and progress reports will be distributed to each grantee for submission. Failure to comply with mandatory reporting requirements will cause immediate suspension of funding of this grant, any other grant that applicant has with ICJIA, and possible termination of the grant. If applicable, an annual audit report in accordance with the Part 200 Uniform Requirements must be submitted. Future awards and fund drawdowns may be withheld if reports are delinquent.</w:t>
      </w:r>
    </w:p>
    <w:p w14:paraId="720B8717" w14:textId="68DBBFDE" w:rsidR="005F1CC5" w:rsidRPr="0012042A" w:rsidRDefault="005F1CC5" w:rsidP="00524564">
      <w:pPr>
        <w:autoSpaceDE w:val="0"/>
        <w:autoSpaceDN w:val="0"/>
        <w:adjustRightInd w:val="0"/>
        <w:ind w:left="0"/>
        <w:rPr>
          <w:color w:val="auto"/>
        </w:rPr>
      </w:pPr>
    </w:p>
    <w:p w14:paraId="515CA454" w14:textId="7B026A50" w:rsidR="005F1CC5" w:rsidRPr="0012042A" w:rsidRDefault="005F1CC5" w:rsidP="00524564">
      <w:pPr>
        <w:autoSpaceDE w:val="0"/>
        <w:autoSpaceDN w:val="0"/>
        <w:adjustRightInd w:val="0"/>
        <w:ind w:left="0"/>
        <w:rPr>
          <w:b/>
          <w:color w:val="auto"/>
          <w:sz w:val="28"/>
          <w:szCs w:val="28"/>
        </w:rPr>
      </w:pPr>
      <w:r w:rsidRPr="0012042A">
        <w:rPr>
          <w:b/>
          <w:color w:val="auto"/>
          <w:sz w:val="28"/>
          <w:szCs w:val="28"/>
        </w:rPr>
        <w:t>G. State Awarding Agency Contact(s)</w:t>
      </w:r>
    </w:p>
    <w:p w14:paraId="26B57899" w14:textId="4AECD426" w:rsidR="005F1CC5" w:rsidRPr="0012042A" w:rsidRDefault="005F1CC5" w:rsidP="00524564">
      <w:pPr>
        <w:autoSpaceDE w:val="0"/>
        <w:autoSpaceDN w:val="0"/>
        <w:adjustRightInd w:val="0"/>
        <w:ind w:left="0"/>
        <w:rPr>
          <w:color w:val="auto"/>
        </w:rPr>
      </w:pPr>
    </w:p>
    <w:p w14:paraId="25953A60" w14:textId="54962424" w:rsidR="00C41624" w:rsidRPr="0012042A" w:rsidRDefault="00C41624" w:rsidP="00524564">
      <w:pPr>
        <w:ind w:left="0"/>
        <w:rPr>
          <w:color w:val="auto"/>
        </w:rPr>
      </w:pPr>
      <w:r w:rsidRPr="0012042A">
        <w:rPr>
          <w:color w:val="auto"/>
        </w:rPr>
        <w:t>For questions and technical assistance regarding application submission, contact:</w:t>
      </w:r>
    </w:p>
    <w:p w14:paraId="106E290A" w14:textId="77777777" w:rsidR="005F1CC5" w:rsidRPr="0012042A" w:rsidRDefault="005F1CC5" w:rsidP="00524564">
      <w:pPr>
        <w:autoSpaceDE w:val="0"/>
        <w:autoSpaceDN w:val="0"/>
        <w:adjustRightInd w:val="0"/>
        <w:ind w:left="0"/>
        <w:rPr>
          <w:color w:val="auto"/>
        </w:rPr>
      </w:pPr>
    </w:p>
    <w:p w14:paraId="59E409A9" w14:textId="65E5B0B7" w:rsidR="00C41624" w:rsidRPr="0012042A" w:rsidRDefault="009D083C" w:rsidP="00524564">
      <w:pPr>
        <w:ind w:left="360"/>
        <w:rPr>
          <w:color w:val="auto"/>
        </w:rPr>
      </w:pPr>
      <w:r w:rsidRPr="0012042A">
        <w:rPr>
          <w:color w:val="auto"/>
        </w:rPr>
        <w:t>Shai Hoffman</w:t>
      </w:r>
    </w:p>
    <w:p w14:paraId="6A9C3C99" w14:textId="77777777" w:rsidR="009D083C" w:rsidRPr="0012042A" w:rsidRDefault="00C41624" w:rsidP="009D083C">
      <w:pPr>
        <w:ind w:left="360"/>
        <w:rPr>
          <w:color w:val="auto"/>
        </w:rPr>
      </w:pPr>
      <w:r w:rsidRPr="0012042A">
        <w:rPr>
          <w:color w:val="auto"/>
        </w:rPr>
        <w:t>Illinois Crimina</w:t>
      </w:r>
      <w:r w:rsidR="009D083C" w:rsidRPr="0012042A">
        <w:rPr>
          <w:color w:val="auto"/>
        </w:rPr>
        <w:t>l Justice Information Authority</w:t>
      </w:r>
    </w:p>
    <w:p w14:paraId="3ADC9B97" w14:textId="05C20E6E" w:rsidR="00B317D9" w:rsidRDefault="00F576EF" w:rsidP="003A09EC">
      <w:pPr>
        <w:ind w:left="360"/>
        <w:rPr>
          <w:color w:val="auto"/>
        </w:rPr>
      </w:pPr>
      <w:hyperlink r:id="rId20" w:history="1">
        <w:r w:rsidR="003A09EC" w:rsidRPr="0050646D">
          <w:rPr>
            <w:rStyle w:val="Hyperlink"/>
          </w:rPr>
          <w:t>CJA.StateViolencePrevention@Illinois.gov</w:t>
        </w:r>
      </w:hyperlink>
      <w:r w:rsidR="003A09EC">
        <w:rPr>
          <w:color w:val="auto"/>
        </w:rPr>
        <w:t xml:space="preserve"> </w:t>
      </w:r>
    </w:p>
    <w:p w14:paraId="00B03555" w14:textId="77777777" w:rsidR="003A09EC" w:rsidRPr="0012042A" w:rsidRDefault="003A09EC" w:rsidP="003A09EC">
      <w:pPr>
        <w:ind w:left="360"/>
        <w:rPr>
          <w:b/>
          <w:color w:val="auto"/>
          <w:sz w:val="28"/>
          <w:szCs w:val="28"/>
        </w:rPr>
      </w:pPr>
    </w:p>
    <w:p w14:paraId="105A7D0F" w14:textId="0E3FA654" w:rsidR="005F1CC5" w:rsidRPr="0012042A" w:rsidRDefault="005F1CC5" w:rsidP="00524564">
      <w:pPr>
        <w:autoSpaceDE w:val="0"/>
        <w:autoSpaceDN w:val="0"/>
        <w:adjustRightInd w:val="0"/>
        <w:ind w:left="0"/>
        <w:rPr>
          <w:color w:val="auto"/>
        </w:rPr>
      </w:pPr>
      <w:r w:rsidRPr="0012042A">
        <w:rPr>
          <w:b/>
          <w:color w:val="auto"/>
          <w:sz w:val="28"/>
          <w:szCs w:val="28"/>
        </w:rPr>
        <w:t>H. Other Information</w:t>
      </w:r>
    </w:p>
    <w:p w14:paraId="5A654479" w14:textId="77777777" w:rsidR="005F1CC5" w:rsidRPr="0012042A" w:rsidRDefault="005F1CC5" w:rsidP="00524564">
      <w:pPr>
        <w:autoSpaceDE w:val="0"/>
        <w:autoSpaceDN w:val="0"/>
        <w:adjustRightInd w:val="0"/>
        <w:ind w:left="360"/>
        <w:rPr>
          <w:color w:val="auto"/>
        </w:rPr>
      </w:pPr>
    </w:p>
    <w:p w14:paraId="033C1827" w14:textId="67C34AF2" w:rsidR="00EF02A2" w:rsidRPr="0012042A" w:rsidRDefault="005F1CC5" w:rsidP="00524564">
      <w:pPr>
        <w:ind w:left="360"/>
        <w:rPr>
          <w:color w:val="auto"/>
        </w:rPr>
      </w:pPr>
      <w:bookmarkStart w:id="15" w:name="_Hlk534486526"/>
      <w:r w:rsidRPr="0012042A">
        <w:rPr>
          <w:color w:val="auto"/>
        </w:rPr>
        <w:t xml:space="preserve">1. </w:t>
      </w:r>
      <w:r w:rsidR="00EF02A2" w:rsidRPr="0012042A">
        <w:rPr>
          <w:color w:val="auto"/>
        </w:rPr>
        <w:t xml:space="preserve">Neither the State of Illinois nor ICJIA are obligated to make any award </w:t>
      </w:r>
      <w:proofErr w:type="gramStart"/>
      <w:r w:rsidR="00EF02A2" w:rsidRPr="0012042A">
        <w:rPr>
          <w:color w:val="auto"/>
        </w:rPr>
        <w:t>as a result of</w:t>
      </w:r>
      <w:proofErr w:type="gramEnd"/>
      <w:r w:rsidR="00EF02A2" w:rsidRPr="0012042A">
        <w:rPr>
          <w:color w:val="auto"/>
        </w:rPr>
        <w:t xml:space="preserve"> this announcement. The ICJIA Executive Director or designee has sole authority to bind ICJIA to the expenditure of funds through the execution of grant agreements.</w:t>
      </w:r>
    </w:p>
    <w:p w14:paraId="4CD94BDC" w14:textId="6125D3D2" w:rsidR="00EF02A2" w:rsidRPr="0012042A" w:rsidRDefault="00EF02A2" w:rsidP="00524564">
      <w:pPr>
        <w:ind w:left="360"/>
        <w:rPr>
          <w:color w:val="auto"/>
        </w:rPr>
      </w:pPr>
      <w:r w:rsidRPr="0012042A">
        <w:rPr>
          <w:color w:val="auto"/>
        </w:rPr>
        <w:t xml:space="preserve"> </w:t>
      </w:r>
    </w:p>
    <w:p w14:paraId="44F2996B" w14:textId="699FA642" w:rsidR="00EF02A2" w:rsidRPr="0012042A" w:rsidRDefault="005F1CC5" w:rsidP="00524564">
      <w:pPr>
        <w:autoSpaceDE w:val="0"/>
        <w:autoSpaceDN w:val="0"/>
        <w:adjustRightInd w:val="0"/>
        <w:ind w:left="360"/>
        <w:rPr>
          <w:color w:val="auto"/>
        </w:rPr>
      </w:pPr>
      <w:r w:rsidRPr="0012042A">
        <w:rPr>
          <w:color w:val="auto"/>
        </w:rPr>
        <w:t xml:space="preserve">2. </w:t>
      </w:r>
      <w:r w:rsidR="00EF02A2" w:rsidRPr="0012042A">
        <w:rPr>
          <w:color w:val="auto"/>
        </w:rPr>
        <w:t xml:space="preserve">This application is subject to the Illinois Freedom of Information Act. </w:t>
      </w:r>
      <w:r w:rsidR="003143A5" w:rsidRPr="0012042A">
        <w:rPr>
          <w:color w:val="auto"/>
        </w:rPr>
        <w:t xml:space="preserve">Any information that the applicant believes should be exempt under FOIA should clearly highlight the information that is exempt, and the basis of the exemption. </w:t>
      </w:r>
    </w:p>
    <w:bookmarkEnd w:id="15"/>
    <w:p w14:paraId="0D33AE7A" w14:textId="77777777" w:rsidR="00EF02A2" w:rsidRPr="0012042A" w:rsidRDefault="00EF02A2" w:rsidP="00524564">
      <w:pPr>
        <w:autoSpaceDE w:val="0"/>
        <w:autoSpaceDN w:val="0"/>
        <w:adjustRightInd w:val="0"/>
        <w:ind w:left="360"/>
        <w:rPr>
          <w:color w:val="auto"/>
        </w:rPr>
      </w:pPr>
    </w:p>
    <w:sectPr w:rsidR="00EF02A2" w:rsidRPr="0012042A" w:rsidSect="00E2164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89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141F8" w14:textId="77777777" w:rsidR="00E30203" w:rsidRDefault="00E30203">
      <w:r>
        <w:separator/>
      </w:r>
    </w:p>
  </w:endnote>
  <w:endnote w:type="continuationSeparator" w:id="0">
    <w:p w14:paraId="06D93078" w14:textId="77777777" w:rsidR="00E30203" w:rsidRDefault="00E3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AFF" w:usb1="C000E47F" w:usb2="0000002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4DB6C" w14:textId="77777777" w:rsidR="00E30203" w:rsidRDefault="00E302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17853384"/>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27DB8B24" w14:textId="2900BFA9" w:rsidR="00E30203" w:rsidRDefault="00E30203" w:rsidP="00F76DF1">
            <w:pPr>
              <w:pStyle w:val="Footer"/>
              <w:jc w:val="right"/>
              <w:rPr>
                <w:sz w:val="20"/>
                <w:szCs w:val="20"/>
              </w:rPr>
            </w:pPr>
            <w:r>
              <w:rPr>
                <w:sz w:val="20"/>
                <w:szCs w:val="20"/>
              </w:rPr>
              <w:t>Version 3.6.19</w:t>
            </w:r>
          </w:p>
          <w:p w14:paraId="4B842F53" w14:textId="5709DA33" w:rsidR="00E30203" w:rsidRPr="00F76DF1" w:rsidRDefault="00E30203" w:rsidP="00F76DF1">
            <w:pPr>
              <w:pStyle w:val="Footer"/>
              <w:jc w:val="right"/>
              <w:rPr>
                <w:sz w:val="20"/>
                <w:szCs w:val="20"/>
              </w:rPr>
            </w:pPr>
            <w:r w:rsidRPr="00A0400E">
              <w:rPr>
                <w:sz w:val="20"/>
                <w:szCs w:val="20"/>
              </w:rPr>
              <w:t xml:space="preserve">Page </w:t>
            </w:r>
            <w:r w:rsidRPr="00A0400E">
              <w:rPr>
                <w:b/>
                <w:bCs/>
                <w:sz w:val="20"/>
                <w:szCs w:val="20"/>
              </w:rPr>
              <w:fldChar w:fldCharType="begin"/>
            </w:r>
            <w:r w:rsidRPr="00A0400E">
              <w:rPr>
                <w:b/>
                <w:bCs/>
                <w:sz w:val="20"/>
                <w:szCs w:val="20"/>
              </w:rPr>
              <w:instrText xml:space="preserve"> PAGE </w:instrText>
            </w:r>
            <w:r w:rsidRPr="00A0400E">
              <w:rPr>
                <w:b/>
                <w:bCs/>
                <w:sz w:val="20"/>
                <w:szCs w:val="20"/>
              </w:rPr>
              <w:fldChar w:fldCharType="separate"/>
            </w:r>
            <w:r w:rsidR="00F576EF">
              <w:rPr>
                <w:b/>
                <w:bCs/>
                <w:noProof/>
                <w:sz w:val="20"/>
                <w:szCs w:val="20"/>
              </w:rPr>
              <w:t>2</w:t>
            </w:r>
            <w:r w:rsidRPr="00A0400E">
              <w:rPr>
                <w:b/>
                <w:bCs/>
                <w:sz w:val="20"/>
                <w:szCs w:val="20"/>
              </w:rPr>
              <w:fldChar w:fldCharType="end"/>
            </w:r>
            <w:r w:rsidRPr="00A0400E">
              <w:rPr>
                <w:sz w:val="20"/>
                <w:szCs w:val="20"/>
              </w:rPr>
              <w:t xml:space="preserve"> of </w:t>
            </w:r>
            <w:r w:rsidRPr="00A0400E">
              <w:rPr>
                <w:b/>
                <w:bCs/>
                <w:sz w:val="20"/>
                <w:szCs w:val="20"/>
              </w:rPr>
              <w:fldChar w:fldCharType="begin"/>
            </w:r>
            <w:r w:rsidRPr="00A0400E">
              <w:rPr>
                <w:b/>
                <w:bCs/>
                <w:sz w:val="20"/>
                <w:szCs w:val="20"/>
              </w:rPr>
              <w:instrText xml:space="preserve"> NUMPAGES  </w:instrText>
            </w:r>
            <w:r w:rsidRPr="00A0400E">
              <w:rPr>
                <w:b/>
                <w:bCs/>
                <w:sz w:val="20"/>
                <w:szCs w:val="20"/>
              </w:rPr>
              <w:fldChar w:fldCharType="separate"/>
            </w:r>
            <w:r w:rsidR="00F576EF">
              <w:rPr>
                <w:b/>
                <w:bCs/>
                <w:noProof/>
                <w:sz w:val="20"/>
                <w:szCs w:val="20"/>
              </w:rPr>
              <w:t>21</w:t>
            </w:r>
            <w:r w:rsidRPr="00A0400E">
              <w:rPr>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A69D6" w14:textId="77777777" w:rsidR="00E30203" w:rsidRDefault="00E302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C8DA6" w14:textId="77777777" w:rsidR="00E30203" w:rsidRDefault="00E30203">
      <w:r>
        <w:separator/>
      </w:r>
    </w:p>
  </w:footnote>
  <w:footnote w:type="continuationSeparator" w:id="0">
    <w:p w14:paraId="4C582E21" w14:textId="77777777" w:rsidR="00E30203" w:rsidRDefault="00E302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087F" w14:textId="77777777" w:rsidR="00E30203" w:rsidRDefault="00E302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6338" w14:textId="4407BB6F" w:rsidR="00E30203" w:rsidRDefault="00E302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1A12B" w14:textId="77777777" w:rsidR="00E30203" w:rsidRDefault="00E302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3AF4"/>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0A940564"/>
    <w:multiLevelType w:val="hybridMultilevel"/>
    <w:tmpl w:val="7B363712"/>
    <w:lvl w:ilvl="0" w:tplc="324CE132">
      <w:start w:val="1"/>
      <w:numFmt w:val="lowerLetter"/>
      <w:lvlText w:val="%1."/>
      <w:lvlJc w:val="left"/>
      <w:pPr>
        <w:ind w:left="1530" w:hanging="360"/>
      </w:pPr>
      <w:rPr>
        <w:rFonts w:hint="default"/>
        <w:b w:val="0"/>
        <w:i/>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13B41A4A"/>
    <w:multiLevelType w:val="hybridMultilevel"/>
    <w:tmpl w:val="6C36D5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520147A"/>
    <w:multiLevelType w:val="hybridMultilevel"/>
    <w:tmpl w:val="7FF2E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7A76"/>
    <w:multiLevelType w:val="hybridMultilevel"/>
    <w:tmpl w:val="ADDE934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6CB0DEA"/>
    <w:multiLevelType w:val="hybridMultilevel"/>
    <w:tmpl w:val="F0EC2E9C"/>
    <w:lvl w:ilvl="0" w:tplc="0409000D">
      <w:start w:val="1"/>
      <w:numFmt w:val="bullet"/>
      <w:lvlText w:val=""/>
      <w:lvlJc w:val="left"/>
      <w:pPr>
        <w:ind w:left="414" w:hanging="360"/>
      </w:pPr>
      <w:rPr>
        <w:rFonts w:ascii="Wingdings" w:hAnsi="Wingdings" w:hint="default"/>
      </w:rPr>
    </w:lvl>
    <w:lvl w:ilvl="1" w:tplc="04090003" w:tentative="1">
      <w:start w:val="1"/>
      <w:numFmt w:val="bullet"/>
      <w:lvlText w:val="o"/>
      <w:lvlJc w:val="left"/>
      <w:pPr>
        <w:ind w:left="1134" w:hanging="360"/>
      </w:pPr>
      <w:rPr>
        <w:rFonts w:ascii="Courier New" w:hAnsi="Courier New" w:cs="Courier New" w:hint="default"/>
      </w:rPr>
    </w:lvl>
    <w:lvl w:ilvl="2" w:tplc="04090005" w:tentative="1">
      <w:start w:val="1"/>
      <w:numFmt w:val="bullet"/>
      <w:lvlText w:val=""/>
      <w:lvlJc w:val="left"/>
      <w:pPr>
        <w:ind w:left="1854" w:hanging="360"/>
      </w:pPr>
      <w:rPr>
        <w:rFonts w:ascii="Wingdings" w:hAnsi="Wingdings" w:hint="default"/>
      </w:rPr>
    </w:lvl>
    <w:lvl w:ilvl="3" w:tplc="04090001" w:tentative="1">
      <w:start w:val="1"/>
      <w:numFmt w:val="bullet"/>
      <w:lvlText w:val=""/>
      <w:lvlJc w:val="left"/>
      <w:pPr>
        <w:ind w:left="2574" w:hanging="360"/>
      </w:pPr>
      <w:rPr>
        <w:rFonts w:ascii="Symbol" w:hAnsi="Symbol" w:hint="default"/>
      </w:rPr>
    </w:lvl>
    <w:lvl w:ilvl="4" w:tplc="04090003" w:tentative="1">
      <w:start w:val="1"/>
      <w:numFmt w:val="bullet"/>
      <w:lvlText w:val="o"/>
      <w:lvlJc w:val="left"/>
      <w:pPr>
        <w:ind w:left="3294" w:hanging="360"/>
      </w:pPr>
      <w:rPr>
        <w:rFonts w:ascii="Courier New" w:hAnsi="Courier New" w:cs="Courier New" w:hint="default"/>
      </w:rPr>
    </w:lvl>
    <w:lvl w:ilvl="5" w:tplc="04090005" w:tentative="1">
      <w:start w:val="1"/>
      <w:numFmt w:val="bullet"/>
      <w:lvlText w:val=""/>
      <w:lvlJc w:val="left"/>
      <w:pPr>
        <w:ind w:left="4014" w:hanging="360"/>
      </w:pPr>
      <w:rPr>
        <w:rFonts w:ascii="Wingdings" w:hAnsi="Wingdings" w:hint="default"/>
      </w:rPr>
    </w:lvl>
    <w:lvl w:ilvl="6" w:tplc="04090001" w:tentative="1">
      <w:start w:val="1"/>
      <w:numFmt w:val="bullet"/>
      <w:lvlText w:val=""/>
      <w:lvlJc w:val="left"/>
      <w:pPr>
        <w:ind w:left="4734" w:hanging="360"/>
      </w:pPr>
      <w:rPr>
        <w:rFonts w:ascii="Symbol" w:hAnsi="Symbol" w:hint="default"/>
      </w:rPr>
    </w:lvl>
    <w:lvl w:ilvl="7" w:tplc="04090003" w:tentative="1">
      <w:start w:val="1"/>
      <w:numFmt w:val="bullet"/>
      <w:lvlText w:val="o"/>
      <w:lvlJc w:val="left"/>
      <w:pPr>
        <w:ind w:left="5454" w:hanging="360"/>
      </w:pPr>
      <w:rPr>
        <w:rFonts w:ascii="Courier New" w:hAnsi="Courier New" w:cs="Courier New" w:hint="default"/>
      </w:rPr>
    </w:lvl>
    <w:lvl w:ilvl="8" w:tplc="04090005" w:tentative="1">
      <w:start w:val="1"/>
      <w:numFmt w:val="bullet"/>
      <w:lvlText w:val=""/>
      <w:lvlJc w:val="left"/>
      <w:pPr>
        <w:ind w:left="6174" w:hanging="360"/>
      </w:pPr>
      <w:rPr>
        <w:rFonts w:ascii="Wingdings" w:hAnsi="Wingdings" w:hint="default"/>
      </w:rPr>
    </w:lvl>
  </w:abstractNum>
  <w:abstractNum w:abstractNumId="6" w15:restartNumberingAfterBreak="0">
    <w:nsid w:val="199C26DC"/>
    <w:multiLevelType w:val="hybridMultilevel"/>
    <w:tmpl w:val="E35C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B61205"/>
    <w:multiLevelType w:val="hybridMultilevel"/>
    <w:tmpl w:val="ED0EBC5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21829"/>
    <w:multiLevelType w:val="hybridMultilevel"/>
    <w:tmpl w:val="2FCC189A"/>
    <w:lvl w:ilvl="0" w:tplc="04090001">
      <w:start w:val="1"/>
      <w:numFmt w:val="bullet"/>
      <w:lvlText w:val=""/>
      <w:lvlJc w:val="left"/>
      <w:pPr>
        <w:tabs>
          <w:tab w:val="num" w:pos="1105"/>
        </w:tabs>
        <w:ind w:left="1105" w:hanging="360"/>
      </w:pPr>
      <w:rPr>
        <w:rFonts w:ascii="Symbol" w:hAnsi="Symbol" w:hint="default"/>
      </w:rPr>
    </w:lvl>
    <w:lvl w:ilvl="1" w:tplc="04090003" w:tentative="1">
      <w:start w:val="1"/>
      <w:numFmt w:val="bullet"/>
      <w:lvlText w:val="o"/>
      <w:lvlJc w:val="left"/>
      <w:pPr>
        <w:tabs>
          <w:tab w:val="num" w:pos="1825"/>
        </w:tabs>
        <w:ind w:left="1825" w:hanging="360"/>
      </w:pPr>
      <w:rPr>
        <w:rFonts w:ascii="Courier New" w:hAnsi="Courier New" w:cs="Courier New" w:hint="default"/>
      </w:rPr>
    </w:lvl>
    <w:lvl w:ilvl="2" w:tplc="04090005" w:tentative="1">
      <w:start w:val="1"/>
      <w:numFmt w:val="bullet"/>
      <w:lvlText w:val=""/>
      <w:lvlJc w:val="left"/>
      <w:pPr>
        <w:tabs>
          <w:tab w:val="num" w:pos="2545"/>
        </w:tabs>
        <w:ind w:left="2545" w:hanging="360"/>
      </w:pPr>
      <w:rPr>
        <w:rFonts w:ascii="Wingdings" w:hAnsi="Wingdings" w:hint="default"/>
      </w:rPr>
    </w:lvl>
    <w:lvl w:ilvl="3" w:tplc="04090001" w:tentative="1">
      <w:start w:val="1"/>
      <w:numFmt w:val="bullet"/>
      <w:lvlText w:val=""/>
      <w:lvlJc w:val="left"/>
      <w:pPr>
        <w:tabs>
          <w:tab w:val="num" w:pos="3265"/>
        </w:tabs>
        <w:ind w:left="3265" w:hanging="360"/>
      </w:pPr>
      <w:rPr>
        <w:rFonts w:ascii="Symbol" w:hAnsi="Symbol" w:hint="default"/>
      </w:rPr>
    </w:lvl>
    <w:lvl w:ilvl="4" w:tplc="04090003" w:tentative="1">
      <w:start w:val="1"/>
      <w:numFmt w:val="bullet"/>
      <w:lvlText w:val="o"/>
      <w:lvlJc w:val="left"/>
      <w:pPr>
        <w:tabs>
          <w:tab w:val="num" w:pos="3985"/>
        </w:tabs>
        <w:ind w:left="3985" w:hanging="360"/>
      </w:pPr>
      <w:rPr>
        <w:rFonts w:ascii="Courier New" w:hAnsi="Courier New" w:cs="Courier New" w:hint="default"/>
      </w:rPr>
    </w:lvl>
    <w:lvl w:ilvl="5" w:tplc="04090005" w:tentative="1">
      <w:start w:val="1"/>
      <w:numFmt w:val="bullet"/>
      <w:lvlText w:val=""/>
      <w:lvlJc w:val="left"/>
      <w:pPr>
        <w:tabs>
          <w:tab w:val="num" w:pos="4705"/>
        </w:tabs>
        <w:ind w:left="4705" w:hanging="360"/>
      </w:pPr>
      <w:rPr>
        <w:rFonts w:ascii="Wingdings" w:hAnsi="Wingdings" w:hint="default"/>
      </w:rPr>
    </w:lvl>
    <w:lvl w:ilvl="6" w:tplc="04090001" w:tentative="1">
      <w:start w:val="1"/>
      <w:numFmt w:val="bullet"/>
      <w:lvlText w:val=""/>
      <w:lvlJc w:val="left"/>
      <w:pPr>
        <w:tabs>
          <w:tab w:val="num" w:pos="5425"/>
        </w:tabs>
        <w:ind w:left="5425" w:hanging="360"/>
      </w:pPr>
      <w:rPr>
        <w:rFonts w:ascii="Symbol" w:hAnsi="Symbol" w:hint="default"/>
      </w:rPr>
    </w:lvl>
    <w:lvl w:ilvl="7" w:tplc="04090003" w:tentative="1">
      <w:start w:val="1"/>
      <w:numFmt w:val="bullet"/>
      <w:lvlText w:val="o"/>
      <w:lvlJc w:val="left"/>
      <w:pPr>
        <w:tabs>
          <w:tab w:val="num" w:pos="6145"/>
        </w:tabs>
        <w:ind w:left="6145" w:hanging="360"/>
      </w:pPr>
      <w:rPr>
        <w:rFonts w:ascii="Courier New" w:hAnsi="Courier New" w:cs="Courier New" w:hint="default"/>
      </w:rPr>
    </w:lvl>
    <w:lvl w:ilvl="8" w:tplc="04090005" w:tentative="1">
      <w:start w:val="1"/>
      <w:numFmt w:val="bullet"/>
      <w:lvlText w:val=""/>
      <w:lvlJc w:val="left"/>
      <w:pPr>
        <w:tabs>
          <w:tab w:val="num" w:pos="6865"/>
        </w:tabs>
        <w:ind w:left="6865" w:hanging="360"/>
      </w:pPr>
      <w:rPr>
        <w:rFonts w:ascii="Wingdings" w:hAnsi="Wingdings" w:hint="default"/>
      </w:rPr>
    </w:lvl>
  </w:abstractNum>
  <w:abstractNum w:abstractNumId="9" w15:restartNumberingAfterBreak="0">
    <w:nsid w:val="20FB66D6"/>
    <w:multiLevelType w:val="hybridMultilevel"/>
    <w:tmpl w:val="26EA6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9B779DC"/>
    <w:multiLevelType w:val="hybridMultilevel"/>
    <w:tmpl w:val="649C1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B56FD4"/>
    <w:multiLevelType w:val="hybridMultilevel"/>
    <w:tmpl w:val="618EFF76"/>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2DEE483D"/>
    <w:multiLevelType w:val="hybridMultilevel"/>
    <w:tmpl w:val="20BE5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E455854"/>
    <w:multiLevelType w:val="hybridMultilevel"/>
    <w:tmpl w:val="BDFA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C62D9"/>
    <w:multiLevelType w:val="hybridMultilevel"/>
    <w:tmpl w:val="F39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97C07"/>
    <w:multiLevelType w:val="multilevel"/>
    <w:tmpl w:val="9136409E"/>
    <w:lvl w:ilvl="0">
      <w:start w:val="1"/>
      <w:numFmt w:val="upperLetter"/>
      <w:lvlText w:val="%1."/>
      <w:lvlJc w:val="left"/>
      <w:pPr>
        <w:tabs>
          <w:tab w:val="num" w:pos="1080"/>
        </w:tabs>
        <w:ind w:left="1080" w:hanging="360"/>
      </w:pPr>
    </w:lvl>
    <w:lvl w:ilvl="1">
      <w:start w:val="1"/>
      <w:numFmt w:val="bullet"/>
      <w:lvlText w:val=""/>
      <w:lvlJc w:val="left"/>
      <w:pPr>
        <w:tabs>
          <w:tab w:val="num" w:pos="2160"/>
        </w:tabs>
        <w:ind w:left="2160" w:hanging="360"/>
      </w:pPr>
      <w:rPr>
        <w:rFonts w:ascii="Wingdings" w:hAnsi="Wingding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Wingdings" w:hAnsi="Wingdings" w:hint="default"/>
      </w:rPr>
    </w:lvl>
    <w:lvl w:ilvl="4">
      <w:start w:val="1"/>
      <w:numFmt w:val="upperLetter"/>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ind w:left="5760" w:hanging="360"/>
      </w:pPr>
      <w:rPr>
        <w:rFonts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5C16AB6"/>
    <w:multiLevelType w:val="hybridMultilevel"/>
    <w:tmpl w:val="0C905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86401D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0CA430C"/>
    <w:multiLevelType w:val="hybridMultilevel"/>
    <w:tmpl w:val="E4BED7E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420516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E832F4A"/>
    <w:multiLevelType w:val="hybridMultilevel"/>
    <w:tmpl w:val="B15A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E62659"/>
    <w:multiLevelType w:val="hybridMultilevel"/>
    <w:tmpl w:val="CA64E4FA"/>
    <w:lvl w:ilvl="0" w:tplc="DBC0025E">
      <w:start w:val="1"/>
      <w:numFmt w:val="lowerLetter"/>
      <w:lvlText w:val="%1."/>
      <w:lvlJc w:val="left"/>
      <w:pPr>
        <w:ind w:left="1080" w:hanging="360"/>
      </w:pPr>
      <w:rPr>
        <w:rFonts w:hint="default"/>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0965B3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AB6676"/>
    <w:multiLevelType w:val="hybridMultilevel"/>
    <w:tmpl w:val="F8B4A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61C4B58"/>
    <w:multiLevelType w:val="hybridMultilevel"/>
    <w:tmpl w:val="5922DAB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6E13DBA"/>
    <w:multiLevelType w:val="hybridMultilevel"/>
    <w:tmpl w:val="DBA87B58"/>
    <w:lvl w:ilvl="0" w:tplc="57BC33B2">
      <w:start w:val="1"/>
      <w:numFmt w:val="upperLetter"/>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C336052"/>
    <w:multiLevelType w:val="multilevel"/>
    <w:tmpl w:val="E236E22A"/>
    <w:lvl w:ilvl="0">
      <w:start w:val="1"/>
      <w:numFmt w:val="decimal"/>
      <w:lvlText w:val="%1."/>
      <w:lvlJc w:val="left"/>
      <w:pPr>
        <w:ind w:left="360" w:firstLine="720"/>
      </w:pPr>
      <w:rPr>
        <w:color w:val="auto"/>
      </w:rPr>
    </w:lvl>
    <w:lvl w:ilvl="1">
      <w:start w:val="1"/>
      <w:numFmt w:val="lowerLetter"/>
      <w:lvlText w:val="%2."/>
      <w:lvlJc w:val="left"/>
      <w:pPr>
        <w:ind w:left="1080" w:firstLine="2880"/>
      </w:pPr>
    </w:lvl>
    <w:lvl w:ilvl="2">
      <w:start w:val="1"/>
      <w:numFmt w:val="lowerRoman"/>
      <w:lvlText w:val="%3."/>
      <w:lvlJc w:val="right"/>
      <w:pPr>
        <w:ind w:left="1800" w:firstLine="5220"/>
      </w:pPr>
    </w:lvl>
    <w:lvl w:ilvl="3">
      <w:start w:val="1"/>
      <w:numFmt w:val="decimal"/>
      <w:lvlText w:val="%4."/>
      <w:lvlJc w:val="left"/>
      <w:pPr>
        <w:ind w:left="2520" w:firstLine="7200"/>
      </w:pPr>
    </w:lvl>
    <w:lvl w:ilvl="4">
      <w:start w:val="1"/>
      <w:numFmt w:val="lowerLetter"/>
      <w:lvlText w:val="%5."/>
      <w:lvlJc w:val="left"/>
      <w:pPr>
        <w:ind w:left="3240" w:firstLine="9360"/>
      </w:pPr>
    </w:lvl>
    <w:lvl w:ilvl="5">
      <w:start w:val="1"/>
      <w:numFmt w:val="lowerRoman"/>
      <w:lvlText w:val="%6."/>
      <w:lvlJc w:val="right"/>
      <w:pPr>
        <w:ind w:left="3960" w:firstLine="11700"/>
      </w:pPr>
    </w:lvl>
    <w:lvl w:ilvl="6">
      <w:start w:val="1"/>
      <w:numFmt w:val="decimal"/>
      <w:lvlText w:val="%7."/>
      <w:lvlJc w:val="left"/>
      <w:pPr>
        <w:ind w:left="4680" w:firstLine="13680"/>
      </w:pPr>
    </w:lvl>
    <w:lvl w:ilvl="7">
      <w:start w:val="1"/>
      <w:numFmt w:val="lowerLetter"/>
      <w:lvlText w:val="%8."/>
      <w:lvlJc w:val="left"/>
      <w:pPr>
        <w:ind w:left="5400" w:firstLine="15840"/>
      </w:pPr>
    </w:lvl>
    <w:lvl w:ilvl="8">
      <w:start w:val="1"/>
      <w:numFmt w:val="lowerRoman"/>
      <w:lvlText w:val="%9."/>
      <w:lvlJc w:val="right"/>
      <w:pPr>
        <w:ind w:left="6120" w:firstLine="18180"/>
      </w:pPr>
    </w:lvl>
  </w:abstractNum>
  <w:abstractNum w:abstractNumId="28" w15:restartNumberingAfterBreak="0">
    <w:nsid w:val="602A6415"/>
    <w:multiLevelType w:val="hybridMultilevel"/>
    <w:tmpl w:val="367C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5827DD"/>
    <w:multiLevelType w:val="hybridMultilevel"/>
    <w:tmpl w:val="235C0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607D35"/>
    <w:multiLevelType w:val="hybridMultilevel"/>
    <w:tmpl w:val="D490236E"/>
    <w:lvl w:ilvl="0" w:tplc="93386B92">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84868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6B52E4"/>
    <w:multiLevelType w:val="hybridMultilevel"/>
    <w:tmpl w:val="7646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3529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987130C"/>
    <w:multiLevelType w:val="hybridMultilevel"/>
    <w:tmpl w:val="DB90AF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0353D2"/>
    <w:multiLevelType w:val="hybridMultilevel"/>
    <w:tmpl w:val="D3E818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651185"/>
    <w:multiLevelType w:val="hybridMultilevel"/>
    <w:tmpl w:val="9092DB9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D516411"/>
    <w:multiLevelType w:val="hybridMultilevel"/>
    <w:tmpl w:val="6ACA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
  </w:num>
  <w:num w:numId="3">
    <w:abstractNumId w:val="17"/>
  </w:num>
  <w:num w:numId="4">
    <w:abstractNumId w:val="24"/>
  </w:num>
  <w:num w:numId="5">
    <w:abstractNumId w:val="9"/>
  </w:num>
  <w:num w:numId="6">
    <w:abstractNumId w:val="16"/>
  </w:num>
  <w:num w:numId="7">
    <w:abstractNumId w:val="11"/>
  </w:num>
  <w:num w:numId="8">
    <w:abstractNumId w:val="12"/>
  </w:num>
  <w:num w:numId="9">
    <w:abstractNumId w:val="26"/>
  </w:num>
  <w:num w:numId="10">
    <w:abstractNumId w:val="19"/>
  </w:num>
  <w:num w:numId="11">
    <w:abstractNumId w:val="1"/>
  </w:num>
  <w:num w:numId="12">
    <w:abstractNumId w:val="37"/>
  </w:num>
  <w:num w:numId="13">
    <w:abstractNumId w:val="25"/>
  </w:num>
  <w:num w:numId="14">
    <w:abstractNumId w:val="22"/>
  </w:num>
  <w:num w:numId="15">
    <w:abstractNumId w:val="30"/>
  </w:num>
  <w:num w:numId="16">
    <w:abstractNumId w:val="29"/>
  </w:num>
  <w:num w:numId="17">
    <w:abstractNumId w:val="3"/>
  </w:num>
  <w:num w:numId="18">
    <w:abstractNumId w:val="2"/>
  </w:num>
  <w:num w:numId="19">
    <w:abstractNumId w:val="5"/>
  </w:num>
  <w:num w:numId="20">
    <w:abstractNumId w:val="0"/>
  </w:num>
  <w:num w:numId="21">
    <w:abstractNumId w:val="15"/>
  </w:num>
  <w:num w:numId="22">
    <w:abstractNumId w:val="20"/>
  </w:num>
  <w:num w:numId="23">
    <w:abstractNumId w:val="18"/>
  </w:num>
  <w:num w:numId="24">
    <w:abstractNumId w:val="31"/>
  </w:num>
  <w:num w:numId="25">
    <w:abstractNumId w:val="23"/>
  </w:num>
  <w:num w:numId="26">
    <w:abstractNumId w:val="33"/>
  </w:num>
  <w:num w:numId="27">
    <w:abstractNumId w:val="35"/>
  </w:num>
  <w:num w:numId="28">
    <w:abstractNumId w:val="36"/>
  </w:num>
  <w:num w:numId="29">
    <w:abstractNumId w:val="34"/>
  </w:num>
  <w:num w:numId="30">
    <w:abstractNumId w:val="8"/>
  </w:num>
  <w:num w:numId="31">
    <w:abstractNumId w:val="14"/>
  </w:num>
  <w:num w:numId="32">
    <w:abstractNumId w:val="6"/>
  </w:num>
  <w:num w:numId="33">
    <w:abstractNumId w:val="13"/>
  </w:num>
  <w:num w:numId="34">
    <w:abstractNumId w:val="21"/>
  </w:num>
  <w:num w:numId="35">
    <w:abstractNumId w:val="32"/>
  </w:num>
  <w:num w:numId="36">
    <w:abstractNumId w:val="10"/>
  </w:num>
  <w:num w:numId="37">
    <w:abstractNumId w:val="7"/>
  </w:num>
  <w:num w:numId="38">
    <w:abstractNumId w:val="28"/>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8E9"/>
    <w:rsid w:val="000011BC"/>
    <w:rsid w:val="00003737"/>
    <w:rsid w:val="00004419"/>
    <w:rsid w:val="0000458C"/>
    <w:rsid w:val="00005993"/>
    <w:rsid w:val="00005F18"/>
    <w:rsid w:val="00006686"/>
    <w:rsid w:val="00006CBF"/>
    <w:rsid w:val="00006CF8"/>
    <w:rsid w:val="00006E19"/>
    <w:rsid w:val="00013187"/>
    <w:rsid w:val="0001407B"/>
    <w:rsid w:val="00014782"/>
    <w:rsid w:val="0001487F"/>
    <w:rsid w:val="00014E9D"/>
    <w:rsid w:val="00017495"/>
    <w:rsid w:val="00020DF0"/>
    <w:rsid w:val="00021573"/>
    <w:rsid w:val="00021A3F"/>
    <w:rsid w:val="00021C27"/>
    <w:rsid w:val="00021CBD"/>
    <w:rsid w:val="000243F5"/>
    <w:rsid w:val="00024772"/>
    <w:rsid w:val="00030AAB"/>
    <w:rsid w:val="00031808"/>
    <w:rsid w:val="00031886"/>
    <w:rsid w:val="000327AC"/>
    <w:rsid w:val="00032AE9"/>
    <w:rsid w:val="00032D3F"/>
    <w:rsid w:val="00033896"/>
    <w:rsid w:val="00035B41"/>
    <w:rsid w:val="000367CA"/>
    <w:rsid w:val="00036961"/>
    <w:rsid w:val="0004020A"/>
    <w:rsid w:val="00040A05"/>
    <w:rsid w:val="00043B34"/>
    <w:rsid w:val="0004488F"/>
    <w:rsid w:val="00044A81"/>
    <w:rsid w:val="000450FA"/>
    <w:rsid w:val="00045AA3"/>
    <w:rsid w:val="000466A5"/>
    <w:rsid w:val="00047254"/>
    <w:rsid w:val="00047950"/>
    <w:rsid w:val="0005001B"/>
    <w:rsid w:val="000506BB"/>
    <w:rsid w:val="000509EB"/>
    <w:rsid w:val="000520AB"/>
    <w:rsid w:val="00052531"/>
    <w:rsid w:val="00053161"/>
    <w:rsid w:val="00053EE1"/>
    <w:rsid w:val="00053F8D"/>
    <w:rsid w:val="00054503"/>
    <w:rsid w:val="00055B55"/>
    <w:rsid w:val="00056392"/>
    <w:rsid w:val="000566D8"/>
    <w:rsid w:val="000576E6"/>
    <w:rsid w:val="00057856"/>
    <w:rsid w:val="00057A30"/>
    <w:rsid w:val="00060499"/>
    <w:rsid w:val="00060BE2"/>
    <w:rsid w:val="00061275"/>
    <w:rsid w:val="0006398D"/>
    <w:rsid w:val="00065A49"/>
    <w:rsid w:val="0007102F"/>
    <w:rsid w:val="000723F5"/>
    <w:rsid w:val="00072AC2"/>
    <w:rsid w:val="00073ABF"/>
    <w:rsid w:val="00076773"/>
    <w:rsid w:val="00077F36"/>
    <w:rsid w:val="00081946"/>
    <w:rsid w:val="00083F2B"/>
    <w:rsid w:val="00084170"/>
    <w:rsid w:val="000864BB"/>
    <w:rsid w:val="00086B35"/>
    <w:rsid w:val="00087124"/>
    <w:rsid w:val="00090719"/>
    <w:rsid w:val="0009412C"/>
    <w:rsid w:val="00096B3F"/>
    <w:rsid w:val="00097635"/>
    <w:rsid w:val="000976DF"/>
    <w:rsid w:val="000A03F9"/>
    <w:rsid w:val="000A1295"/>
    <w:rsid w:val="000A12E9"/>
    <w:rsid w:val="000A2223"/>
    <w:rsid w:val="000A2E4F"/>
    <w:rsid w:val="000A3140"/>
    <w:rsid w:val="000A573F"/>
    <w:rsid w:val="000A6910"/>
    <w:rsid w:val="000B21AC"/>
    <w:rsid w:val="000B238F"/>
    <w:rsid w:val="000B318D"/>
    <w:rsid w:val="000B441F"/>
    <w:rsid w:val="000B4458"/>
    <w:rsid w:val="000B472F"/>
    <w:rsid w:val="000B60D0"/>
    <w:rsid w:val="000B74E2"/>
    <w:rsid w:val="000B78F4"/>
    <w:rsid w:val="000C111C"/>
    <w:rsid w:val="000C12F1"/>
    <w:rsid w:val="000C1764"/>
    <w:rsid w:val="000C1971"/>
    <w:rsid w:val="000C23EA"/>
    <w:rsid w:val="000C2F2C"/>
    <w:rsid w:val="000C3672"/>
    <w:rsid w:val="000C3ED8"/>
    <w:rsid w:val="000C41BA"/>
    <w:rsid w:val="000C737F"/>
    <w:rsid w:val="000D4B9A"/>
    <w:rsid w:val="000D5AD5"/>
    <w:rsid w:val="000D6D03"/>
    <w:rsid w:val="000D769B"/>
    <w:rsid w:val="000D78B3"/>
    <w:rsid w:val="000E0C12"/>
    <w:rsid w:val="000E1E99"/>
    <w:rsid w:val="000E2A62"/>
    <w:rsid w:val="000E3E99"/>
    <w:rsid w:val="000E555E"/>
    <w:rsid w:val="000E5BB8"/>
    <w:rsid w:val="000E6198"/>
    <w:rsid w:val="000E6FA9"/>
    <w:rsid w:val="000E790D"/>
    <w:rsid w:val="000F2373"/>
    <w:rsid w:val="000F2F8C"/>
    <w:rsid w:val="000F3F5F"/>
    <w:rsid w:val="000F4AD0"/>
    <w:rsid w:val="000F79AA"/>
    <w:rsid w:val="00103C27"/>
    <w:rsid w:val="00105C60"/>
    <w:rsid w:val="001105F3"/>
    <w:rsid w:val="00110B90"/>
    <w:rsid w:val="00113143"/>
    <w:rsid w:val="00116ADB"/>
    <w:rsid w:val="00116E58"/>
    <w:rsid w:val="00117696"/>
    <w:rsid w:val="0012042A"/>
    <w:rsid w:val="00120F90"/>
    <w:rsid w:val="00121A0B"/>
    <w:rsid w:val="00121CB0"/>
    <w:rsid w:val="00123372"/>
    <w:rsid w:val="001260EF"/>
    <w:rsid w:val="0013081A"/>
    <w:rsid w:val="00130BEF"/>
    <w:rsid w:val="00131F9B"/>
    <w:rsid w:val="001363A3"/>
    <w:rsid w:val="00136828"/>
    <w:rsid w:val="00137612"/>
    <w:rsid w:val="00144375"/>
    <w:rsid w:val="00145239"/>
    <w:rsid w:val="001455B2"/>
    <w:rsid w:val="001466DC"/>
    <w:rsid w:val="001520B5"/>
    <w:rsid w:val="00152764"/>
    <w:rsid w:val="0015289E"/>
    <w:rsid w:val="001536A0"/>
    <w:rsid w:val="00153987"/>
    <w:rsid w:val="00153BE4"/>
    <w:rsid w:val="00154B8D"/>
    <w:rsid w:val="00155AD4"/>
    <w:rsid w:val="00155C7D"/>
    <w:rsid w:val="00156714"/>
    <w:rsid w:val="00157EC2"/>
    <w:rsid w:val="0016087E"/>
    <w:rsid w:val="00162C01"/>
    <w:rsid w:val="00164248"/>
    <w:rsid w:val="001652D1"/>
    <w:rsid w:val="00165B22"/>
    <w:rsid w:val="00170ADA"/>
    <w:rsid w:val="00171A47"/>
    <w:rsid w:val="00172609"/>
    <w:rsid w:val="00173257"/>
    <w:rsid w:val="001735D0"/>
    <w:rsid w:val="0017579A"/>
    <w:rsid w:val="00175976"/>
    <w:rsid w:val="00175D35"/>
    <w:rsid w:val="001762C2"/>
    <w:rsid w:val="001767FC"/>
    <w:rsid w:val="00176844"/>
    <w:rsid w:val="00176941"/>
    <w:rsid w:val="00180683"/>
    <w:rsid w:val="00182064"/>
    <w:rsid w:val="00182423"/>
    <w:rsid w:val="00183095"/>
    <w:rsid w:val="00184303"/>
    <w:rsid w:val="0018474F"/>
    <w:rsid w:val="00184A69"/>
    <w:rsid w:val="0018534E"/>
    <w:rsid w:val="00185BE6"/>
    <w:rsid w:val="00186C01"/>
    <w:rsid w:val="00187048"/>
    <w:rsid w:val="00187832"/>
    <w:rsid w:val="001974D9"/>
    <w:rsid w:val="001A0110"/>
    <w:rsid w:val="001A13A5"/>
    <w:rsid w:val="001A1D9E"/>
    <w:rsid w:val="001A545C"/>
    <w:rsid w:val="001A5E8E"/>
    <w:rsid w:val="001A60A9"/>
    <w:rsid w:val="001A7D52"/>
    <w:rsid w:val="001B08F2"/>
    <w:rsid w:val="001B0D1E"/>
    <w:rsid w:val="001B1092"/>
    <w:rsid w:val="001B2167"/>
    <w:rsid w:val="001B4D28"/>
    <w:rsid w:val="001B58E9"/>
    <w:rsid w:val="001B64FF"/>
    <w:rsid w:val="001B761C"/>
    <w:rsid w:val="001B7D25"/>
    <w:rsid w:val="001C0EE0"/>
    <w:rsid w:val="001C156F"/>
    <w:rsid w:val="001C193C"/>
    <w:rsid w:val="001C2B00"/>
    <w:rsid w:val="001C4B14"/>
    <w:rsid w:val="001C4B17"/>
    <w:rsid w:val="001C4FC3"/>
    <w:rsid w:val="001C5ED6"/>
    <w:rsid w:val="001C6F29"/>
    <w:rsid w:val="001D041C"/>
    <w:rsid w:val="001D1586"/>
    <w:rsid w:val="001D2028"/>
    <w:rsid w:val="001D2694"/>
    <w:rsid w:val="001D41FE"/>
    <w:rsid w:val="001D6010"/>
    <w:rsid w:val="001D60A6"/>
    <w:rsid w:val="001E0704"/>
    <w:rsid w:val="001E3057"/>
    <w:rsid w:val="001E3068"/>
    <w:rsid w:val="001E4CD2"/>
    <w:rsid w:val="001E539D"/>
    <w:rsid w:val="001E6EF5"/>
    <w:rsid w:val="001E708D"/>
    <w:rsid w:val="001F0D62"/>
    <w:rsid w:val="001F100E"/>
    <w:rsid w:val="001F1442"/>
    <w:rsid w:val="001F285E"/>
    <w:rsid w:val="001F2966"/>
    <w:rsid w:val="001F3EAE"/>
    <w:rsid w:val="001F682F"/>
    <w:rsid w:val="002068C2"/>
    <w:rsid w:val="002118AF"/>
    <w:rsid w:val="00211A99"/>
    <w:rsid w:val="00214195"/>
    <w:rsid w:val="00215221"/>
    <w:rsid w:val="0021679E"/>
    <w:rsid w:val="002175CD"/>
    <w:rsid w:val="00220F61"/>
    <w:rsid w:val="00221688"/>
    <w:rsid w:val="00222E58"/>
    <w:rsid w:val="00225687"/>
    <w:rsid w:val="00225C5A"/>
    <w:rsid w:val="00225F6C"/>
    <w:rsid w:val="002260AB"/>
    <w:rsid w:val="002270C4"/>
    <w:rsid w:val="00227521"/>
    <w:rsid w:val="0023058F"/>
    <w:rsid w:val="0023177D"/>
    <w:rsid w:val="002318B4"/>
    <w:rsid w:val="00232F15"/>
    <w:rsid w:val="002333C4"/>
    <w:rsid w:val="002400F9"/>
    <w:rsid w:val="002401CB"/>
    <w:rsid w:val="00241348"/>
    <w:rsid w:val="00241DDC"/>
    <w:rsid w:val="00241DEA"/>
    <w:rsid w:val="00243997"/>
    <w:rsid w:val="00243C7B"/>
    <w:rsid w:val="002452B7"/>
    <w:rsid w:val="00245C12"/>
    <w:rsid w:val="00245C6F"/>
    <w:rsid w:val="00245EBB"/>
    <w:rsid w:val="00247856"/>
    <w:rsid w:val="00251AAE"/>
    <w:rsid w:val="00251C3C"/>
    <w:rsid w:val="00252342"/>
    <w:rsid w:val="00255B8A"/>
    <w:rsid w:val="00256F13"/>
    <w:rsid w:val="00260388"/>
    <w:rsid w:val="00260AEA"/>
    <w:rsid w:val="00262A7D"/>
    <w:rsid w:val="0026543B"/>
    <w:rsid w:val="0027266D"/>
    <w:rsid w:val="00272B90"/>
    <w:rsid w:val="00274656"/>
    <w:rsid w:val="0027500D"/>
    <w:rsid w:val="00275A6D"/>
    <w:rsid w:val="00276ED6"/>
    <w:rsid w:val="002772E1"/>
    <w:rsid w:val="00277A00"/>
    <w:rsid w:val="00280F3D"/>
    <w:rsid w:val="00282A2B"/>
    <w:rsid w:val="00283533"/>
    <w:rsid w:val="002837D0"/>
    <w:rsid w:val="002841C3"/>
    <w:rsid w:val="002842C7"/>
    <w:rsid w:val="00284B18"/>
    <w:rsid w:val="00287A89"/>
    <w:rsid w:val="00290411"/>
    <w:rsid w:val="00291C64"/>
    <w:rsid w:val="00293E74"/>
    <w:rsid w:val="00294A91"/>
    <w:rsid w:val="00295161"/>
    <w:rsid w:val="002977C6"/>
    <w:rsid w:val="00297EC4"/>
    <w:rsid w:val="002A27BF"/>
    <w:rsid w:val="002A36F3"/>
    <w:rsid w:val="002A383B"/>
    <w:rsid w:val="002A690C"/>
    <w:rsid w:val="002A7B24"/>
    <w:rsid w:val="002A7C83"/>
    <w:rsid w:val="002B1E99"/>
    <w:rsid w:val="002B234C"/>
    <w:rsid w:val="002B48DC"/>
    <w:rsid w:val="002B4D28"/>
    <w:rsid w:val="002B572C"/>
    <w:rsid w:val="002B6949"/>
    <w:rsid w:val="002B757F"/>
    <w:rsid w:val="002C05D6"/>
    <w:rsid w:val="002C0C59"/>
    <w:rsid w:val="002C15FE"/>
    <w:rsid w:val="002C218A"/>
    <w:rsid w:val="002C21BA"/>
    <w:rsid w:val="002C3431"/>
    <w:rsid w:val="002C4649"/>
    <w:rsid w:val="002C4B90"/>
    <w:rsid w:val="002C5585"/>
    <w:rsid w:val="002C5957"/>
    <w:rsid w:val="002C650F"/>
    <w:rsid w:val="002D0991"/>
    <w:rsid w:val="002D5BBD"/>
    <w:rsid w:val="002D63B8"/>
    <w:rsid w:val="002E0665"/>
    <w:rsid w:val="002E0778"/>
    <w:rsid w:val="002E5E74"/>
    <w:rsid w:val="002E69A9"/>
    <w:rsid w:val="002E773D"/>
    <w:rsid w:val="002E7C80"/>
    <w:rsid w:val="002F1391"/>
    <w:rsid w:val="002F3D1B"/>
    <w:rsid w:val="002F4BA1"/>
    <w:rsid w:val="002F5591"/>
    <w:rsid w:val="002F5913"/>
    <w:rsid w:val="002F5ECD"/>
    <w:rsid w:val="002F5FF7"/>
    <w:rsid w:val="002F639C"/>
    <w:rsid w:val="002F6909"/>
    <w:rsid w:val="002F6CFA"/>
    <w:rsid w:val="002F7C09"/>
    <w:rsid w:val="00301891"/>
    <w:rsid w:val="00303A94"/>
    <w:rsid w:val="003040A4"/>
    <w:rsid w:val="003062DD"/>
    <w:rsid w:val="0031258A"/>
    <w:rsid w:val="00313354"/>
    <w:rsid w:val="003134FF"/>
    <w:rsid w:val="00313686"/>
    <w:rsid w:val="00313BFD"/>
    <w:rsid w:val="003141F4"/>
    <w:rsid w:val="003143A5"/>
    <w:rsid w:val="00314531"/>
    <w:rsid w:val="0031454B"/>
    <w:rsid w:val="003145CF"/>
    <w:rsid w:val="003214BE"/>
    <w:rsid w:val="00322311"/>
    <w:rsid w:val="0032282D"/>
    <w:rsid w:val="003235D5"/>
    <w:rsid w:val="00325F8A"/>
    <w:rsid w:val="00325FFC"/>
    <w:rsid w:val="00326834"/>
    <w:rsid w:val="0032697A"/>
    <w:rsid w:val="003272F4"/>
    <w:rsid w:val="00332BB4"/>
    <w:rsid w:val="00332ED1"/>
    <w:rsid w:val="00333605"/>
    <w:rsid w:val="00333CD8"/>
    <w:rsid w:val="0033404D"/>
    <w:rsid w:val="003351DF"/>
    <w:rsid w:val="003356F7"/>
    <w:rsid w:val="00336120"/>
    <w:rsid w:val="00340A5B"/>
    <w:rsid w:val="00340D49"/>
    <w:rsid w:val="00340F50"/>
    <w:rsid w:val="00344940"/>
    <w:rsid w:val="00350630"/>
    <w:rsid w:val="0035151E"/>
    <w:rsid w:val="003523C7"/>
    <w:rsid w:val="00352931"/>
    <w:rsid w:val="00355131"/>
    <w:rsid w:val="003558D7"/>
    <w:rsid w:val="00356839"/>
    <w:rsid w:val="003578C7"/>
    <w:rsid w:val="003622A1"/>
    <w:rsid w:val="003627C5"/>
    <w:rsid w:val="00362A41"/>
    <w:rsid w:val="00363DE3"/>
    <w:rsid w:val="0036687B"/>
    <w:rsid w:val="00371E20"/>
    <w:rsid w:val="00374DD5"/>
    <w:rsid w:val="0037635F"/>
    <w:rsid w:val="0037734D"/>
    <w:rsid w:val="0038041B"/>
    <w:rsid w:val="00381255"/>
    <w:rsid w:val="00381833"/>
    <w:rsid w:val="00384943"/>
    <w:rsid w:val="003854DC"/>
    <w:rsid w:val="00385864"/>
    <w:rsid w:val="0038688C"/>
    <w:rsid w:val="00386D42"/>
    <w:rsid w:val="00387893"/>
    <w:rsid w:val="003918EC"/>
    <w:rsid w:val="00396DAF"/>
    <w:rsid w:val="003973CE"/>
    <w:rsid w:val="003A09EC"/>
    <w:rsid w:val="003A13D1"/>
    <w:rsid w:val="003A150B"/>
    <w:rsid w:val="003A21B0"/>
    <w:rsid w:val="003A2467"/>
    <w:rsid w:val="003A3619"/>
    <w:rsid w:val="003A6E76"/>
    <w:rsid w:val="003B0EE2"/>
    <w:rsid w:val="003B3980"/>
    <w:rsid w:val="003B65DF"/>
    <w:rsid w:val="003B6CC4"/>
    <w:rsid w:val="003B6E3A"/>
    <w:rsid w:val="003B7CC8"/>
    <w:rsid w:val="003C0547"/>
    <w:rsid w:val="003C0C30"/>
    <w:rsid w:val="003C702B"/>
    <w:rsid w:val="003D0D7D"/>
    <w:rsid w:val="003D0E96"/>
    <w:rsid w:val="003D0F5F"/>
    <w:rsid w:val="003D16DD"/>
    <w:rsid w:val="003D2C0C"/>
    <w:rsid w:val="003D3C2D"/>
    <w:rsid w:val="003D3D41"/>
    <w:rsid w:val="003D4EBA"/>
    <w:rsid w:val="003D6D28"/>
    <w:rsid w:val="003D7C9B"/>
    <w:rsid w:val="003E3CEF"/>
    <w:rsid w:val="003E40B2"/>
    <w:rsid w:val="003E5639"/>
    <w:rsid w:val="003E59A5"/>
    <w:rsid w:val="003E615E"/>
    <w:rsid w:val="003E6529"/>
    <w:rsid w:val="003E7903"/>
    <w:rsid w:val="003F0417"/>
    <w:rsid w:val="003F1A96"/>
    <w:rsid w:val="003F2228"/>
    <w:rsid w:val="003F4FB4"/>
    <w:rsid w:val="003F535D"/>
    <w:rsid w:val="003F5C43"/>
    <w:rsid w:val="003F663C"/>
    <w:rsid w:val="003F67EA"/>
    <w:rsid w:val="003F694A"/>
    <w:rsid w:val="00400E4B"/>
    <w:rsid w:val="00400E4C"/>
    <w:rsid w:val="004024FC"/>
    <w:rsid w:val="00402526"/>
    <w:rsid w:val="0040361C"/>
    <w:rsid w:val="0040490E"/>
    <w:rsid w:val="0040496C"/>
    <w:rsid w:val="00405017"/>
    <w:rsid w:val="00405CF0"/>
    <w:rsid w:val="00406075"/>
    <w:rsid w:val="004060F4"/>
    <w:rsid w:val="004108D7"/>
    <w:rsid w:val="004127B5"/>
    <w:rsid w:val="00412952"/>
    <w:rsid w:val="00414C97"/>
    <w:rsid w:val="00415023"/>
    <w:rsid w:val="00415200"/>
    <w:rsid w:val="004153E2"/>
    <w:rsid w:val="00415408"/>
    <w:rsid w:val="00415A68"/>
    <w:rsid w:val="004160FF"/>
    <w:rsid w:val="00417020"/>
    <w:rsid w:val="004171D8"/>
    <w:rsid w:val="004201B8"/>
    <w:rsid w:val="0042024E"/>
    <w:rsid w:val="00420D03"/>
    <w:rsid w:val="00426A13"/>
    <w:rsid w:val="00427575"/>
    <w:rsid w:val="00427AFA"/>
    <w:rsid w:val="00430065"/>
    <w:rsid w:val="00431DFD"/>
    <w:rsid w:val="004324A0"/>
    <w:rsid w:val="00433392"/>
    <w:rsid w:val="00435114"/>
    <w:rsid w:val="00436B5A"/>
    <w:rsid w:val="00437919"/>
    <w:rsid w:val="00441DE6"/>
    <w:rsid w:val="00443A5A"/>
    <w:rsid w:val="00444C7D"/>
    <w:rsid w:val="00445339"/>
    <w:rsid w:val="0044595C"/>
    <w:rsid w:val="00446759"/>
    <w:rsid w:val="00451F48"/>
    <w:rsid w:val="00452465"/>
    <w:rsid w:val="004524F6"/>
    <w:rsid w:val="004528D9"/>
    <w:rsid w:val="004559AD"/>
    <w:rsid w:val="00455BF3"/>
    <w:rsid w:val="004564E3"/>
    <w:rsid w:val="00460531"/>
    <w:rsid w:val="004605F1"/>
    <w:rsid w:val="00464EF4"/>
    <w:rsid w:val="0046678E"/>
    <w:rsid w:val="00470315"/>
    <w:rsid w:val="00471336"/>
    <w:rsid w:val="00471C8E"/>
    <w:rsid w:val="00472121"/>
    <w:rsid w:val="00474116"/>
    <w:rsid w:val="004741E9"/>
    <w:rsid w:val="00477608"/>
    <w:rsid w:val="00481DF3"/>
    <w:rsid w:val="004820B2"/>
    <w:rsid w:val="00482548"/>
    <w:rsid w:val="0048293B"/>
    <w:rsid w:val="00482D2D"/>
    <w:rsid w:val="004836A5"/>
    <w:rsid w:val="004836E6"/>
    <w:rsid w:val="00483853"/>
    <w:rsid w:val="004838A5"/>
    <w:rsid w:val="004838B5"/>
    <w:rsid w:val="0048440F"/>
    <w:rsid w:val="00484A45"/>
    <w:rsid w:val="00484C2C"/>
    <w:rsid w:val="00484FA8"/>
    <w:rsid w:val="0048686D"/>
    <w:rsid w:val="00490714"/>
    <w:rsid w:val="00491738"/>
    <w:rsid w:val="00491B4B"/>
    <w:rsid w:val="00491EF2"/>
    <w:rsid w:val="00493EB9"/>
    <w:rsid w:val="0049570D"/>
    <w:rsid w:val="004A012C"/>
    <w:rsid w:val="004A0D31"/>
    <w:rsid w:val="004A2147"/>
    <w:rsid w:val="004A22E4"/>
    <w:rsid w:val="004A2416"/>
    <w:rsid w:val="004A3359"/>
    <w:rsid w:val="004A3C07"/>
    <w:rsid w:val="004A3F8F"/>
    <w:rsid w:val="004A4DFD"/>
    <w:rsid w:val="004A604F"/>
    <w:rsid w:val="004B1211"/>
    <w:rsid w:val="004B28BD"/>
    <w:rsid w:val="004B3A50"/>
    <w:rsid w:val="004B3CF8"/>
    <w:rsid w:val="004B3E92"/>
    <w:rsid w:val="004B4A3F"/>
    <w:rsid w:val="004B4A52"/>
    <w:rsid w:val="004B60D0"/>
    <w:rsid w:val="004B7A86"/>
    <w:rsid w:val="004B7C91"/>
    <w:rsid w:val="004C10D4"/>
    <w:rsid w:val="004C2782"/>
    <w:rsid w:val="004C3447"/>
    <w:rsid w:val="004C34D7"/>
    <w:rsid w:val="004C491C"/>
    <w:rsid w:val="004C5B51"/>
    <w:rsid w:val="004D0693"/>
    <w:rsid w:val="004D08AA"/>
    <w:rsid w:val="004D0DAC"/>
    <w:rsid w:val="004D3573"/>
    <w:rsid w:val="004D4FB8"/>
    <w:rsid w:val="004D5393"/>
    <w:rsid w:val="004E0BF8"/>
    <w:rsid w:val="004E10E5"/>
    <w:rsid w:val="004E1593"/>
    <w:rsid w:val="004E16E6"/>
    <w:rsid w:val="004E18C1"/>
    <w:rsid w:val="004E2CAC"/>
    <w:rsid w:val="004E3C7B"/>
    <w:rsid w:val="004E46A4"/>
    <w:rsid w:val="004E485F"/>
    <w:rsid w:val="004F0079"/>
    <w:rsid w:val="004F2C4A"/>
    <w:rsid w:val="004F36B4"/>
    <w:rsid w:val="004F5428"/>
    <w:rsid w:val="004F64B0"/>
    <w:rsid w:val="004F6D23"/>
    <w:rsid w:val="004F7D72"/>
    <w:rsid w:val="00500235"/>
    <w:rsid w:val="00500568"/>
    <w:rsid w:val="00501F6F"/>
    <w:rsid w:val="0050306D"/>
    <w:rsid w:val="005038C7"/>
    <w:rsid w:val="0050694A"/>
    <w:rsid w:val="00506B40"/>
    <w:rsid w:val="005072B9"/>
    <w:rsid w:val="00507A34"/>
    <w:rsid w:val="005127B8"/>
    <w:rsid w:val="0051450B"/>
    <w:rsid w:val="00515C3E"/>
    <w:rsid w:val="005164C9"/>
    <w:rsid w:val="0052125F"/>
    <w:rsid w:val="005215B6"/>
    <w:rsid w:val="005218CB"/>
    <w:rsid w:val="00521C1A"/>
    <w:rsid w:val="00524564"/>
    <w:rsid w:val="00524B42"/>
    <w:rsid w:val="00527720"/>
    <w:rsid w:val="00533D50"/>
    <w:rsid w:val="00544DAD"/>
    <w:rsid w:val="005457D1"/>
    <w:rsid w:val="00550DC7"/>
    <w:rsid w:val="005512BB"/>
    <w:rsid w:val="00551BB9"/>
    <w:rsid w:val="00552C13"/>
    <w:rsid w:val="005535EC"/>
    <w:rsid w:val="0055445E"/>
    <w:rsid w:val="005559DF"/>
    <w:rsid w:val="00556DCF"/>
    <w:rsid w:val="00557738"/>
    <w:rsid w:val="0056010F"/>
    <w:rsid w:val="00564108"/>
    <w:rsid w:val="00565AA3"/>
    <w:rsid w:val="005676E2"/>
    <w:rsid w:val="00570329"/>
    <w:rsid w:val="00570E65"/>
    <w:rsid w:val="005732EF"/>
    <w:rsid w:val="0057619C"/>
    <w:rsid w:val="005767A5"/>
    <w:rsid w:val="00580218"/>
    <w:rsid w:val="00582C81"/>
    <w:rsid w:val="005845D7"/>
    <w:rsid w:val="00586F9D"/>
    <w:rsid w:val="00587208"/>
    <w:rsid w:val="00587220"/>
    <w:rsid w:val="005876C3"/>
    <w:rsid w:val="00590A10"/>
    <w:rsid w:val="00591C90"/>
    <w:rsid w:val="00592155"/>
    <w:rsid w:val="0059373B"/>
    <w:rsid w:val="00593D76"/>
    <w:rsid w:val="005943E5"/>
    <w:rsid w:val="00594B75"/>
    <w:rsid w:val="00594B9D"/>
    <w:rsid w:val="00594CB2"/>
    <w:rsid w:val="00596A26"/>
    <w:rsid w:val="005971C3"/>
    <w:rsid w:val="005A03AF"/>
    <w:rsid w:val="005A0ACF"/>
    <w:rsid w:val="005A6724"/>
    <w:rsid w:val="005B09D7"/>
    <w:rsid w:val="005B0CF3"/>
    <w:rsid w:val="005B0E7B"/>
    <w:rsid w:val="005B1707"/>
    <w:rsid w:val="005B33C3"/>
    <w:rsid w:val="005B3441"/>
    <w:rsid w:val="005B348D"/>
    <w:rsid w:val="005B787A"/>
    <w:rsid w:val="005C1C88"/>
    <w:rsid w:val="005C1D4A"/>
    <w:rsid w:val="005C416C"/>
    <w:rsid w:val="005C4240"/>
    <w:rsid w:val="005C456C"/>
    <w:rsid w:val="005C58EC"/>
    <w:rsid w:val="005C5CB8"/>
    <w:rsid w:val="005C7D29"/>
    <w:rsid w:val="005D0DB2"/>
    <w:rsid w:val="005D1162"/>
    <w:rsid w:val="005D24FF"/>
    <w:rsid w:val="005D264A"/>
    <w:rsid w:val="005E0890"/>
    <w:rsid w:val="005E1AFC"/>
    <w:rsid w:val="005E297C"/>
    <w:rsid w:val="005E30D1"/>
    <w:rsid w:val="005E3692"/>
    <w:rsid w:val="005E5BC4"/>
    <w:rsid w:val="005E5D9B"/>
    <w:rsid w:val="005F1CC5"/>
    <w:rsid w:val="005F1EDF"/>
    <w:rsid w:val="005F3405"/>
    <w:rsid w:val="005F35DE"/>
    <w:rsid w:val="005F49CB"/>
    <w:rsid w:val="005F4B42"/>
    <w:rsid w:val="005F4DC4"/>
    <w:rsid w:val="005F6168"/>
    <w:rsid w:val="005F6202"/>
    <w:rsid w:val="005F64A7"/>
    <w:rsid w:val="005F67A8"/>
    <w:rsid w:val="0060123D"/>
    <w:rsid w:val="00604CE2"/>
    <w:rsid w:val="00604CFC"/>
    <w:rsid w:val="00605874"/>
    <w:rsid w:val="00605DD0"/>
    <w:rsid w:val="0060680A"/>
    <w:rsid w:val="0060733D"/>
    <w:rsid w:val="00607358"/>
    <w:rsid w:val="0060739F"/>
    <w:rsid w:val="006108FD"/>
    <w:rsid w:val="00612F85"/>
    <w:rsid w:val="006141AF"/>
    <w:rsid w:val="006171AE"/>
    <w:rsid w:val="00620300"/>
    <w:rsid w:val="00624F95"/>
    <w:rsid w:val="006270E4"/>
    <w:rsid w:val="00627DE1"/>
    <w:rsid w:val="00630C4E"/>
    <w:rsid w:val="00630E41"/>
    <w:rsid w:val="00632934"/>
    <w:rsid w:val="00634567"/>
    <w:rsid w:val="0063478B"/>
    <w:rsid w:val="0063553E"/>
    <w:rsid w:val="0063607D"/>
    <w:rsid w:val="00637AA6"/>
    <w:rsid w:val="00640374"/>
    <w:rsid w:val="006403E8"/>
    <w:rsid w:val="00640599"/>
    <w:rsid w:val="00641847"/>
    <w:rsid w:val="00641905"/>
    <w:rsid w:val="00642D4D"/>
    <w:rsid w:val="00642E6D"/>
    <w:rsid w:val="00645543"/>
    <w:rsid w:val="00646372"/>
    <w:rsid w:val="00652398"/>
    <w:rsid w:val="0065310D"/>
    <w:rsid w:val="0065457A"/>
    <w:rsid w:val="00654E03"/>
    <w:rsid w:val="0065526D"/>
    <w:rsid w:val="0066105D"/>
    <w:rsid w:val="006627F3"/>
    <w:rsid w:val="006644B0"/>
    <w:rsid w:val="00666E72"/>
    <w:rsid w:val="006674A0"/>
    <w:rsid w:val="00671DDB"/>
    <w:rsid w:val="006726B1"/>
    <w:rsid w:val="0067348F"/>
    <w:rsid w:val="006734CF"/>
    <w:rsid w:val="00673ECE"/>
    <w:rsid w:val="00674CBA"/>
    <w:rsid w:val="00674E01"/>
    <w:rsid w:val="00674F7F"/>
    <w:rsid w:val="00675F9A"/>
    <w:rsid w:val="00677517"/>
    <w:rsid w:val="00680DAC"/>
    <w:rsid w:val="00680F93"/>
    <w:rsid w:val="00681D67"/>
    <w:rsid w:val="006838FE"/>
    <w:rsid w:val="00683DC0"/>
    <w:rsid w:val="006851C6"/>
    <w:rsid w:val="00685CE7"/>
    <w:rsid w:val="00686B75"/>
    <w:rsid w:val="00692752"/>
    <w:rsid w:val="0069312A"/>
    <w:rsid w:val="00694812"/>
    <w:rsid w:val="0069704B"/>
    <w:rsid w:val="006A0FCF"/>
    <w:rsid w:val="006A2085"/>
    <w:rsid w:val="006A4D3F"/>
    <w:rsid w:val="006A5635"/>
    <w:rsid w:val="006A5882"/>
    <w:rsid w:val="006B1978"/>
    <w:rsid w:val="006B3508"/>
    <w:rsid w:val="006B3ACF"/>
    <w:rsid w:val="006B5537"/>
    <w:rsid w:val="006B6167"/>
    <w:rsid w:val="006B6684"/>
    <w:rsid w:val="006B74E8"/>
    <w:rsid w:val="006B7A00"/>
    <w:rsid w:val="006C1D77"/>
    <w:rsid w:val="006C2065"/>
    <w:rsid w:val="006C37D0"/>
    <w:rsid w:val="006C41E5"/>
    <w:rsid w:val="006C4B73"/>
    <w:rsid w:val="006C66E5"/>
    <w:rsid w:val="006C6B65"/>
    <w:rsid w:val="006C723B"/>
    <w:rsid w:val="006C76CB"/>
    <w:rsid w:val="006C7A88"/>
    <w:rsid w:val="006C7F3F"/>
    <w:rsid w:val="006D2857"/>
    <w:rsid w:val="006D2D62"/>
    <w:rsid w:val="006D2D82"/>
    <w:rsid w:val="006D496F"/>
    <w:rsid w:val="006D4C69"/>
    <w:rsid w:val="006D5880"/>
    <w:rsid w:val="006D7D86"/>
    <w:rsid w:val="006E0BF5"/>
    <w:rsid w:val="006E1EF6"/>
    <w:rsid w:val="006E20A4"/>
    <w:rsid w:val="006E3439"/>
    <w:rsid w:val="006E346E"/>
    <w:rsid w:val="006E6146"/>
    <w:rsid w:val="006E7117"/>
    <w:rsid w:val="006F0301"/>
    <w:rsid w:val="006F1D0C"/>
    <w:rsid w:val="006F1E8B"/>
    <w:rsid w:val="006F3B26"/>
    <w:rsid w:val="006F3D1B"/>
    <w:rsid w:val="006F3D98"/>
    <w:rsid w:val="006F3DCF"/>
    <w:rsid w:val="006F3FED"/>
    <w:rsid w:val="006F5898"/>
    <w:rsid w:val="00700812"/>
    <w:rsid w:val="00700B01"/>
    <w:rsid w:val="00700D52"/>
    <w:rsid w:val="007010F1"/>
    <w:rsid w:val="00702698"/>
    <w:rsid w:val="00702963"/>
    <w:rsid w:val="00704FD4"/>
    <w:rsid w:val="00705741"/>
    <w:rsid w:val="00705854"/>
    <w:rsid w:val="00705E5D"/>
    <w:rsid w:val="007064A9"/>
    <w:rsid w:val="007066C5"/>
    <w:rsid w:val="007069BC"/>
    <w:rsid w:val="00706B43"/>
    <w:rsid w:val="0070717D"/>
    <w:rsid w:val="007117CF"/>
    <w:rsid w:val="0071251C"/>
    <w:rsid w:val="00712770"/>
    <w:rsid w:val="00713191"/>
    <w:rsid w:val="007131D1"/>
    <w:rsid w:val="007131FD"/>
    <w:rsid w:val="007151F4"/>
    <w:rsid w:val="00716D98"/>
    <w:rsid w:val="00720D02"/>
    <w:rsid w:val="00720DAB"/>
    <w:rsid w:val="00720EC7"/>
    <w:rsid w:val="007221DA"/>
    <w:rsid w:val="00723CFB"/>
    <w:rsid w:val="00724910"/>
    <w:rsid w:val="00725744"/>
    <w:rsid w:val="0072600F"/>
    <w:rsid w:val="007300BA"/>
    <w:rsid w:val="00730A53"/>
    <w:rsid w:val="00731CE7"/>
    <w:rsid w:val="007327B5"/>
    <w:rsid w:val="00732F7B"/>
    <w:rsid w:val="007333B4"/>
    <w:rsid w:val="00733F11"/>
    <w:rsid w:val="0073489E"/>
    <w:rsid w:val="00736DB1"/>
    <w:rsid w:val="00737ADF"/>
    <w:rsid w:val="00741BF9"/>
    <w:rsid w:val="00742514"/>
    <w:rsid w:val="0074337A"/>
    <w:rsid w:val="00744761"/>
    <w:rsid w:val="00745426"/>
    <w:rsid w:val="00751558"/>
    <w:rsid w:val="007543EC"/>
    <w:rsid w:val="00754FB6"/>
    <w:rsid w:val="00757265"/>
    <w:rsid w:val="007601E5"/>
    <w:rsid w:val="00762373"/>
    <w:rsid w:val="00762E47"/>
    <w:rsid w:val="007637A1"/>
    <w:rsid w:val="00764D67"/>
    <w:rsid w:val="007663D2"/>
    <w:rsid w:val="007678D9"/>
    <w:rsid w:val="00771537"/>
    <w:rsid w:val="00776174"/>
    <w:rsid w:val="00776B9E"/>
    <w:rsid w:val="00776D1C"/>
    <w:rsid w:val="00777DB5"/>
    <w:rsid w:val="0078293F"/>
    <w:rsid w:val="007870E6"/>
    <w:rsid w:val="00787BE8"/>
    <w:rsid w:val="00790368"/>
    <w:rsid w:val="007934A1"/>
    <w:rsid w:val="007940E6"/>
    <w:rsid w:val="0079526E"/>
    <w:rsid w:val="0079602F"/>
    <w:rsid w:val="007976E0"/>
    <w:rsid w:val="00797763"/>
    <w:rsid w:val="007A1D35"/>
    <w:rsid w:val="007A36F1"/>
    <w:rsid w:val="007A5552"/>
    <w:rsid w:val="007A56CF"/>
    <w:rsid w:val="007A7DD4"/>
    <w:rsid w:val="007B16A9"/>
    <w:rsid w:val="007B191B"/>
    <w:rsid w:val="007B2210"/>
    <w:rsid w:val="007B28D6"/>
    <w:rsid w:val="007B38D9"/>
    <w:rsid w:val="007B42CC"/>
    <w:rsid w:val="007B4A9B"/>
    <w:rsid w:val="007B561D"/>
    <w:rsid w:val="007B5836"/>
    <w:rsid w:val="007B63F2"/>
    <w:rsid w:val="007C03FD"/>
    <w:rsid w:val="007C2C58"/>
    <w:rsid w:val="007C32D6"/>
    <w:rsid w:val="007C350A"/>
    <w:rsid w:val="007D036A"/>
    <w:rsid w:val="007D0850"/>
    <w:rsid w:val="007D10D8"/>
    <w:rsid w:val="007D1835"/>
    <w:rsid w:val="007D2373"/>
    <w:rsid w:val="007D43A6"/>
    <w:rsid w:val="007E0669"/>
    <w:rsid w:val="007E22FF"/>
    <w:rsid w:val="007E293C"/>
    <w:rsid w:val="007E3C47"/>
    <w:rsid w:val="007E4B75"/>
    <w:rsid w:val="007E59B8"/>
    <w:rsid w:val="007E696D"/>
    <w:rsid w:val="007F19FB"/>
    <w:rsid w:val="007F1B77"/>
    <w:rsid w:val="007F33F7"/>
    <w:rsid w:val="007F46AF"/>
    <w:rsid w:val="007F5482"/>
    <w:rsid w:val="007F7A08"/>
    <w:rsid w:val="00800CEE"/>
    <w:rsid w:val="008018CE"/>
    <w:rsid w:val="00804588"/>
    <w:rsid w:val="00804A16"/>
    <w:rsid w:val="00804E15"/>
    <w:rsid w:val="008052B2"/>
    <w:rsid w:val="00805628"/>
    <w:rsid w:val="00805B60"/>
    <w:rsid w:val="00805C66"/>
    <w:rsid w:val="0080667E"/>
    <w:rsid w:val="0080711C"/>
    <w:rsid w:val="00807214"/>
    <w:rsid w:val="00810DCE"/>
    <w:rsid w:val="00811356"/>
    <w:rsid w:val="0081267E"/>
    <w:rsid w:val="008129FB"/>
    <w:rsid w:val="00812C9E"/>
    <w:rsid w:val="008135D7"/>
    <w:rsid w:val="00813B0C"/>
    <w:rsid w:val="0081595A"/>
    <w:rsid w:val="00815D4E"/>
    <w:rsid w:val="00816A90"/>
    <w:rsid w:val="00820BE1"/>
    <w:rsid w:val="008216BC"/>
    <w:rsid w:val="00822E5B"/>
    <w:rsid w:val="008236A4"/>
    <w:rsid w:val="00823A42"/>
    <w:rsid w:val="00825A45"/>
    <w:rsid w:val="008273EE"/>
    <w:rsid w:val="00827BD6"/>
    <w:rsid w:val="00827EB4"/>
    <w:rsid w:val="008304AB"/>
    <w:rsid w:val="00830C5D"/>
    <w:rsid w:val="00834FA8"/>
    <w:rsid w:val="008371BF"/>
    <w:rsid w:val="008417C8"/>
    <w:rsid w:val="00841F9A"/>
    <w:rsid w:val="00842BD6"/>
    <w:rsid w:val="00845093"/>
    <w:rsid w:val="00845A48"/>
    <w:rsid w:val="0084677A"/>
    <w:rsid w:val="00847458"/>
    <w:rsid w:val="00851A4F"/>
    <w:rsid w:val="00852AB8"/>
    <w:rsid w:val="00853280"/>
    <w:rsid w:val="00854D09"/>
    <w:rsid w:val="00855F37"/>
    <w:rsid w:val="00856281"/>
    <w:rsid w:val="00861C2E"/>
    <w:rsid w:val="00861D85"/>
    <w:rsid w:val="008634D2"/>
    <w:rsid w:val="00863ECC"/>
    <w:rsid w:val="008640B6"/>
    <w:rsid w:val="00864B3A"/>
    <w:rsid w:val="00867C93"/>
    <w:rsid w:val="00867CFC"/>
    <w:rsid w:val="008706E9"/>
    <w:rsid w:val="00871862"/>
    <w:rsid w:val="0087209B"/>
    <w:rsid w:val="0087265A"/>
    <w:rsid w:val="0087313C"/>
    <w:rsid w:val="00873692"/>
    <w:rsid w:val="0087414D"/>
    <w:rsid w:val="008750DE"/>
    <w:rsid w:val="00876F31"/>
    <w:rsid w:val="00877972"/>
    <w:rsid w:val="00880786"/>
    <w:rsid w:val="00880FAD"/>
    <w:rsid w:val="00881076"/>
    <w:rsid w:val="00881575"/>
    <w:rsid w:val="00881F60"/>
    <w:rsid w:val="008821D7"/>
    <w:rsid w:val="008846DD"/>
    <w:rsid w:val="00885817"/>
    <w:rsid w:val="00885FB3"/>
    <w:rsid w:val="0088671F"/>
    <w:rsid w:val="00887093"/>
    <w:rsid w:val="00890643"/>
    <w:rsid w:val="008947E8"/>
    <w:rsid w:val="008966E6"/>
    <w:rsid w:val="00897FBF"/>
    <w:rsid w:val="008A0CB3"/>
    <w:rsid w:val="008A0D73"/>
    <w:rsid w:val="008A1322"/>
    <w:rsid w:val="008A1716"/>
    <w:rsid w:val="008A348C"/>
    <w:rsid w:val="008A4B9E"/>
    <w:rsid w:val="008A5729"/>
    <w:rsid w:val="008A5EE8"/>
    <w:rsid w:val="008A729A"/>
    <w:rsid w:val="008A739A"/>
    <w:rsid w:val="008B19AF"/>
    <w:rsid w:val="008B4181"/>
    <w:rsid w:val="008B4ACF"/>
    <w:rsid w:val="008B5582"/>
    <w:rsid w:val="008B6720"/>
    <w:rsid w:val="008B6BE8"/>
    <w:rsid w:val="008B6F73"/>
    <w:rsid w:val="008B77FD"/>
    <w:rsid w:val="008C01D0"/>
    <w:rsid w:val="008C0A56"/>
    <w:rsid w:val="008C2866"/>
    <w:rsid w:val="008C38A7"/>
    <w:rsid w:val="008C3F4C"/>
    <w:rsid w:val="008C4D4A"/>
    <w:rsid w:val="008C5D3C"/>
    <w:rsid w:val="008C5FAB"/>
    <w:rsid w:val="008C6184"/>
    <w:rsid w:val="008C66C0"/>
    <w:rsid w:val="008C6B7D"/>
    <w:rsid w:val="008C7F6C"/>
    <w:rsid w:val="008D0B92"/>
    <w:rsid w:val="008D0C09"/>
    <w:rsid w:val="008D18D3"/>
    <w:rsid w:val="008D25CB"/>
    <w:rsid w:val="008D2997"/>
    <w:rsid w:val="008D3F3A"/>
    <w:rsid w:val="008D48AE"/>
    <w:rsid w:val="008D4EA6"/>
    <w:rsid w:val="008D505C"/>
    <w:rsid w:val="008E35B0"/>
    <w:rsid w:val="008E429F"/>
    <w:rsid w:val="008E51B0"/>
    <w:rsid w:val="008E530A"/>
    <w:rsid w:val="008E688F"/>
    <w:rsid w:val="008E72F9"/>
    <w:rsid w:val="008F0193"/>
    <w:rsid w:val="008F0530"/>
    <w:rsid w:val="008F2CD0"/>
    <w:rsid w:val="008F3B31"/>
    <w:rsid w:val="008F523A"/>
    <w:rsid w:val="008F7411"/>
    <w:rsid w:val="008F787C"/>
    <w:rsid w:val="00903F12"/>
    <w:rsid w:val="009042EB"/>
    <w:rsid w:val="00906D88"/>
    <w:rsid w:val="00910AF7"/>
    <w:rsid w:val="00912181"/>
    <w:rsid w:val="009123BF"/>
    <w:rsid w:val="009130D3"/>
    <w:rsid w:val="00915075"/>
    <w:rsid w:val="009167ED"/>
    <w:rsid w:val="0091714C"/>
    <w:rsid w:val="00917682"/>
    <w:rsid w:val="00920B87"/>
    <w:rsid w:val="0092190C"/>
    <w:rsid w:val="00921A63"/>
    <w:rsid w:val="00921D17"/>
    <w:rsid w:val="00922237"/>
    <w:rsid w:val="009225A1"/>
    <w:rsid w:val="009225C7"/>
    <w:rsid w:val="009225D3"/>
    <w:rsid w:val="009243DC"/>
    <w:rsid w:val="00924465"/>
    <w:rsid w:val="00924F7F"/>
    <w:rsid w:val="00925196"/>
    <w:rsid w:val="00925D06"/>
    <w:rsid w:val="00927335"/>
    <w:rsid w:val="009279D9"/>
    <w:rsid w:val="00935119"/>
    <w:rsid w:val="00935208"/>
    <w:rsid w:val="00935A5A"/>
    <w:rsid w:val="0093709A"/>
    <w:rsid w:val="0093766C"/>
    <w:rsid w:val="009407D3"/>
    <w:rsid w:val="00941B15"/>
    <w:rsid w:val="0094280B"/>
    <w:rsid w:val="00942873"/>
    <w:rsid w:val="009430DF"/>
    <w:rsid w:val="00943593"/>
    <w:rsid w:val="00943AA5"/>
    <w:rsid w:val="0094538D"/>
    <w:rsid w:val="00950158"/>
    <w:rsid w:val="009506B5"/>
    <w:rsid w:val="00950F44"/>
    <w:rsid w:val="0095126E"/>
    <w:rsid w:val="00951FBF"/>
    <w:rsid w:val="0095216C"/>
    <w:rsid w:val="00955022"/>
    <w:rsid w:val="00955B8E"/>
    <w:rsid w:val="009568F8"/>
    <w:rsid w:val="00956A76"/>
    <w:rsid w:val="00957864"/>
    <w:rsid w:val="00960AF2"/>
    <w:rsid w:val="009616C6"/>
    <w:rsid w:val="00962940"/>
    <w:rsid w:val="00962E26"/>
    <w:rsid w:val="009633F2"/>
    <w:rsid w:val="00967A91"/>
    <w:rsid w:val="009705C5"/>
    <w:rsid w:val="009718AA"/>
    <w:rsid w:val="00973C7C"/>
    <w:rsid w:val="009762C3"/>
    <w:rsid w:val="00976705"/>
    <w:rsid w:val="00977A80"/>
    <w:rsid w:val="00980208"/>
    <w:rsid w:val="00980D92"/>
    <w:rsid w:val="00981054"/>
    <w:rsid w:val="00982297"/>
    <w:rsid w:val="00982A69"/>
    <w:rsid w:val="0098342B"/>
    <w:rsid w:val="0098580F"/>
    <w:rsid w:val="009868EF"/>
    <w:rsid w:val="0098708A"/>
    <w:rsid w:val="009873D5"/>
    <w:rsid w:val="00987A1C"/>
    <w:rsid w:val="00987A80"/>
    <w:rsid w:val="00990C7F"/>
    <w:rsid w:val="00993EF5"/>
    <w:rsid w:val="0099563B"/>
    <w:rsid w:val="009A0703"/>
    <w:rsid w:val="009A096A"/>
    <w:rsid w:val="009A0BF8"/>
    <w:rsid w:val="009A0FB7"/>
    <w:rsid w:val="009A18EA"/>
    <w:rsid w:val="009A4431"/>
    <w:rsid w:val="009A48BA"/>
    <w:rsid w:val="009A49A1"/>
    <w:rsid w:val="009A4C54"/>
    <w:rsid w:val="009A4F74"/>
    <w:rsid w:val="009A6220"/>
    <w:rsid w:val="009B0173"/>
    <w:rsid w:val="009B092E"/>
    <w:rsid w:val="009B0CAB"/>
    <w:rsid w:val="009B2341"/>
    <w:rsid w:val="009B4018"/>
    <w:rsid w:val="009B47C5"/>
    <w:rsid w:val="009C039E"/>
    <w:rsid w:val="009C0BFE"/>
    <w:rsid w:val="009C1C06"/>
    <w:rsid w:val="009C3629"/>
    <w:rsid w:val="009C54EF"/>
    <w:rsid w:val="009C55D8"/>
    <w:rsid w:val="009C7FE5"/>
    <w:rsid w:val="009D083C"/>
    <w:rsid w:val="009D0D66"/>
    <w:rsid w:val="009D19C4"/>
    <w:rsid w:val="009D1DDD"/>
    <w:rsid w:val="009D26DB"/>
    <w:rsid w:val="009D6F3D"/>
    <w:rsid w:val="009D7594"/>
    <w:rsid w:val="009E15AF"/>
    <w:rsid w:val="009E696A"/>
    <w:rsid w:val="009E6A92"/>
    <w:rsid w:val="009E775F"/>
    <w:rsid w:val="009F068A"/>
    <w:rsid w:val="009F192E"/>
    <w:rsid w:val="009F1D8C"/>
    <w:rsid w:val="009F391C"/>
    <w:rsid w:val="009F56D4"/>
    <w:rsid w:val="009F68BC"/>
    <w:rsid w:val="00A0084D"/>
    <w:rsid w:val="00A00BA0"/>
    <w:rsid w:val="00A03876"/>
    <w:rsid w:val="00A0400E"/>
    <w:rsid w:val="00A04067"/>
    <w:rsid w:val="00A05731"/>
    <w:rsid w:val="00A10B46"/>
    <w:rsid w:val="00A10E1D"/>
    <w:rsid w:val="00A117D1"/>
    <w:rsid w:val="00A11C8D"/>
    <w:rsid w:val="00A122CB"/>
    <w:rsid w:val="00A12D92"/>
    <w:rsid w:val="00A13C4D"/>
    <w:rsid w:val="00A14707"/>
    <w:rsid w:val="00A15BC2"/>
    <w:rsid w:val="00A16D67"/>
    <w:rsid w:val="00A16DFD"/>
    <w:rsid w:val="00A177A3"/>
    <w:rsid w:val="00A21662"/>
    <w:rsid w:val="00A22835"/>
    <w:rsid w:val="00A22871"/>
    <w:rsid w:val="00A3019D"/>
    <w:rsid w:val="00A30BD8"/>
    <w:rsid w:val="00A339AD"/>
    <w:rsid w:val="00A35336"/>
    <w:rsid w:val="00A36336"/>
    <w:rsid w:val="00A36505"/>
    <w:rsid w:val="00A366BC"/>
    <w:rsid w:val="00A36835"/>
    <w:rsid w:val="00A36870"/>
    <w:rsid w:val="00A40931"/>
    <w:rsid w:val="00A4434A"/>
    <w:rsid w:val="00A44FB7"/>
    <w:rsid w:val="00A47203"/>
    <w:rsid w:val="00A519BE"/>
    <w:rsid w:val="00A5345F"/>
    <w:rsid w:val="00A53A4A"/>
    <w:rsid w:val="00A5539B"/>
    <w:rsid w:val="00A554E4"/>
    <w:rsid w:val="00A565C0"/>
    <w:rsid w:val="00A56B03"/>
    <w:rsid w:val="00A60158"/>
    <w:rsid w:val="00A6172C"/>
    <w:rsid w:val="00A61FC3"/>
    <w:rsid w:val="00A630CA"/>
    <w:rsid w:val="00A6321A"/>
    <w:rsid w:val="00A632FD"/>
    <w:rsid w:val="00A64DBA"/>
    <w:rsid w:val="00A655B3"/>
    <w:rsid w:val="00A65694"/>
    <w:rsid w:val="00A678D8"/>
    <w:rsid w:val="00A67D78"/>
    <w:rsid w:val="00A70E10"/>
    <w:rsid w:val="00A75224"/>
    <w:rsid w:val="00A76AEA"/>
    <w:rsid w:val="00A774CA"/>
    <w:rsid w:val="00A77918"/>
    <w:rsid w:val="00A77C01"/>
    <w:rsid w:val="00A859D4"/>
    <w:rsid w:val="00A861DB"/>
    <w:rsid w:val="00A86EA7"/>
    <w:rsid w:val="00A92420"/>
    <w:rsid w:val="00A92D2B"/>
    <w:rsid w:val="00A9675B"/>
    <w:rsid w:val="00A969C4"/>
    <w:rsid w:val="00A971D7"/>
    <w:rsid w:val="00AA0033"/>
    <w:rsid w:val="00AA004B"/>
    <w:rsid w:val="00AA197F"/>
    <w:rsid w:val="00AA222F"/>
    <w:rsid w:val="00AA2433"/>
    <w:rsid w:val="00AA263E"/>
    <w:rsid w:val="00AA2E17"/>
    <w:rsid w:val="00AA2EFE"/>
    <w:rsid w:val="00AA32CA"/>
    <w:rsid w:val="00AA32CD"/>
    <w:rsid w:val="00AA38E8"/>
    <w:rsid w:val="00AA4B55"/>
    <w:rsid w:val="00AA5E21"/>
    <w:rsid w:val="00AA6646"/>
    <w:rsid w:val="00AA6705"/>
    <w:rsid w:val="00AA680A"/>
    <w:rsid w:val="00AB2A01"/>
    <w:rsid w:val="00AB2B60"/>
    <w:rsid w:val="00AB3A2B"/>
    <w:rsid w:val="00AB43DE"/>
    <w:rsid w:val="00AB56D0"/>
    <w:rsid w:val="00AB686D"/>
    <w:rsid w:val="00AB6BCD"/>
    <w:rsid w:val="00AB71B7"/>
    <w:rsid w:val="00AB77D1"/>
    <w:rsid w:val="00AB789C"/>
    <w:rsid w:val="00AC1CF7"/>
    <w:rsid w:val="00AC21B1"/>
    <w:rsid w:val="00AC2C94"/>
    <w:rsid w:val="00AC640F"/>
    <w:rsid w:val="00AC6FDE"/>
    <w:rsid w:val="00AC7C35"/>
    <w:rsid w:val="00AC7EA6"/>
    <w:rsid w:val="00AD0674"/>
    <w:rsid w:val="00AD28F9"/>
    <w:rsid w:val="00AD2C61"/>
    <w:rsid w:val="00AD37F5"/>
    <w:rsid w:val="00AD4251"/>
    <w:rsid w:val="00AD6B4E"/>
    <w:rsid w:val="00AD7890"/>
    <w:rsid w:val="00AD7900"/>
    <w:rsid w:val="00AD7CE5"/>
    <w:rsid w:val="00AE132C"/>
    <w:rsid w:val="00AE22AD"/>
    <w:rsid w:val="00AE29FD"/>
    <w:rsid w:val="00AE2AAD"/>
    <w:rsid w:val="00AE4D13"/>
    <w:rsid w:val="00AE6E36"/>
    <w:rsid w:val="00AE79B4"/>
    <w:rsid w:val="00AE7C71"/>
    <w:rsid w:val="00AE7DBD"/>
    <w:rsid w:val="00AF0476"/>
    <w:rsid w:val="00AF1378"/>
    <w:rsid w:val="00AF1506"/>
    <w:rsid w:val="00AF27C9"/>
    <w:rsid w:val="00AF4512"/>
    <w:rsid w:val="00AF4BEA"/>
    <w:rsid w:val="00AF4FF7"/>
    <w:rsid w:val="00AF50AB"/>
    <w:rsid w:val="00AF52A8"/>
    <w:rsid w:val="00AF6FF0"/>
    <w:rsid w:val="00AF753C"/>
    <w:rsid w:val="00AF7F1B"/>
    <w:rsid w:val="00AF7F42"/>
    <w:rsid w:val="00B005DC"/>
    <w:rsid w:val="00B00C9C"/>
    <w:rsid w:val="00B01077"/>
    <w:rsid w:val="00B01180"/>
    <w:rsid w:val="00B02483"/>
    <w:rsid w:val="00B051C3"/>
    <w:rsid w:val="00B0601D"/>
    <w:rsid w:val="00B062B7"/>
    <w:rsid w:val="00B10736"/>
    <w:rsid w:val="00B108C4"/>
    <w:rsid w:val="00B11065"/>
    <w:rsid w:val="00B1278A"/>
    <w:rsid w:val="00B12ABE"/>
    <w:rsid w:val="00B142A8"/>
    <w:rsid w:val="00B14E92"/>
    <w:rsid w:val="00B15598"/>
    <w:rsid w:val="00B15601"/>
    <w:rsid w:val="00B16464"/>
    <w:rsid w:val="00B1716A"/>
    <w:rsid w:val="00B177F8"/>
    <w:rsid w:val="00B20B88"/>
    <w:rsid w:val="00B21B53"/>
    <w:rsid w:val="00B2260E"/>
    <w:rsid w:val="00B230DF"/>
    <w:rsid w:val="00B234CB"/>
    <w:rsid w:val="00B2378B"/>
    <w:rsid w:val="00B25BAD"/>
    <w:rsid w:val="00B26ABB"/>
    <w:rsid w:val="00B26CA2"/>
    <w:rsid w:val="00B308F0"/>
    <w:rsid w:val="00B317D9"/>
    <w:rsid w:val="00B350AB"/>
    <w:rsid w:val="00B3519E"/>
    <w:rsid w:val="00B357CA"/>
    <w:rsid w:val="00B35995"/>
    <w:rsid w:val="00B35E86"/>
    <w:rsid w:val="00B36DBF"/>
    <w:rsid w:val="00B3700D"/>
    <w:rsid w:val="00B37084"/>
    <w:rsid w:val="00B372EF"/>
    <w:rsid w:val="00B4305B"/>
    <w:rsid w:val="00B478F9"/>
    <w:rsid w:val="00B509F2"/>
    <w:rsid w:val="00B51CF6"/>
    <w:rsid w:val="00B54550"/>
    <w:rsid w:val="00B57136"/>
    <w:rsid w:val="00B6003F"/>
    <w:rsid w:val="00B6089C"/>
    <w:rsid w:val="00B60D90"/>
    <w:rsid w:val="00B61B38"/>
    <w:rsid w:val="00B62C62"/>
    <w:rsid w:val="00B62EB5"/>
    <w:rsid w:val="00B64106"/>
    <w:rsid w:val="00B649CF"/>
    <w:rsid w:val="00B67D27"/>
    <w:rsid w:val="00B7163E"/>
    <w:rsid w:val="00B73FE8"/>
    <w:rsid w:val="00B74B74"/>
    <w:rsid w:val="00B77420"/>
    <w:rsid w:val="00B77EE1"/>
    <w:rsid w:val="00B809FB"/>
    <w:rsid w:val="00B8243D"/>
    <w:rsid w:val="00B83109"/>
    <w:rsid w:val="00B83723"/>
    <w:rsid w:val="00B84D1E"/>
    <w:rsid w:val="00B878AF"/>
    <w:rsid w:val="00B91076"/>
    <w:rsid w:val="00B91633"/>
    <w:rsid w:val="00B91F92"/>
    <w:rsid w:val="00B9584E"/>
    <w:rsid w:val="00B9684E"/>
    <w:rsid w:val="00B97C90"/>
    <w:rsid w:val="00BA10E4"/>
    <w:rsid w:val="00BA3607"/>
    <w:rsid w:val="00BA476C"/>
    <w:rsid w:val="00BA4FA2"/>
    <w:rsid w:val="00BA51F0"/>
    <w:rsid w:val="00BA586E"/>
    <w:rsid w:val="00BA6A6F"/>
    <w:rsid w:val="00BA6AD1"/>
    <w:rsid w:val="00BA6DA5"/>
    <w:rsid w:val="00BA7CAD"/>
    <w:rsid w:val="00BB1205"/>
    <w:rsid w:val="00BB2DDF"/>
    <w:rsid w:val="00BB482E"/>
    <w:rsid w:val="00BB4C3F"/>
    <w:rsid w:val="00BB57A0"/>
    <w:rsid w:val="00BB5BC9"/>
    <w:rsid w:val="00BB7206"/>
    <w:rsid w:val="00BC1347"/>
    <w:rsid w:val="00BC414D"/>
    <w:rsid w:val="00BC585E"/>
    <w:rsid w:val="00BC61BD"/>
    <w:rsid w:val="00BD3297"/>
    <w:rsid w:val="00BD3DFB"/>
    <w:rsid w:val="00BD4B4C"/>
    <w:rsid w:val="00BD5620"/>
    <w:rsid w:val="00BD59BB"/>
    <w:rsid w:val="00BD5BA7"/>
    <w:rsid w:val="00BD69AC"/>
    <w:rsid w:val="00BD6DD3"/>
    <w:rsid w:val="00BE0555"/>
    <w:rsid w:val="00BE0FA7"/>
    <w:rsid w:val="00BE25B3"/>
    <w:rsid w:val="00BE2DD7"/>
    <w:rsid w:val="00BE4A4E"/>
    <w:rsid w:val="00BE4CDC"/>
    <w:rsid w:val="00BE61F7"/>
    <w:rsid w:val="00BE6489"/>
    <w:rsid w:val="00BE6730"/>
    <w:rsid w:val="00BE6B70"/>
    <w:rsid w:val="00BE6BBD"/>
    <w:rsid w:val="00BE6C4F"/>
    <w:rsid w:val="00BE6F26"/>
    <w:rsid w:val="00BF21E9"/>
    <w:rsid w:val="00BF3BE1"/>
    <w:rsid w:val="00BF6CF1"/>
    <w:rsid w:val="00C00717"/>
    <w:rsid w:val="00C02A21"/>
    <w:rsid w:val="00C07C79"/>
    <w:rsid w:val="00C10A4C"/>
    <w:rsid w:val="00C1397C"/>
    <w:rsid w:val="00C145C2"/>
    <w:rsid w:val="00C14E73"/>
    <w:rsid w:val="00C1669A"/>
    <w:rsid w:val="00C174A1"/>
    <w:rsid w:val="00C17654"/>
    <w:rsid w:val="00C179F5"/>
    <w:rsid w:val="00C2221F"/>
    <w:rsid w:val="00C23B66"/>
    <w:rsid w:val="00C23E40"/>
    <w:rsid w:val="00C2415F"/>
    <w:rsid w:val="00C25526"/>
    <w:rsid w:val="00C258F0"/>
    <w:rsid w:val="00C25EB6"/>
    <w:rsid w:val="00C2695F"/>
    <w:rsid w:val="00C26C79"/>
    <w:rsid w:val="00C27BD4"/>
    <w:rsid w:val="00C33681"/>
    <w:rsid w:val="00C33A7A"/>
    <w:rsid w:val="00C33EBF"/>
    <w:rsid w:val="00C414B0"/>
    <w:rsid w:val="00C41624"/>
    <w:rsid w:val="00C422B5"/>
    <w:rsid w:val="00C433C4"/>
    <w:rsid w:val="00C44C64"/>
    <w:rsid w:val="00C454AE"/>
    <w:rsid w:val="00C4706A"/>
    <w:rsid w:val="00C500EF"/>
    <w:rsid w:val="00C511F5"/>
    <w:rsid w:val="00C51D59"/>
    <w:rsid w:val="00C52E1C"/>
    <w:rsid w:val="00C53FAA"/>
    <w:rsid w:val="00C544FA"/>
    <w:rsid w:val="00C56B86"/>
    <w:rsid w:val="00C57210"/>
    <w:rsid w:val="00C602CC"/>
    <w:rsid w:val="00C62763"/>
    <w:rsid w:val="00C631B3"/>
    <w:rsid w:val="00C72669"/>
    <w:rsid w:val="00C77C28"/>
    <w:rsid w:val="00C80542"/>
    <w:rsid w:val="00C80E18"/>
    <w:rsid w:val="00C824CE"/>
    <w:rsid w:val="00C84296"/>
    <w:rsid w:val="00C84505"/>
    <w:rsid w:val="00C84AC2"/>
    <w:rsid w:val="00C86A41"/>
    <w:rsid w:val="00C87380"/>
    <w:rsid w:val="00C90D4E"/>
    <w:rsid w:val="00C930DE"/>
    <w:rsid w:val="00C9363D"/>
    <w:rsid w:val="00C93C5A"/>
    <w:rsid w:val="00C9530D"/>
    <w:rsid w:val="00C959D8"/>
    <w:rsid w:val="00C96BF4"/>
    <w:rsid w:val="00C96FCE"/>
    <w:rsid w:val="00C972D0"/>
    <w:rsid w:val="00CA36F8"/>
    <w:rsid w:val="00CA43F4"/>
    <w:rsid w:val="00CA65B5"/>
    <w:rsid w:val="00CA68B0"/>
    <w:rsid w:val="00CA7FD0"/>
    <w:rsid w:val="00CB07C7"/>
    <w:rsid w:val="00CB2A9E"/>
    <w:rsid w:val="00CB4266"/>
    <w:rsid w:val="00CB448D"/>
    <w:rsid w:val="00CB497C"/>
    <w:rsid w:val="00CB5771"/>
    <w:rsid w:val="00CB6666"/>
    <w:rsid w:val="00CB6D75"/>
    <w:rsid w:val="00CB7A69"/>
    <w:rsid w:val="00CC13E7"/>
    <w:rsid w:val="00CC2046"/>
    <w:rsid w:val="00CC421A"/>
    <w:rsid w:val="00CC494D"/>
    <w:rsid w:val="00CC6099"/>
    <w:rsid w:val="00CC6444"/>
    <w:rsid w:val="00CC7B10"/>
    <w:rsid w:val="00CC7E4A"/>
    <w:rsid w:val="00CC7F07"/>
    <w:rsid w:val="00CD1D40"/>
    <w:rsid w:val="00CD2341"/>
    <w:rsid w:val="00CD3C31"/>
    <w:rsid w:val="00CD4DA5"/>
    <w:rsid w:val="00CD667B"/>
    <w:rsid w:val="00CD6D1A"/>
    <w:rsid w:val="00CD6EFA"/>
    <w:rsid w:val="00CD7CA9"/>
    <w:rsid w:val="00CE04CF"/>
    <w:rsid w:val="00CE1851"/>
    <w:rsid w:val="00CE2B76"/>
    <w:rsid w:val="00CF1D5F"/>
    <w:rsid w:val="00CF1ED2"/>
    <w:rsid w:val="00CF3127"/>
    <w:rsid w:val="00CF6FD3"/>
    <w:rsid w:val="00D00661"/>
    <w:rsid w:val="00D04309"/>
    <w:rsid w:val="00D06D82"/>
    <w:rsid w:val="00D1053E"/>
    <w:rsid w:val="00D113AD"/>
    <w:rsid w:val="00D126B5"/>
    <w:rsid w:val="00D12AC6"/>
    <w:rsid w:val="00D12B01"/>
    <w:rsid w:val="00D13081"/>
    <w:rsid w:val="00D13CB9"/>
    <w:rsid w:val="00D13DF9"/>
    <w:rsid w:val="00D141F0"/>
    <w:rsid w:val="00D149DF"/>
    <w:rsid w:val="00D1598C"/>
    <w:rsid w:val="00D15F38"/>
    <w:rsid w:val="00D172EC"/>
    <w:rsid w:val="00D21A5A"/>
    <w:rsid w:val="00D21DE2"/>
    <w:rsid w:val="00D25705"/>
    <w:rsid w:val="00D26335"/>
    <w:rsid w:val="00D2644F"/>
    <w:rsid w:val="00D27601"/>
    <w:rsid w:val="00D27608"/>
    <w:rsid w:val="00D27A69"/>
    <w:rsid w:val="00D32F33"/>
    <w:rsid w:val="00D34A2E"/>
    <w:rsid w:val="00D35BDB"/>
    <w:rsid w:val="00D35FFD"/>
    <w:rsid w:val="00D36577"/>
    <w:rsid w:val="00D435F4"/>
    <w:rsid w:val="00D44263"/>
    <w:rsid w:val="00D452CB"/>
    <w:rsid w:val="00D4540D"/>
    <w:rsid w:val="00D46388"/>
    <w:rsid w:val="00D5008F"/>
    <w:rsid w:val="00D502B7"/>
    <w:rsid w:val="00D5454A"/>
    <w:rsid w:val="00D6037A"/>
    <w:rsid w:val="00D610B2"/>
    <w:rsid w:val="00D63116"/>
    <w:rsid w:val="00D63BCE"/>
    <w:rsid w:val="00D654DD"/>
    <w:rsid w:val="00D70F05"/>
    <w:rsid w:val="00D717B3"/>
    <w:rsid w:val="00D71C07"/>
    <w:rsid w:val="00D71D4B"/>
    <w:rsid w:val="00D745FB"/>
    <w:rsid w:val="00D746C0"/>
    <w:rsid w:val="00D74A01"/>
    <w:rsid w:val="00D75571"/>
    <w:rsid w:val="00D75676"/>
    <w:rsid w:val="00D7638B"/>
    <w:rsid w:val="00D76DCA"/>
    <w:rsid w:val="00D77F09"/>
    <w:rsid w:val="00D8169D"/>
    <w:rsid w:val="00D830DA"/>
    <w:rsid w:val="00D85383"/>
    <w:rsid w:val="00D8639D"/>
    <w:rsid w:val="00D8643C"/>
    <w:rsid w:val="00D905BE"/>
    <w:rsid w:val="00D93518"/>
    <w:rsid w:val="00D95069"/>
    <w:rsid w:val="00D950AF"/>
    <w:rsid w:val="00D9637E"/>
    <w:rsid w:val="00D97556"/>
    <w:rsid w:val="00DA078A"/>
    <w:rsid w:val="00DA0C7B"/>
    <w:rsid w:val="00DA1A3A"/>
    <w:rsid w:val="00DA25E4"/>
    <w:rsid w:val="00DA2A69"/>
    <w:rsid w:val="00DA2CAD"/>
    <w:rsid w:val="00DA2FF1"/>
    <w:rsid w:val="00DA676E"/>
    <w:rsid w:val="00DB25B5"/>
    <w:rsid w:val="00DB32DD"/>
    <w:rsid w:val="00DB44E0"/>
    <w:rsid w:val="00DB78D1"/>
    <w:rsid w:val="00DC0DF6"/>
    <w:rsid w:val="00DC1527"/>
    <w:rsid w:val="00DC2A0B"/>
    <w:rsid w:val="00DC3C0F"/>
    <w:rsid w:val="00DC4D38"/>
    <w:rsid w:val="00DC6D7E"/>
    <w:rsid w:val="00DC7C30"/>
    <w:rsid w:val="00DD1855"/>
    <w:rsid w:val="00DD481E"/>
    <w:rsid w:val="00DE037D"/>
    <w:rsid w:val="00DE0D1F"/>
    <w:rsid w:val="00DE302D"/>
    <w:rsid w:val="00DE5947"/>
    <w:rsid w:val="00DE60BA"/>
    <w:rsid w:val="00DE6827"/>
    <w:rsid w:val="00DF07C0"/>
    <w:rsid w:val="00DF0F0F"/>
    <w:rsid w:val="00DF1D2F"/>
    <w:rsid w:val="00DF1F65"/>
    <w:rsid w:val="00DF25D3"/>
    <w:rsid w:val="00DF2C2E"/>
    <w:rsid w:val="00DF3C12"/>
    <w:rsid w:val="00DF451E"/>
    <w:rsid w:val="00DF481A"/>
    <w:rsid w:val="00DF4D71"/>
    <w:rsid w:val="00DF7E3D"/>
    <w:rsid w:val="00E02465"/>
    <w:rsid w:val="00E025C6"/>
    <w:rsid w:val="00E02B67"/>
    <w:rsid w:val="00E041FD"/>
    <w:rsid w:val="00E045B4"/>
    <w:rsid w:val="00E073C1"/>
    <w:rsid w:val="00E10AC0"/>
    <w:rsid w:val="00E1154A"/>
    <w:rsid w:val="00E1232D"/>
    <w:rsid w:val="00E2007B"/>
    <w:rsid w:val="00E21081"/>
    <w:rsid w:val="00E21641"/>
    <w:rsid w:val="00E2182E"/>
    <w:rsid w:val="00E21B1D"/>
    <w:rsid w:val="00E2288C"/>
    <w:rsid w:val="00E23167"/>
    <w:rsid w:val="00E231F0"/>
    <w:rsid w:val="00E24817"/>
    <w:rsid w:val="00E26E7F"/>
    <w:rsid w:val="00E27529"/>
    <w:rsid w:val="00E27CAF"/>
    <w:rsid w:val="00E30203"/>
    <w:rsid w:val="00E3023C"/>
    <w:rsid w:val="00E326DD"/>
    <w:rsid w:val="00E32F0C"/>
    <w:rsid w:val="00E33461"/>
    <w:rsid w:val="00E33C64"/>
    <w:rsid w:val="00E3439F"/>
    <w:rsid w:val="00E35CF3"/>
    <w:rsid w:val="00E3661E"/>
    <w:rsid w:val="00E3661F"/>
    <w:rsid w:val="00E41311"/>
    <w:rsid w:val="00E41CCB"/>
    <w:rsid w:val="00E423A6"/>
    <w:rsid w:val="00E428D9"/>
    <w:rsid w:val="00E42BFC"/>
    <w:rsid w:val="00E43113"/>
    <w:rsid w:val="00E449BC"/>
    <w:rsid w:val="00E45110"/>
    <w:rsid w:val="00E456E8"/>
    <w:rsid w:val="00E45BA8"/>
    <w:rsid w:val="00E46BF4"/>
    <w:rsid w:val="00E47737"/>
    <w:rsid w:val="00E501A8"/>
    <w:rsid w:val="00E50D64"/>
    <w:rsid w:val="00E51528"/>
    <w:rsid w:val="00E52588"/>
    <w:rsid w:val="00E5284F"/>
    <w:rsid w:val="00E54115"/>
    <w:rsid w:val="00E55A0C"/>
    <w:rsid w:val="00E56286"/>
    <w:rsid w:val="00E572A7"/>
    <w:rsid w:val="00E57772"/>
    <w:rsid w:val="00E577B0"/>
    <w:rsid w:val="00E57AAE"/>
    <w:rsid w:val="00E57C57"/>
    <w:rsid w:val="00E60526"/>
    <w:rsid w:val="00E6159C"/>
    <w:rsid w:val="00E62640"/>
    <w:rsid w:val="00E62B67"/>
    <w:rsid w:val="00E63C65"/>
    <w:rsid w:val="00E64C2A"/>
    <w:rsid w:val="00E64E3B"/>
    <w:rsid w:val="00E651C3"/>
    <w:rsid w:val="00E6578E"/>
    <w:rsid w:val="00E65D39"/>
    <w:rsid w:val="00E6612F"/>
    <w:rsid w:val="00E6717D"/>
    <w:rsid w:val="00E72707"/>
    <w:rsid w:val="00E7335C"/>
    <w:rsid w:val="00E737E3"/>
    <w:rsid w:val="00E74FE6"/>
    <w:rsid w:val="00E75460"/>
    <w:rsid w:val="00E7554B"/>
    <w:rsid w:val="00E76C7E"/>
    <w:rsid w:val="00E77D4F"/>
    <w:rsid w:val="00E80105"/>
    <w:rsid w:val="00E80A4C"/>
    <w:rsid w:val="00E8182F"/>
    <w:rsid w:val="00E829E6"/>
    <w:rsid w:val="00E83BA7"/>
    <w:rsid w:val="00E84188"/>
    <w:rsid w:val="00E84566"/>
    <w:rsid w:val="00E855BC"/>
    <w:rsid w:val="00E879BD"/>
    <w:rsid w:val="00E90ECE"/>
    <w:rsid w:val="00E9363A"/>
    <w:rsid w:val="00E9579F"/>
    <w:rsid w:val="00E961D4"/>
    <w:rsid w:val="00E97BAF"/>
    <w:rsid w:val="00EA01D6"/>
    <w:rsid w:val="00EA0BB7"/>
    <w:rsid w:val="00EA1A99"/>
    <w:rsid w:val="00EA6888"/>
    <w:rsid w:val="00EA7AFA"/>
    <w:rsid w:val="00EB1BE3"/>
    <w:rsid w:val="00EB28BB"/>
    <w:rsid w:val="00EB29C7"/>
    <w:rsid w:val="00EB2E62"/>
    <w:rsid w:val="00EB2ED7"/>
    <w:rsid w:val="00EB2EDB"/>
    <w:rsid w:val="00EB3602"/>
    <w:rsid w:val="00EB370C"/>
    <w:rsid w:val="00EB4A4F"/>
    <w:rsid w:val="00EB4C58"/>
    <w:rsid w:val="00EB55E9"/>
    <w:rsid w:val="00EB6C8D"/>
    <w:rsid w:val="00EB7FCC"/>
    <w:rsid w:val="00EC12C2"/>
    <w:rsid w:val="00EC199B"/>
    <w:rsid w:val="00EC30C9"/>
    <w:rsid w:val="00EC6532"/>
    <w:rsid w:val="00ED1806"/>
    <w:rsid w:val="00ED26E5"/>
    <w:rsid w:val="00ED33F4"/>
    <w:rsid w:val="00ED39C1"/>
    <w:rsid w:val="00ED76A3"/>
    <w:rsid w:val="00ED774A"/>
    <w:rsid w:val="00EE3C1A"/>
    <w:rsid w:val="00EE69CC"/>
    <w:rsid w:val="00EE6D6B"/>
    <w:rsid w:val="00EE796C"/>
    <w:rsid w:val="00EF02A2"/>
    <w:rsid w:val="00EF0B81"/>
    <w:rsid w:val="00EF17AF"/>
    <w:rsid w:val="00EF183E"/>
    <w:rsid w:val="00EF1D66"/>
    <w:rsid w:val="00EF1EED"/>
    <w:rsid w:val="00EF2560"/>
    <w:rsid w:val="00EF2ACB"/>
    <w:rsid w:val="00EF3955"/>
    <w:rsid w:val="00EF3C94"/>
    <w:rsid w:val="00EF7B1D"/>
    <w:rsid w:val="00F03583"/>
    <w:rsid w:val="00F04B83"/>
    <w:rsid w:val="00F07175"/>
    <w:rsid w:val="00F073D9"/>
    <w:rsid w:val="00F1052F"/>
    <w:rsid w:val="00F10DA3"/>
    <w:rsid w:val="00F134E1"/>
    <w:rsid w:val="00F15778"/>
    <w:rsid w:val="00F15CF6"/>
    <w:rsid w:val="00F15FA6"/>
    <w:rsid w:val="00F16CF2"/>
    <w:rsid w:val="00F2113F"/>
    <w:rsid w:val="00F21589"/>
    <w:rsid w:val="00F2236B"/>
    <w:rsid w:val="00F24DCC"/>
    <w:rsid w:val="00F25469"/>
    <w:rsid w:val="00F25892"/>
    <w:rsid w:val="00F26B21"/>
    <w:rsid w:val="00F27B74"/>
    <w:rsid w:val="00F316D0"/>
    <w:rsid w:val="00F31BEC"/>
    <w:rsid w:val="00F320C9"/>
    <w:rsid w:val="00F337AD"/>
    <w:rsid w:val="00F3383E"/>
    <w:rsid w:val="00F36430"/>
    <w:rsid w:val="00F37899"/>
    <w:rsid w:val="00F37E27"/>
    <w:rsid w:val="00F37FB4"/>
    <w:rsid w:val="00F41520"/>
    <w:rsid w:val="00F4171E"/>
    <w:rsid w:val="00F42621"/>
    <w:rsid w:val="00F43114"/>
    <w:rsid w:val="00F4383B"/>
    <w:rsid w:val="00F443C9"/>
    <w:rsid w:val="00F465A8"/>
    <w:rsid w:val="00F501B0"/>
    <w:rsid w:val="00F50BBA"/>
    <w:rsid w:val="00F51009"/>
    <w:rsid w:val="00F5129B"/>
    <w:rsid w:val="00F52078"/>
    <w:rsid w:val="00F5273E"/>
    <w:rsid w:val="00F52D3F"/>
    <w:rsid w:val="00F575DA"/>
    <w:rsid w:val="00F576EF"/>
    <w:rsid w:val="00F60C68"/>
    <w:rsid w:val="00F61DB9"/>
    <w:rsid w:val="00F623C3"/>
    <w:rsid w:val="00F63339"/>
    <w:rsid w:val="00F63CAD"/>
    <w:rsid w:val="00F6744F"/>
    <w:rsid w:val="00F6787D"/>
    <w:rsid w:val="00F67CD6"/>
    <w:rsid w:val="00F7094D"/>
    <w:rsid w:val="00F71094"/>
    <w:rsid w:val="00F712E7"/>
    <w:rsid w:val="00F7135E"/>
    <w:rsid w:val="00F7170D"/>
    <w:rsid w:val="00F7193C"/>
    <w:rsid w:val="00F71B00"/>
    <w:rsid w:val="00F72662"/>
    <w:rsid w:val="00F72678"/>
    <w:rsid w:val="00F72FCD"/>
    <w:rsid w:val="00F736A5"/>
    <w:rsid w:val="00F739AC"/>
    <w:rsid w:val="00F73EE1"/>
    <w:rsid w:val="00F766D7"/>
    <w:rsid w:val="00F76DF1"/>
    <w:rsid w:val="00F808A9"/>
    <w:rsid w:val="00F808E9"/>
    <w:rsid w:val="00F809E1"/>
    <w:rsid w:val="00F80F01"/>
    <w:rsid w:val="00F8197A"/>
    <w:rsid w:val="00F81BFB"/>
    <w:rsid w:val="00F82ABD"/>
    <w:rsid w:val="00F8400A"/>
    <w:rsid w:val="00F84138"/>
    <w:rsid w:val="00F846D4"/>
    <w:rsid w:val="00F84C50"/>
    <w:rsid w:val="00F859B0"/>
    <w:rsid w:val="00F85D7C"/>
    <w:rsid w:val="00F85F3B"/>
    <w:rsid w:val="00F86F85"/>
    <w:rsid w:val="00F915A9"/>
    <w:rsid w:val="00F91A9A"/>
    <w:rsid w:val="00F92EF9"/>
    <w:rsid w:val="00F93424"/>
    <w:rsid w:val="00F9582A"/>
    <w:rsid w:val="00F9659A"/>
    <w:rsid w:val="00FA0E19"/>
    <w:rsid w:val="00FA1385"/>
    <w:rsid w:val="00FA2F99"/>
    <w:rsid w:val="00FA34F3"/>
    <w:rsid w:val="00FA5AC2"/>
    <w:rsid w:val="00FB0149"/>
    <w:rsid w:val="00FB3257"/>
    <w:rsid w:val="00FB3A74"/>
    <w:rsid w:val="00FB40BE"/>
    <w:rsid w:val="00FB70A3"/>
    <w:rsid w:val="00FB7918"/>
    <w:rsid w:val="00FC0157"/>
    <w:rsid w:val="00FC0A4B"/>
    <w:rsid w:val="00FC1DAC"/>
    <w:rsid w:val="00FC6320"/>
    <w:rsid w:val="00FC7351"/>
    <w:rsid w:val="00FD2865"/>
    <w:rsid w:val="00FD42EC"/>
    <w:rsid w:val="00FD54FC"/>
    <w:rsid w:val="00FD553F"/>
    <w:rsid w:val="00FD62FF"/>
    <w:rsid w:val="00FE0648"/>
    <w:rsid w:val="00FE0919"/>
    <w:rsid w:val="00FE0C1F"/>
    <w:rsid w:val="00FE13A4"/>
    <w:rsid w:val="00FE1A8B"/>
    <w:rsid w:val="00FE31D3"/>
    <w:rsid w:val="00FE51BF"/>
    <w:rsid w:val="00FE6EA3"/>
    <w:rsid w:val="00FF0D0E"/>
    <w:rsid w:val="00FF1487"/>
    <w:rsid w:val="00FF4EF5"/>
    <w:rsid w:val="00FF5652"/>
    <w:rsid w:val="00FF5D90"/>
    <w:rsid w:val="00FF65F8"/>
    <w:rsid w:val="00FF7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1C8FF9F7"/>
  <w15:docId w15:val="{17015520-C528-42D1-BDCD-591D21B2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spacing w:before="240" w:line="276" w:lineRule="auto"/>
      <w:outlineLvl w:val="0"/>
    </w:pPr>
    <w:rPr>
      <w:rFonts w:ascii="Cambria" w:eastAsia="Cambria" w:hAnsi="Cambria" w:cs="Cambria"/>
      <w:color w:val="366091"/>
      <w:sz w:val="32"/>
      <w:szCs w:val="32"/>
    </w:rPr>
  </w:style>
  <w:style w:type="paragraph" w:styleId="Heading2">
    <w:name w:val="heading 2"/>
    <w:basedOn w:val="Normal"/>
    <w:next w:val="Normal"/>
    <w:pPr>
      <w:keepNext/>
      <w:keepLines/>
      <w:tabs>
        <w:tab w:val="left" w:pos="720"/>
      </w:tabs>
      <w:ind w:left="1584" w:hanging="215"/>
      <w:jc w:val="both"/>
      <w:outlineLvl w:val="1"/>
    </w:pPr>
  </w:style>
  <w:style w:type="paragraph" w:styleId="Heading3">
    <w:name w:val="heading 3"/>
    <w:basedOn w:val="Normal"/>
    <w:next w:val="Normal"/>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pPr>
      <w:keepNext/>
      <w:keepLines/>
      <w:spacing w:before="200" w:after="40" w:line="276" w:lineRule="auto"/>
      <w:outlineLvl w:val="5"/>
    </w:pPr>
    <w:rPr>
      <w:rFonts w:ascii="Calibri" w:eastAsia="Calibri" w:hAnsi="Calibri" w:cs="Calibri"/>
      <w:b/>
      <w:sz w:val="20"/>
      <w:szCs w:val="20"/>
    </w:rPr>
  </w:style>
  <w:style w:type="paragraph" w:styleId="Heading7">
    <w:name w:val="heading 7"/>
    <w:basedOn w:val="Normal"/>
    <w:next w:val="Normal"/>
    <w:link w:val="Heading7Char"/>
    <w:uiPriority w:val="9"/>
    <w:semiHidden/>
    <w:unhideWhenUsed/>
    <w:qFormat/>
    <w:rsid w:val="00325F8A"/>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keepNext/>
      <w:keepLines/>
      <w:widowControl w:val="0"/>
      <w:jc w:val="center"/>
    </w:pPr>
    <w:rPr>
      <w:rFonts w:ascii="Calibri" w:eastAsia="Calibri" w:hAnsi="Calibri" w:cs="Calibri"/>
      <w:b/>
      <w:sz w:val="22"/>
      <w:szCs w:val="22"/>
    </w:rPr>
  </w:style>
  <w:style w:type="paragraph" w:styleId="Subtitle">
    <w:name w:val="Subtitle"/>
    <w:basedOn w:val="Normal"/>
    <w:next w:val="Normal"/>
    <w:pPr>
      <w:keepNext/>
      <w:keepLines/>
      <w:spacing w:before="360" w:after="80" w:line="276" w:lineRule="auto"/>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85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35BDB"/>
    <w:rPr>
      <w:b/>
      <w:bCs/>
    </w:rPr>
  </w:style>
  <w:style w:type="character" w:customStyle="1" w:styleId="CommentSubjectChar">
    <w:name w:val="Comment Subject Char"/>
    <w:basedOn w:val="CommentTextChar"/>
    <w:link w:val="CommentSubject"/>
    <w:uiPriority w:val="99"/>
    <w:semiHidden/>
    <w:rsid w:val="00D35BDB"/>
    <w:rPr>
      <w:b/>
      <w:bCs/>
      <w:sz w:val="20"/>
      <w:szCs w:val="20"/>
    </w:rPr>
  </w:style>
  <w:style w:type="table" w:styleId="TableGrid">
    <w:name w:val="Table Grid"/>
    <w:basedOn w:val="TableNormal"/>
    <w:uiPriority w:val="59"/>
    <w:rsid w:val="00A64DBA"/>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53E2"/>
    <w:rPr>
      <w:color w:val="0000FF"/>
      <w:u w:val="single"/>
    </w:rPr>
  </w:style>
  <w:style w:type="paragraph" w:styleId="Revision">
    <w:name w:val="Revision"/>
    <w:hidden/>
    <w:uiPriority w:val="99"/>
    <w:semiHidden/>
    <w:rsid w:val="00E41CCB"/>
    <w:pPr>
      <w:ind w:left="0"/>
    </w:pPr>
  </w:style>
  <w:style w:type="paragraph" w:styleId="EndnoteText">
    <w:name w:val="endnote text"/>
    <w:basedOn w:val="Normal"/>
    <w:link w:val="EndnoteTextChar"/>
    <w:uiPriority w:val="99"/>
    <w:unhideWhenUsed/>
    <w:rsid w:val="00596A26"/>
    <w:pPr>
      <w:ind w:left="0"/>
    </w:pPr>
    <w:rPr>
      <w:rFonts w:eastAsiaTheme="minorHAnsi" w:cstheme="minorBidi"/>
      <w:color w:val="auto"/>
      <w:sz w:val="20"/>
      <w:szCs w:val="20"/>
    </w:rPr>
  </w:style>
  <w:style w:type="character" w:customStyle="1" w:styleId="EndnoteTextChar">
    <w:name w:val="Endnote Text Char"/>
    <w:basedOn w:val="DefaultParagraphFont"/>
    <w:link w:val="EndnoteText"/>
    <w:uiPriority w:val="99"/>
    <w:rsid w:val="00596A26"/>
    <w:rPr>
      <w:rFonts w:eastAsiaTheme="minorHAnsi" w:cstheme="minorBidi"/>
      <w:color w:val="auto"/>
      <w:sz w:val="20"/>
      <w:szCs w:val="20"/>
    </w:rPr>
  </w:style>
  <w:style w:type="character" w:styleId="EndnoteReference">
    <w:name w:val="endnote reference"/>
    <w:basedOn w:val="DefaultParagraphFont"/>
    <w:uiPriority w:val="99"/>
    <w:unhideWhenUsed/>
    <w:rsid w:val="00596A26"/>
    <w:rPr>
      <w:vertAlign w:val="superscript"/>
    </w:rPr>
  </w:style>
  <w:style w:type="paragraph" w:styleId="Header">
    <w:name w:val="header"/>
    <w:basedOn w:val="Normal"/>
    <w:link w:val="HeaderChar"/>
    <w:uiPriority w:val="99"/>
    <w:unhideWhenUsed/>
    <w:rsid w:val="00596A26"/>
    <w:pPr>
      <w:tabs>
        <w:tab w:val="center" w:pos="4680"/>
        <w:tab w:val="right" w:pos="9360"/>
      </w:tabs>
      <w:ind w:left="0"/>
    </w:pPr>
    <w:rPr>
      <w:rFonts w:asciiTheme="minorHAnsi" w:eastAsiaTheme="minorHAnsi" w:hAnsiTheme="minorHAnsi" w:cstheme="minorBidi"/>
      <w:color w:val="auto"/>
      <w:sz w:val="22"/>
      <w:szCs w:val="22"/>
    </w:rPr>
  </w:style>
  <w:style w:type="character" w:customStyle="1" w:styleId="HeaderChar">
    <w:name w:val="Header Char"/>
    <w:basedOn w:val="DefaultParagraphFont"/>
    <w:link w:val="Header"/>
    <w:uiPriority w:val="99"/>
    <w:rsid w:val="00596A26"/>
    <w:rPr>
      <w:rFonts w:asciiTheme="minorHAnsi" w:eastAsiaTheme="minorHAnsi" w:hAnsiTheme="minorHAnsi" w:cstheme="minorBidi"/>
      <w:color w:val="auto"/>
      <w:sz w:val="22"/>
      <w:szCs w:val="22"/>
    </w:rPr>
  </w:style>
  <w:style w:type="paragraph" w:styleId="ListParagraph">
    <w:name w:val="List Paragraph"/>
    <w:basedOn w:val="Normal"/>
    <w:uiPriority w:val="34"/>
    <w:qFormat/>
    <w:rsid w:val="000E6198"/>
    <w:pPr>
      <w:contextualSpacing/>
    </w:pPr>
  </w:style>
  <w:style w:type="paragraph" w:styleId="NormalWeb">
    <w:name w:val="Normal (Web)"/>
    <w:basedOn w:val="Normal"/>
    <w:uiPriority w:val="99"/>
    <w:semiHidden/>
    <w:unhideWhenUsed/>
    <w:rsid w:val="006C4B73"/>
  </w:style>
  <w:style w:type="paragraph" w:styleId="FootnoteText">
    <w:name w:val="footnote text"/>
    <w:basedOn w:val="Normal"/>
    <w:link w:val="FootnoteTextChar"/>
    <w:uiPriority w:val="99"/>
    <w:unhideWhenUsed/>
    <w:rsid w:val="000A1295"/>
    <w:pPr>
      <w:ind w:left="0"/>
    </w:pPr>
    <w:rPr>
      <w:rFonts w:eastAsiaTheme="minorHAnsi"/>
      <w:color w:val="auto"/>
      <w:sz w:val="20"/>
      <w:szCs w:val="20"/>
    </w:rPr>
  </w:style>
  <w:style w:type="character" w:customStyle="1" w:styleId="FootnoteTextChar">
    <w:name w:val="Footnote Text Char"/>
    <w:basedOn w:val="DefaultParagraphFont"/>
    <w:link w:val="FootnoteText"/>
    <w:uiPriority w:val="99"/>
    <w:rsid w:val="000A1295"/>
    <w:rPr>
      <w:rFonts w:eastAsiaTheme="minorHAnsi"/>
      <w:color w:val="auto"/>
      <w:sz w:val="20"/>
      <w:szCs w:val="20"/>
    </w:rPr>
  </w:style>
  <w:style w:type="character" w:styleId="FootnoteReference">
    <w:name w:val="footnote reference"/>
    <w:basedOn w:val="DefaultParagraphFont"/>
    <w:uiPriority w:val="99"/>
    <w:unhideWhenUsed/>
    <w:rsid w:val="000A1295"/>
    <w:rPr>
      <w:vertAlign w:val="superscript"/>
    </w:rPr>
  </w:style>
  <w:style w:type="table" w:customStyle="1" w:styleId="TableGrid1">
    <w:name w:val="Table Grid1"/>
    <w:basedOn w:val="TableNormal"/>
    <w:next w:val="TableGrid"/>
    <w:uiPriority w:val="39"/>
    <w:rsid w:val="006B5537"/>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821D7"/>
  </w:style>
  <w:style w:type="character" w:styleId="Emphasis">
    <w:name w:val="Emphasis"/>
    <w:basedOn w:val="DefaultParagraphFont"/>
    <w:uiPriority w:val="20"/>
    <w:qFormat/>
    <w:rsid w:val="008821D7"/>
    <w:rPr>
      <w:i/>
      <w:iCs/>
    </w:rPr>
  </w:style>
  <w:style w:type="character" w:styleId="FollowedHyperlink">
    <w:name w:val="FollowedHyperlink"/>
    <w:basedOn w:val="DefaultParagraphFont"/>
    <w:uiPriority w:val="99"/>
    <w:semiHidden/>
    <w:unhideWhenUsed/>
    <w:rsid w:val="00594CB2"/>
    <w:rPr>
      <w:color w:val="954F72" w:themeColor="followedHyperlink"/>
      <w:u w:val="single"/>
    </w:rPr>
  </w:style>
  <w:style w:type="table" w:customStyle="1" w:styleId="TableGrid11">
    <w:name w:val="Table Grid11"/>
    <w:basedOn w:val="TableNormal"/>
    <w:next w:val="TableGrid"/>
    <w:uiPriority w:val="39"/>
    <w:rsid w:val="00712770"/>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E51BF"/>
    <w:pPr>
      <w:tabs>
        <w:tab w:val="center" w:pos="4680"/>
        <w:tab w:val="right" w:pos="9360"/>
      </w:tabs>
    </w:pPr>
  </w:style>
  <w:style w:type="character" w:customStyle="1" w:styleId="FooterChar">
    <w:name w:val="Footer Char"/>
    <w:basedOn w:val="DefaultParagraphFont"/>
    <w:link w:val="Footer"/>
    <w:uiPriority w:val="99"/>
    <w:rsid w:val="00FE51BF"/>
  </w:style>
  <w:style w:type="table" w:customStyle="1" w:styleId="TableGrid2">
    <w:name w:val="Table Grid2"/>
    <w:basedOn w:val="TableNormal"/>
    <w:uiPriority w:val="39"/>
    <w:rsid w:val="00527720"/>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27720"/>
    <w:pPr>
      <w:autoSpaceDE w:val="0"/>
      <w:autoSpaceDN w:val="0"/>
      <w:adjustRightInd w:val="0"/>
      <w:ind w:left="0"/>
    </w:pPr>
    <w:rPr>
      <w:rFonts w:ascii="Arial" w:hAnsi="Arial" w:cs="Arial"/>
    </w:rPr>
  </w:style>
  <w:style w:type="table" w:customStyle="1" w:styleId="TableGrid3">
    <w:name w:val="Table Grid3"/>
    <w:basedOn w:val="TableNormal"/>
    <w:uiPriority w:val="39"/>
    <w:rsid w:val="004559AD"/>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A604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F86F85"/>
    <w:pPr>
      <w:ind w:left="0"/>
    </w:pPr>
    <w:rPr>
      <w:b/>
      <w:i/>
      <w:color w:val="auto"/>
    </w:rPr>
  </w:style>
  <w:style w:type="table" w:customStyle="1" w:styleId="TableGrid5">
    <w:name w:val="Table Grid5"/>
    <w:basedOn w:val="TableNormal"/>
    <w:next w:val="TableGrid"/>
    <w:uiPriority w:val="39"/>
    <w:rsid w:val="00CC6444"/>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AHeading">
    <w:name w:val="toa heading"/>
    <w:basedOn w:val="Normal"/>
    <w:next w:val="Normal"/>
    <w:semiHidden/>
    <w:rsid w:val="009D1DDD"/>
    <w:pPr>
      <w:widowControl w:val="0"/>
      <w:tabs>
        <w:tab w:val="left" w:pos="0"/>
        <w:tab w:val="right" w:pos="9360"/>
      </w:tabs>
      <w:autoSpaceDE w:val="0"/>
      <w:autoSpaceDN w:val="0"/>
      <w:adjustRightInd w:val="0"/>
      <w:ind w:left="0"/>
      <w:jc w:val="both"/>
    </w:pPr>
    <w:rPr>
      <w:color w:val="auto"/>
      <w:sz w:val="20"/>
    </w:rPr>
  </w:style>
  <w:style w:type="character" w:customStyle="1" w:styleId="Heading1Char">
    <w:name w:val="Heading 1 Char"/>
    <w:link w:val="Heading1"/>
    <w:rsid w:val="00641905"/>
    <w:rPr>
      <w:rFonts w:ascii="Cambria" w:eastAsia="Cambria" w:hAnsi="Cambria" w:cs="Cambria"/>
      <w:color w:val="366091"/>
      <w:sz w:val="32"/>
      <w:szCs w:val="32"/>
    </w:rPr>
  </w:style>
  <w:style w:type="character" w:styleId="HTMLCode">
    <w:name w:val="HTML Code"/>
    <w:basedOn w:val="DefaultParagraphFont"/>
    <w:semiHidden/>
    <w:unhideWhenUsed/>
    <w:rsid w:val="00E47737"/>
    <w:rPr>
      <w:rFonts w:ascii="Courier New" w:eastAsia="Times New Roman" w:hAnsi="Courier New" w:cs="Courier New" w:hint="default"/>
      <w:sz w:val="20"/>
      <w:szCs w:val="20"/>
    </w:rPr>
  </w:style>
  <w:style w:type="character" w:styleId="UnresolvedMention">
    <w:name w:val="Unresolved Mention"/>
    <w:basedOn w:val="DefaultParagraphFont"/>
    <w:uiPriority w:val="99"/>
    <w:semiHidden/>
    <w:unhideWhenUsed/>
    <w:rsid w:val="008C6B7D"/>
    <w:rPr>
      <w:color w:val="808080"/>
      <w:shd w:val="clear" w:color="auto" w:fill="E6E6E6"/>
    </w:rPr>
  </w:style>
  <w:style w:type="table" w:customStyle="1" w:styleId="TableGrid31">
    <w:name w:val="Table Grid31"/>
    <w:basedOn w:val="TableNormal"/>
    <w:next w:val="TableGrid"/>
    <w:uiPriority w:val="39"/>
    <w:rsid w:val="00F501B0"/>
    <w:pPr>
      <w:ind w:left="0"/>
    </w:pPr>
    <w:rPr>
      <w:rFonts w:ascii="Calibri" w:eastAsia="Calibri" w:hAnsi="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990C7F"/>
    <w:pPr>
      <w:ind w:left="0"/>
    </w:pPr>
    <w:rPr>
      <w:rFonts w:asciiTheme="minorHAnsi" w:eastAsia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uiPriority w:val="99"/>
    <w:rsid w:val="004C2782"/>
    <w:rPr>
      <w:rFonts w:ascii="Calibri" w:eastAsia="Calibri" w:hAnsi="Calibri" w:cs="Calibri"/>
      <w:b/>
      <w:sz w:val="22"/>
      <w:szCs w:val="22"/>
    </w:rPr>
  </w:style>
  <w:style w:type="table" w:customStyle="1" w:styleId="TableGrid7">
    <w:name w:val="Table Grid7"/>
    <w:basedOn w:val="TableNormal"/>
    <w:next w:val="TableGrid"/>
    <w:uiPriority w:val="39"/>
    <w:rsid w:val="000D78B3"/>
    <w:pPr>
      <w:ind w:left="0"/>
    </w:pPr>
    <w:rPr>
      <w:color w:val="auto"/>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325F8A"/>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21133">
      <w:bodyDiv w:val="1"/>
      <w:marLeft w:val="0"/>
      <w:marRight w:val="0"/>
      <w:marTop w:val="0"/>
      <w:marBottom w:val="0"/>
      <w:divBdr>
        <w:top w:val="none" w:sz="0" w:space="0" w:color="auto"/>
        <w:left w:val="none" w:sz="0" w:space="0" w:color="auto"/>
        <w:bottom w:val="none" w:sz="0" w:space="0" w:color="auto"/>
        <w:right w:val="none" w:sz="0" w:space="0" w:color="auto"/>
      </w:divBdr>
    </w:div>
    <w:div w:id="78790290">
      <w:bodyDiv w:val="1"/>
      <w:marLeft w:val="0"/>
      <w:marRight w:val="0"/>
      <w:marTop w:val="0"/>
      <w:marBottom w:val="0"/>
      <w:divBdr>
        <w:top w:val="none" w:sz="0" w:space="0" w:color="auto"/>
        <w:left w:val="none" w:sz="0" w:space="0" w:color="auto"/>
        <w:bottom w:val="none" w:sz="0" w:space="0" w:color="auto"/>
        <w:right w:val="none" w:sz="0" w:space="0" w:color="auto"/>
      </w:divBdr>
    </w:div>
    <w:div w:id="122818960">
      <w:bodyDiv w:val="1"/>
      <w:marLeft w:val="0"/>
      <w:marRight w:val="0"/>
      <w:marTop w:val="0"/>
      <w:marBottom w:val="0"/>
      <w:divBdr>
        <w:top w:val="none" w:sz="0" w:space="0" w:color="auto"/>
        <w:left w:val="none" w:sz="0" w:space="0" w:color="auto"/>
        <w:bottom w:val="none" w:sz="0" w:space="0" w:color="auto"/>
        <w:right w:val="none" w:sz="0" w:space="0" w:color="auto"/>
      </w:divBdr>
    </w:div>
    <w:div w:id="128934531">
      <w:bodyDiv w:val="1"/>
      <w:marLeft w:val="0"/>
      <w:marRight w:val="0"/>
      <w:marTop w:val="0"/>
      <w:marBottom w:val="0"/>
      <w:divBdr>
        <w:top w:val="none" w:sz="0" w:space="0" w:color="auto"/>
        <w:left w:val="none" w:sz="0" w:space="0" w:color="auto"/>
        <w:bottom w:val="none" w:sz="0" w:space="0" w:color="auto"/>
        <w:right w:val="none" w:sz="0" w:space="0" w:color="auto"/>
      </w:divBdr>
    </w:div>
    <w:div w:id="176507047">
      <w:bodyDiv w:val="1"/>
      <w:marLeft w:val="0"/>
      <w:marRight w:val="0"/>
      <w:marTop w:val="0"/>
      <w:marBottom w:val="0"/>
      <w:divBdr>
        <w:top w:val="none" w:sz="0" w:space="0" w:color="auto"/>
        <w:left w:val="none" w:sz="0" w:space="0" w:color="auto"/>
        <w:bottom w:val="none" w:sz="0" w:space="0" w:color="auto"/>
        <w:right w:val="none" w:sz="0" w:space="0" w:color="auto"/>
      </w:divBdr>
    </w:div>
    <w:div w:id="198012832">
      <w:bodyDiv w:val="1"/>
      <w:marLeft w:val="0"/>
      <w:marRight w:val="0"/>
      <w:marTop w:val="0"/>
      <w:marBottom w:val="0"/>
      <w:divBdr>
        <w:top w:val="none" w:sz="0" w:space="0" w:color="auto"/>
        <w:left w:val="none" w:sz="0" w:space="0" w:color="auto"/>
        <w:bottom w:val="none" w:sz="0" w:space="0" w:color="auto"/>
        <w:right w:val="none" w:sz="0" w:space="0" w:color="auto"/>
      </w:divBdr>
    </w:div>
    <w:div w:id="211842885">
      <w:bodyDiv w:val="1"/>
      <w:marLeft w:val="0"/>
      <w:marRight w:val="0"/>
      <w:marTop w:val="0"/>
      <w:marBottom w:val="0"/>
      <w:divBdr>
        <w:top w:val="none" w:sz="0" w:space="0" w:color="auto"/>
        <w:left w:val="none" w:sz="0" w:space="0" w:color="auto"/>
        <w:bottom w:val="none" w:sz="0" w:space="0" w:color="auto"/>
        <w:right w:val="none" w:sz="0" w:space="0" w:color="auto"/>
      </w:divBdr>
    </w:div>
    <w:div w:id="220403756">
      <w:bodyDiv w:val="1"/>
      <w:marLeft w:val="0"/>
      <w:marRight w:val="0"/>
      <w:marTop w:val="0"/>
      <w:marBottom w:val="0"/>
      <w:divBdr>
        <w:top w:val="none" w:sz="0" w:space="0" w:color="auto"/>
        <w:left w:val="none" w:sz="0" w:space="0" w:color="auto"/>
        <w:bottom w:val="none" w:sz="0" w:space="0" w:color="auto"/>
        <w:right w:val="none" w:sz="0" w:space="0" w:color="auto"/>
      </w:divBdr>
    </w:div>
    <w:div w:id="292828310">
      <w:bodyDiv w:val="1"/>
      <w:marLeft w:val="0"/>
      <w:marRight w:val="0"/>
      <w:marTop w:val="0"/>
      <w:marBottom w:val="0"/>
      <w:divBdr>
        <w:top w:val="none" w:sz="0" w:space="0" w:color="auto"/>
        <w:left w:val="none" w:sz="0" w:space="0" w:color="auto"/>
        <w:bottom w:val="none" w:sz="0" w:space="0" w:color="auto"/>
        <w:right w:val="none" w:sz="0" w:space="0" w:color="auto"/>
      </w:divBdr>
      <w:divsChild>
        <w:div w:id="552228504">
          <w:marLeft w:val="0"/>
          <w:marRight w:val="0"/>
          <w:marTop w:val="0"/>
          <w:marBottom w:val="0"/>
          <w:divBdr>
            <w:top w:val="none" w:sz="0" w:space="0" w:color="auto"/>
            <w:left w:val="none" w:sz="0" w:space="0" w:color="auto"/>
            <w:bottom w:val="none" w:sz="0" w:space="0" w:color="auto"/>
            <w:right w:val="none" w:sz="0" w:space="0" w:color="auto"/>
          </w:divBdr>
        </w:div>
        <w:div w:id="904294548">
          <w:marLeft w:val="0"/>
          <w:marRight w:val="0"/>
          <w:marTop w:val="0"/>
          <w:marBottom w:val="0"/>
          <w:divBdr>
            <w:top w:val="none" w:sz="0" w:space="0" w:color="auto"/>
            <w:left w:val="none" w:sz="0" w:space="0" w:color="auto"/>
            <w:bottom w:val="none" w:sz="0" w:space="0" w:color="auto"/>
            <w:right w:val="none" w:sz="0" w:space="0" w:color="auto"/>
          </w:divBdr>
        </w:div>
        <w:div w:id="1634410804">
          <w:marLeft w:val="0"/>
          <w:marRight w:val="0"/>
          <w:marTop w:val="0"/>
          <w:marBottom w:val="0"/>
          <w:divBdr>
            <w:top w:val="none" w:sz="0" w:space="0" w:color="auto"/>
            <w:left w:val="none" w:sz="0" w:space="0" w:color="auto"/>
            <w:bottom w:val="none" w:sz="0" w:space="0" w:color="auto"/>
            <w:right w:val="none" w:sz="0" w:space="0" w:color="auto"/>
          </w:divBdr>
        </w:div>
        <w:div w:id="1301686823">
          <w:marLeft w:val="0"/>
          <w:marRight w:val="0"/>
          <w:marTop w:val="0"/>
          <w:marBottom w:val="0"/>
          <w:divBdr>
            <w:top w:val="none" w:sz="0" w:space="0" w:color="auto"/>
            <w:left w:val="none" w:sz="0" w:space="0" w:color="auto"/>
            <w:bottom w:val="none" w:sz="0" w:space="0" w:color="auto"/>
            <w:right w:val="none" w:sz="0" w:space="0" w:color="auto"/>
          </w:divBdr>
        </w:div>
      </w:divsChild>
    </w:div>
    <w:div w:id="346830890">
      <w:bodyDiv w:val="1"/>
      <w:marLeft w:val="0"/>
      <w:marRight w:val="0"/>
      <w:marTop w:val="0"/>
      <w:marBottom w:val="0"/>
      <w:divBdr>
        <w:top w:val="none" w:sz="0" w:space="0" w:color="auto"/>
        <w:left w:val="none" w:sz="0" w:space="0" w:color="auto"/>
        <w:bottom w:val="none" w:sz="0" w:space="0" w:color="auto"/>
        <w:right w:val="none" w:sz="0" w:space="0" w:color="auto"/>
      </w:divBdr>
    </w:div>
    <w:div w:id="387538180">
      <w:bodyDiv w:val="1"/>
      <w:marLeft w:val="0"/>
      <w:marRight w:val="0"/>
      <w:marTop w:val="0"/>
      <w:marBottom w:val="0"/>
      <w:divBdr>
        <w:top w:val="none" w:sz="0" w:space="0" w:color="auto"/>
        <w:left w:val="none" w:sz="0" w:space="0" w:color="auto"/>
        <w:bottom w:val="none" w:sz="0" w:space="0" w:color="auto"/>
        <w:right w:val="none" w:sz="0" w:space="0" w:color="auto"/>
      </w:divBdr>
    </w:div>
    <w:div w:id="442185941">
      <w:bodyDiv w:val="1"/>
      <w:marLeft w:val="0"/>
      <w:marRight w:val="0"/>
      <w:marTop w:val="0"/>
      <w:marBottom w:val="0"/>
      <w:divBdr>
        <w:top w:val="none" w:sz="0" w:space="0" w:color="auto"/>
        <w:left w:val="none" w:sz="0" w:space="0" w:color="auto"/>
        <w:bottom w:val="none" w:sz="0" w:space="0" w:color="auto"/>
        <w:right w:val="none" w:sz="0" w:space="0" w:color="auto"/>
      </w:divBdr>
    </w:div>
    <w:div w:id="470514572">
      <w:bodyDiv w:val="1"/>
      <w:marLeft w:val="0"/>
      <w:marRight w:val="0"/>
      <w:marTop w:val="0"/>
      <w:marBottom w:val="0"/>
      <w:divBdr>
        <w:top w:val="none" w:sz="0" w:space="0" w:color="auto"/>
        <w:left w:val="none" w:sz="0" w:space="0" w:color="auto"/>
        <w:bottom w:val="none" w:sz="0" w:space="0" w:color="auto"/>
        <w:right w:val="none" w:sz="0" w:space="0" w:color="auto"/>
      </w:divBdr>
    </w:div>
    <w:div w:id="483282932">
      <w:bodyDiv w:val="1"/>
      <w:marLeft w:val="0"/>
      <w:marRight w:val="0"/>
      <w:marTop w:val="0"/>
      <w:marBottom w:val="0"/>
      <w:divBdr>
        <w:top w:val="none" w:sz="0" w:space="0" w:color="auto"/>
        <w:left w:val="none" w:sz="0" w:space="0" w:color="auto"/>
        <w:bottom w:val="none" w:sz="0" w:space="0" w:color="auto"/>
        <w:right w:val="none" w:sz="0" w:space="0" w:color="auto"/>
      </w:divBdr>
    </w:div>
    <w:div w:id="503671799">
      <w:bodyDiv w:val="1"/>
      <w:marLeft w:val="0"/>
      <w:marRight w:val="0"/>
      <w:marTop w:val="0"/>
      <w:marBottom w:val="0"/>
      <w:divBdr>
        <w:top w:val="none" w:sz="0" w:space="0" w:color="auto"/>
        <w:left w:val="none" w:sz="0" w:space="0" w:color="auto"/>
        <w:bottom w:val="none" w:sz="0" w:space="0" w:color="auto"/>
        <w:right w:val="none" w:sz="0" w:space="0" w:color="auto"/>
      </w:divBdr>
    </w:div>
    <w:div w:id="609246198">
      <w:bodyDiv w:val="1"/>
      <w:marLeft w:val="0"/>
      <w:marRight w:val="0"/>
      <w:marTop w:val="0"/>
      <w:marBottom w:val="0"/>
      <w:divBdr>
        <w:top w:val="none" w:sz="0" w:space="0" w:color="auto"/>
        <w:left w:val="none" w:sz="0" w:space="0" w:color="auto"/>
        <w:bottom w:val="none" w:sz="0" w:space="0" w:color="auto"/>
        <w:right w:val="none" w:sz="0" w:space="0" w:color="auto"/>
      </w:divBdr>
    </w:div>
    <w:div w:id="655960324">
      <w:bodyDiv w:val="1"/>
      <w:marLeft w:val="0"/>
      <w:marRight w:val="0"/>
      <w:marTop w:val="0"/>
      <w:marBottom w:val="0"/>
      <w:divBdr>
        <w:top w:val="none" w:sz="0" w:space="0" w:color="auto"/>
        <w:left w:val="none" w:sz="0" w:space="0" w:color="auto"/>
        <w:bottom w:val="none" w:sz="0" w:space="0" w:color="auto"/>
        <w:right w:val="none" w:sz="0" w:space="0" w:color="auto"/>
      </w:divBdr>
    </w:div>
    <w:div w:id="661009956">
      <w:bodyDiv w:val="1"/>
      <w:marLeft w:val="0"/>
      <w:marRight w:val="0"/>
      <w:marTop w:val="0"/>
      <w:marBottom w:val="0"/>
      <w:divBdr>
        <w:top w:val="none" w:sz="0" w:space="0" w:color="auto"/>
        <w:left w:val="none" w:sz="0" w:space="0" w:color="auto"/>
        <w:bottom w:val="none" w:sz="0" w:space="0" w:color="auto"/>
        <w:right w:val="none" w:sz="0" w:space="0" w:color="auto"/>
      </w:divBdr>
    </w:div>
    <w:div w:id="664479194">
      <w:bodyDiv w:val="1"/>
      <w:marLeft w:val="0"/>
      <w:marRight w:val="0"/>
      <w:marTop w:val="0"/>
      <w:marBottom w:val="0"/>
      <w:divBdr>
        <w:top w:val="none" w:sz="0" w:space="0" w:color="auto"/>
        <w:left w:val="none" w:sz="0" w:space="0" w:color="auto"/>
        <w:bottom w:val="none" w:sz="0" w:space="0" w:color="auto"/>
        <w:right w:val="none" w:sz="0" w:space="0" w:color="auto"/>
      </w:divBdr>
    </w:div>
    <w:div w:id="695078712">
      <w:bodyDiv w:val="1"/>
      <w:marLeft w:val="0"/>
      <w:marRight w:val="0"/>
      <w:marTop w:val="0"/>
      <w:marBottom w:val="0"/>
      <w:divBdr>
        <w:top w:val="none" w:sz="0" w:space="0" w:color="auto"/>
        <w:left w:val="none" w:sz="0" w:space="0" w:color="auto"/>
        <w:bottom w:val="none" w:sz="0" w:space="0" w:color="auto"/>
        <w:right w:val="none" w:sz="0" w:space="0" w:color="auto"/>
      </w:divBdr>
    </w:div>
    <w:div w:id="716970664">
      <w:bodyDiv w:val="1"/>
      <w:marLeft w:val="0"/>
      <w:marRight w:val="0"/>
      <w:marTop w:val="0"/>
      <w:marBottom w:val="0"/>
      <w:divBdr>
        <w:top w:val="none" w:sz="0" w:space="0" w:color="auto"/>
        <w:left w:val="none" w:sz="0" w:space="0" w:color="auto"/>
        <w:bottom w:val="none" w:sz="0" w:space="0" w:color="auto"/>
        <w:right w:val="none" w:sz="0" w:space="0" w:color="auto"/>
      </w:divBdr>
    </w:div>
    <w:div w:id="745877570">
      <w:bodyDiv w:val="1"/>
      <w:marLeft w:val="0"/>
      <w:marRight w:val="0"/>
      <w:marTop w:val="0"/>
      <w:marBottom w:val="0"/>
      <w:divBdr>
        <w:top w:val="none" w:sz="0" w:space="0" w:color="auto"/>
        <w:left w:val="none" w:sz="0" w:space="0" w:color="auto"/>
        <w:bottom w:val="none" w:sz="0" w:space="0" w:color="auto"/>
        <w:right w:val="none" w:sz="0" w:space="0" w:color="auto"/>
      </w:divBdr>
    </w:div>
    <w:div w:id="799765020">
      <w:bodyDiv w:val="1"/>
      <w:marLeft w:val="0"/>
      <w:marRight w:val="0"/>
      <w:marTop w:val="0"/>
      <w:marBottom w:val="0"/>
      <w:divBdr>
        <w:top w:val="none" w:sz="0" w:space="0" w:color="auto"/>
        <w:left w:val="none" w:sz="0" w:space="0" w:color="auto"/>
        <w:bottom w:val="none" w:sz="0" w:space="0" w:color="auto"/>
        <w:right w:val="none" w:sz="0" w:space="0" w:color="auto"/>
      </w:divBdr>
    </w:div>
    <w:div w:id="850951099">
      <w:bodyDiv w:val="1"/>
      <w:marLeft w:val="0"/>
      <w:marRight w:val="0"/>
      <w:marTop w:val="0"/>
      <w:marBottom w:val="0"/>
      <w:divBdr>
        <w:top w:val="none" w:sz="0" w:space="0" w:color="auto"/>
        <w:left w:val="none" w:sz="0" w:space="0" w:color="auto"/>
        <w:bottom w:val="none" w:sz="0" w:space="0" w:color="auto"/>
        <w:right w:val="none" w:sz="0" w:space="0" w:color="auto"/>
      </w:divBdr>
    </w:div>
    <w:div w:id="854460887">
      <w:bodyDiv w:val="1"/>
      <w:marLeft w:val="0"/>
      <w:marRight w:val="0"/>
      <w:marTop w:val="0"/>
      <w:marBottom w:val="0"/>
      <w:divBdr>
        <w:top w:val="none" w:sz="0" w:space="0" w:color="auto"/>
        <w:left w:val="none" w:sz="0" w:space="0" w:color="auto"/>
        <w:bottom w:val="none" w:sz="0" w:space="0" w:color="auto"/>
        <w:right w:val="none" w:sz="0" w:space="0" w:color="auto"/>
      </w:divBdr>
    </w:div>
    <w:div w:id="997273882">
      <w:bodyDiv w:val="1"/>
      <w:marLeft w:val="0"/>
      <w:marRight w:val="0"/>
      <w:marTop w:val="0"/>
      <w:marBottom w:val="0"/>
      <w:divBdr>
        <w:top w:val="none" w:sz="0" w:space="0" w:color="auto"/>
        <w:left w:val="none" w:sz="0" w:space="0" w:color="auto"/>
        <w:bottom w:val="none" w:sz="0" w:space="0" w:color="auto"/>
        <w:right w:val="none" w:sz="0" w:space="0" w:color="auto"/>
      </w:divBdr>
    </w:div>
    <w:div w:id="1077047962">
      <w:bodyDiv w:val="1"/>
      <w:marLeft w:val="0"/>
      <w:marRight w:val="0"/>
      <w:marTop w:val="0"/>
      <w:marBottom w:val="0"/>
      <w:divBdr>
        <w:top w:val="none" w:sz="0" w:space="0" w:color="auto"/>
        <w:left w:val="none" w:sz="0" w:space="0" w:color="auto"/>
        <w:bottom w:val="none" w:sz="0" w:space="0" w:color="auto"/>
        <w:right w:val="none" w:sz="0" w:space="0" w:color="auto"/>
      </w:divBdr>
    </w:div>
    <w:div w:id="1125538291">
      <w:bodyDiv w:val="1"/>
      <w:marLeft w:val="0"/>
      <w:marRight w:val="0"/>
      <w:marTop w:val="0"/>
      <w:marBottom w:val="0"/>
      <w:divBdr>
        <w:top w:val="none" w:sz="0" w:space="0" w:color="auto"/>
        <w:left w:val="none" w:sz="0" w:space="0" w:color="auto"/>
        <w:bottom w:val="none" w:sz="0" w:space="0" w:color="auto"/>
        <w:right w:val="none" w:sz="0" w:space="0" w:color="auto"/>
      </w:divBdr>
    </w:div>
    <w:div w:id="1145246234">
      <w:bodyDiv w:val="1"/>
      <w:marLeft w:val="0"/>
      <w:marRight w:val="0"/>
      <w:marTop w:val="0"/>
      <w:marBottom w:val="0"/>
      <w:divBdr>
        <w:top w:val="none" w:sz="0" w:space="0" w:color="auto"/>
        <w:left w:val="none" w:sz="0" w:space="0" w:color="auto"/>
        <w:bottom w:val="none" w:sz="0" w:space="0" w:color="auto"/>
        <w:right w:val="none" w:sz="0" w:space="0" w:color="auto"/>
      </w:divBdr>
    </w:div>
    <w:div w:id="1222912159">
      <w:bodyDiv w:val="1"/>
      <w:marLeft w:val="0"/>
      <w:marRight w:val="0"/>
      <w:marTop w:val="0"/>
      <w:marBottom w:val="0"/>
      <w:divBdr>
        <w:top w:val="none" w:sz="0" w:space="0" w:color="auto"/>
        <w:left w:val="none" w:sz="0" w:space="0" w:color="auto"/>
        <w:bottom w:val="none" w:sz="0" w:space="0" w:color="auto"/>
        <w:right w:val="none" w:sz="0" w:space="0" w:color="auto"/>
      </w:divBdr>
    </w:div>
    <w:div w:id="1253466398">
      <w:bodyDiv w:val="1"/>
      <w:marLeft w:val="0"/>
      <w:marRight w:val="0"/>
      <w:marTop w:val="0"/>
      <w:marBottom w:val="0"/>
      <w:divBdr>
        <w:top w:val="none" w:sz="0" w:space="0" w:color="auto"/>
        <w:left w:val="none" w:sz="0" w:space="0" w:color="auto"/>
        <w:bottom w:val="none" w:sz="0" w:space="0" w:color="auto"/>
        <w:right w:val="none" w:sz="0" w:space="0" w:color="auto"/>
      </w:divBdr>
    </w:div>
    <w:div w:id="1256784210">
      <w:bodyDiv w:val="1"/>
      <w:marLeft w:val="0"/>
      <w:marRight w:val="0"/>
      <w:marTop w:val="0"/>
      <w:marBottom w:val="0"/>
      <w:divBdr>
        <w:top w:val="none" w:sz="0" w:space="0" w:color="auto"/>
        <w:left w:val="none" w:sz="0" w:space="0" w:color="auto"/>
        <w:bottom w:val="none" w:sz="0" w:space="0" w:color="auto"/>
        <w:right w:val="none" w:sz="0" w:space="0" w:color="auto"/>
      </w:divBdr>
    </w:div>
    <w:div w:id="1320187684">
      <w:bodyDiv w:val="1"/>
      <w:marLeft w:val="0"/>
      <w:marRight w:val="0"/>
      <w:marTop w:val="0"/>
      <w:marBottom w:val="0"/>
      <w:divBdr>
        <w:top w:val="none" w:sz="0" w:space="0" w:color="auto"/>
        <w:left w:val="none" w:sz="0" w:space="0" w:color="auto"/>
        <w:bottom w:val="none" w:sz="0" w:space="0" w:color="auto"/>
        <w:right w:val="none" w:sz="0" w:space="0" w:color="auto"/>
      </w:divBdr>
    </w:div>
    <w:div w:id="1395659164">
      <w:bodyDiv w:val="1"/>
      <w:marLeft w:val="0"/>
      <w:marRight w:val="0"/>
      <w:marTop w:val="0"/>
      <w:marBottom w:val="0"/>
      <w:divBdr>
        <w:top w:val="none" w:sz="0" w:space="0" w:color="auto"/>
        <w:left w:val="none" w:sz="0" w:space="0" w:color="auto"/>
        <w:bottom w:val="none" w:sz="0" w:space="0" w:color="auto"/>
        <w:right w:val="none" w:sz="0" w:space="0" w:color="auto"/>
      </w:divBdr>
      <w:divsChild>
        <w:div w:id="880747761">
          <w:marLeft w:val="0"/>
          <w:marRight w:val="0"/>
          <w:marTop w:val="0"/>
          <w:marBottom w:val="0"/>
          <w:divBdr>
            <w:top w:val="none" w:sz="0" w:space="0" w:color="auto"/>
            <w:left w:val="none" w:sz="0" w:space="0" w:color="auto"/>
            <w:bottom w:val="none" w:sz="0" w:space="0" w:color="auto"/>
            <w:right w:val="none" w:sz="0" w:space="0" w:color="auto"/>
          </w:divBdr>
          <w:divsChild>
            <w:div w:id="1177960821">
              <w:marLeft w:val="0"/>
              <w:marRight w:val="0"/>
              <w:marTop w:val="0"/>
              <w:marBottom w:val="0"/>
              <w:divBdr>
                <w:top w:val="none" w:sz="0" w:space="0" w:color="auto"/>
                <w:left w:val="none" w:sz="0" w:space="0" w:color="auto"/>
                <w:bottom w:val="none" w:sz="0" w:space="0" w:color="auto"/>
                <w:right w:val="none" w:sz="0" w:space="0" w:color="auto"/>
              </w:divBdr>
              <w:divsChild>
                <w:div w:id="2107185335">
                  <w:marLeft w:val="0"/>
                  <w:marRight w:val="0"/>
                  <w:marTop w:val="0"/>
                  <w:marBottom w:val="0"/>
                  <w:divBdr>
                    <w:top w:val="single" w:sz="6" w:space="0" w:color="339933"/>
                    <w:left w:val="none" w:sz="0" w:space="0" w:color="auto"/>
                    <w:bottom w:val="none" w:sz="0" w:space="0" w:color="auto"/>
                    <w:right w:val="none" w:sz="0" w:space="0" w:color="auto"/>
                  </w:divBdr>
                  <w:divsChild>
                    <w:div w:id="854809850">
                      <w:marLeft w:val="0"/>
                      <w:marRight w:val="0"/>
                      <w:marTop w:val="0"/>
                      <w:marBottom w:val="0"/>
                      <w:divBdr>
                        <w:top w:val="none" w:sz="0" w:space="0" w:color="auto"/>
                        <w:left w:val="none" w:sz="0" w:space="0" w:color="auto"/>
                        <w:bottom w:val="none" w:sz="0" w:space="0" w:color="auto"/>
                        <w:right w:val="none" w:sz="0" w:space="0" w:color="auto"/>
                      </w:divBdr>
                      <w:divsChild>
                        <w:div w:id="2138644303">
                          <w:marLeft w:val="0"/>
                          <w:marRight w:val="0"/>
                          <w:marTop w:val="0"/>
                          <w:marBottom w:val="0"/>
                          <w:divBdr>
                            <w:top w:val="none" w:sz="0" w:space="0" w:color="auto"/>
                            <w:left w:val="none" w:sz="0" w:space="0" w:color="auto"/>
                            <w:bottom w:val="none" w:sz="0" w:space="0" w:color="auto"/>
                            <w:right w:val="none" w:sz="0" w:space="0" w:color="auto"/>
                          </w:divBdr>
                          <w:divsChild>
                            <w:div w:id="2257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042208">
      <w:bodyDiv w:val="1"/>
      <w:marLeft w:val="0"/>
      <w:marRight w:val="0"/>
      <w:marTop w:val="0"/>
      <w:marBottom w:val="0"/>
      <w:divBdr>
        <w:top w:val="none" w:sz="0" w:space="0" w:color="auto"/>
        <w:left w:val="none" w:sz="0" w:space="0" w:color="auto"/>
        <w:bottom w:val="none" w:sz="0" w:space="0" w:color="auto"/>
        <w:right w:val="none" w:sz="0" w:space="0" w:color="auto"/>
      </w:divBdr>
    </w:div>
    <w:div w:id="1558780846">
      <w:bodyDiv w:val="1"/>
      <w:marLeft w:val="0"/>
      <w:marRight w:val="0"/>
      <w:marTop w:val="0"/>
      <w:marBottom w:val="0"/>
      <w:divBdr>
        <w:top w:val="none" w:sz="0" w:space="0" w:color="auto"/>
        <w:left w:val="none" w:sz="0" w:space="0" w:color="auto"/>
        <w:bottom w:val="none" w:sz="0" w:space="0" w:color="auto"/>
        <w:right w:val="none" w:sz="0" w:space="0" w:color="auto"/>
      </w:divBdr>
    </w:div>
    <w:div w:id="1564681353">
      <w:bodyDiv w:val="1"/>
      <w:marLeft w:val="0"/>
      <w:marRight w:val="0"/>
      <w:marTop w:val="0"/>
      <w:marBottom w:val="0"/>
      <w:divBdr>
        <w:top w:val="none" w:sz="0" w:space="0" w:color="auto"/>
        <w:left w:val="none" w:sz="0" w:space="0" w:color="auto"/>
        <w:bottom w:val="none" w:sz="0" w:space="0" w:color="auto"/>
        <w:right w:val="none" w:sz="0" w:space="0" w:color="auto"/>
      </w:divBdr>
    </w:div>
    <w:div w:id="1598252359">
      <w:bodyDiv w:val="1"/>
      <w:marLeft w:val="0"/>
      <w:marRight w:val="0"/>
      <w:marTop w:val="0"/>
      <w:marBottom w:val="0"/>
      <w:divBdr>
        <w:top w:val="none" w:sz="0" w:space="0" w:color="auto"/>
        <w:left w:val="none" w:sz="0" w:space="0" w:color="auto"/>
        <w:bottom w:val="none" w:sz="0" w:space="0" w:color="auto"/>
        <w:right w:val="none" w:sz="0" w:space="0" w:color="auto"/>
      </w:divBdr>
    </w:div>
    <w:div w:id="1608736314">
      <w:bodyDiv w:val="1"/>
      <w:marLeft w:val="0"/>
      <w:marRight w:val="0"/>
      <w:marTop w:val="0"/>
      <w:marBottom w:val="0"/>
      <w:divBdr>
        <w:top w:val="none" w:sz="0" w:space="0" w:color="auto"/>
        <w:left w:val="none" w:sz="0" w:space="0" w:color="auto"/>
        <w:bottom w:val="none" w:sz="0" w:space="0" w:color="auto"/>
        <w:right w:val="none" w:sz="0" w:space="0" w:color="auto"/>
      </w:divBdr>
    </w:div>
    <w:div w:id="1639384755">
      <w:bodyDiv w:val="1"/>
      <w:marLeft w:val="0"/>
      <w:marRight w:val="0"/>
      <w:marTop w:val="0"/>
      <w:marBottom w:val="0"/>
      <w:divBdr>
        <w:top w:val="none" w:sz="0" w:space="0" w:color="auto"/>
        <w:left w:val="none" w:sz="0" w:space="0" w:color="auto"/>
        <w:bottom w:val="none" w:sz="0" w:space="0" w:color="auto"/>
        <w:right w:val="none" w:sz="0" w:space="0" w:color="auto"/>
      </w:divBdr>
    </w:div>
    <w:div w:id="1664894760">
      <w:bodyDiv w:val="1"/>
      <w:marLeft w:val="0"/>
      <w:marRight w:val="0"/>
      <w:marTop w:val="0"/>
      <w:marBottom w:val="0"/>
      <w:divBdr>
        <w:top w:val="none" w:sz="0" w:space="0" w:color="auto"/>
        <w:left w:val="none" w:sz="0" w:space="0" w:color="auto"/>
        <w:bottom w:val="none" w:sz="0" w:space="0" w:color="auto"/>
        <w:right w:val="none" w:sz="0" w:space="0" w:color="auto"/>
      </w:divBdr>
    </w:div>
    <w:div w:id="1697854031">
      <w:bodyDiv w:val="1"/>
      <w:marLeft w:val="0"/>
      <w:marRight w:val="0"/>
      <w:marTop w:val="0"/>
      <w:marBottom w:val="0"/>
      <w:divBdr>
        <w:top w:val="none" w:sz="0" w:space="0" w:color="auto"/>
        <w:left w:val="none" w:sz="0" w:space="0" w:color="auto"/>
        <w:bottom w:val="none" w:sz="0" w:space="0" w:color="auto"/>
        <w:right w:val="none" w:sz="0" w:space="0" w:color="auto"/>
      </w:divBdr>
    </w:div>
    <w:div w:id="1706712721">
      <w:bodyDiv w:val="1"/>
      <w:marLeft w:val="0"/>
      <w:marRight w:val="0"/>
      <w:marTop w:val="0"/>
      <w:marBottom w:val="0"/>
      <w:divBdr>
        <w:top w:val="none" w:sz="0" w:space="0" w:color="auto"/>
        <w:left w:val="none" w:sz="0" w:space="0" w:color="auto"/>
        <w:bottom w:val="none" w:sz="0" w:space="0" w:color="auto"/>
        <w:right w:val="none" w:sz="0" w:space="0" w:color="auto"/>
      </w:divBdr>
    </w:div>
    <w:div w:id="1720978066">
      <w:bodyDiv w:val="1"/>
      <w:marLeft w:val="0"/>
      <w:marRight w:val="0"/>
      <w:marTop w:val="0"/>
      <w:marBottom w:val="0"/>
      <w:divBdr>
        <w:top w:val="none" w:sz="0" w:space="0" w:color="auto"/>
        <w:left w:val="none" w:sz="0" w:space="0" w:color="auto"/>
        <w:bottom w:val="none" w:sz="0" w:space="0" w:color="auto"/>
        <w:right w:val="none" w:sz="0" w:space="0" w:color="auto"/>
      </w:divBdr>
    </w:div>
    <w:div w:id="1769158876">
      <w:bodyDiv w:val="1"/>
      <w:marLeft w:val="0"/>
      <w:marRight w:val="0"/>
      <w:marTop w:val="0"/>
      <w:marBottom w:val="0"/>
      <w:divBdr>
        <w:top w:val="none" w:sz="0" w:space="0" w:color="auto"/>
        <w:left w:val="none" w:sz="0" w:space="0" w:color="auto"/>
        <w:bottom w:val="none" w:sz="0" w:space="0" w:color="auto"/>
        <w:right w:val="none" w:sz="0" w:space="0" w:color="auto"/>
      </w:divBdr>
    </w:div>
    <w:div w:id="1776634053">
      <w:bodyDiv w:val="1"/>
      <w:marLeft w:val="0"/>
      <w:marRight w:val="0"/>
      <w:marTop w:val="0"/>
      <w:marBottom w:val="0"/>
      <w:divBdr>
        <w:top w:val="none" w:sz="0" w:space="0" w:color="auto"/>
        <w:left w:val="none" w:sz="0" w:space="0" w:color="auto"/>
        <w:bottom w:val="none" w:sz="0" w:space="0" w:color="auto"/>
        <w:right w:val="none" w:sz="0" w:space="0" w:color="auto"/>
      </w:divBdr>
    </w:div>
    <w:div w:id="1933392256">
      <w:bodyDiv w:val="1"/>
      <w:marLeft w:val="0"/>
      <w:marRight w:val="0"/>
      <w:marTop w:val="0"/>
      <w:marBottom w:val="0"/>
      <w:divBdr>
        <w:top w:val="none" w:sz="0" w:space="0" w:color="auto"/>
        <w:left w:val="none" w:sz="0" w:space="0" w:color="auto"/>
        <w:bottom w:val="none" w:sz="0" w:space="0" w:color="auto"/>
        <w:right w:val="none" w:sz="0" w:space="0" w:color="auto"/>
      </w:divBdr>
    </w:div>
    <w:div w:id="1954634350">
      <w:bodyDiv w:val="1"/>
      <w:marLeft w:val="0"/>
      <w:marRight w:val="0"/>
      <w:marTop w:val="0"/>
      <w:marBottom w:val="0"/>
      <w:divBdr>
        <w:top w:val="none" w:sz="0" w:space="0" w:color="auto"/>
        <w:left w:val="none" w:sz="0" w:space="0" w:color="auto"/>
        <w:bottom w:val="none" w:sz="0" w:space="0" w:color="auto"/>
        <w:right w:val="none" w:sz="0" w:space="0" w:color="auto"/>
      </w:divBdr>
    </w:div>
    <w:div w:id="2017265114">
      <w:bodyDiv w:val="1"/>
      <w:marLeft w:val="0"/>
      <w:marRight w:val="0"/>
      <w:marTop w:val="0"/>
      <w:marBottom w:val="0"/>
      <w:divBdr>
        <w:top w:val="none" w:sz="0" w:space="0" w:color="auto"/>
        <w:left w:val="none" w:sz="0" w:space="0" w:color="auto"/>
        <w:bottom w:val="none" w:sz="0" w:space="0" w:color="auto"/>
        <w:right w:val="none" w:sz="0" w:space="0" w:color="auto"/>
      </w:divBdr>
    </w:div>
    <w:div w:id="2018803480">
      <w:bodyDiv w:val="1"/>
      <w:marLeft w:val="0"/>
      <w:marRight w:val="0"/>
      <w:marTop w:val="0"/>
      <w:marBottom w:val="0"/>
      <w:divBdr>
        <w:top w:val="none" w:sz="0" w:space="0" w:color="auto"/>
        <w:left w:val="none" w:sz="0" w:space="0" w:color="auto"/>
        <w:bottom w:val="none" w:sz="0" w:space="0" w:color="auto"/>
        <w:right w:val="none" w:sz="0" w:space="0" w:color="auto"/>
      </w:divBdr>
    </w:div>
    <w:div w:id="2040544192">
      <w:bodyDiv w:val="1"/>
      <w:marLeft w:val="0"/>
      <w:marRight w:val="0"/>
      <w:marTop w:val="0"/>
      <w:marBottom w:val="0"/>
      <w:divBdr>
        <w:top w:val="none" w:sz="0" w:space="0" w:color="auto"/>
        <w:left w:val="none" w:sz="0" w:space="0" w:color="auto"/>
        <w:bottom w:val="none" w:sz="0" w:space="0" w:color="auto"/>
        <w:right w:val="none" w:sz="0" w:space="0" w:color="auto"/>
      </w:divBdr>
    </w:div>
    <w:div w:id="2056586727">
      <w:bodyDiv w:val="1"/>
      <w:marLeft w:val="0"/>
      <w:marRight w:val="0"/>
      <w:marTop w:val="0"/>
      <w:marBottom w:val="0"/>
      <w:divBdr>
        <w:top w:val="none" w:sz="0" w:space="0" w:color="auto"/>
        <w:left w:val="none" w:sz="0" w:space="0" w:color="auto"/>
        <w:bottom w:val="none" w:sz="0" w:space="0" w:color="auto"/>
        <w:right w:val="none" w:sz="0" w:space="0" w:color="auto"/>
      </w:divBdr>
    </w:div>
    <w:div w:id="2061397486">
      <w:bodyDiv w:val="1"/>
      <w:marLeft w:val="0"/>
      <w:marRight w:val="0"/>
      <w:marTop w:val="0"/>
      <w:marBottom w:val="0"/>
      <w:divBdr>
        <w:top w:val="none" w:sz="0" w:space="0" w:color="auto"/>
        <w:left w:val="none" w:sz="0" w:space="0" w:color="auto"/>
        <w:bottom w:val="none" w:sz="0" w:space="0" w:color="auto"/>
        <w:right w:val="none" w:sz="0" w:space="0" w:color="auto"/>
      </w:divBdr>
    </w:div>
    <w:div w:id="2102291214">
      <w:bodyDiv w:val="1"/>
      <w:marLeft w:val="0"/>
      <w:marRight w:val="0"/>
      <w:marTop w:val="0"/>
      <w:marBottom w:val="0"/>
      <w:divBdr>
        <w:top w:val="none" w:sz="0" w:space="0" w:color="auto"/>
        <w:left w:val="none" w:sz="0" w:space="0" w:color="auto"/>
        <w:bottom w:val="none" w:sz="0" w:space="0" w:color="auto"/>
        <w:right w:val="none" w:sz="0" w:space="0" w:color="auto"/>
      </w:divBdr>
    </w:div>
    <w:div w:id="2109502180">
      <w:bodyDiv w:val="1"/>
      <w:marLeft w:val="0"/>
      <w:marRight w:val="0"/>
      <w:marTop w:val="0"/>
      <w:marBottom w:val="0"/>
      <w:divBdr>
        <w:top w:val="none" w:sz="0" w:space="0" w:color="auto"/>
        <w:left w:val="none" w:sz="0" w:space="0" w:color="auto"/>
        <w:bottom w:val="none" w:sz="0" w:space="0" w:color="auto"/>
        <w:right w:val="none" w:sz="0" w:space="0" w:color="auto"/>
      </w:divBdr>
      <w:divsChild>
        <w:div w:id="1323972799">
          <w:marLeft w:val="0"/>
          <w:marRight w:val="0"/>
          <w:marTop w:val="0"/>
          <w:marBottom w:val="0"/>
          <w:divBdr>
            <w:top w:val="none" w:sz="0" w:space="0" w:color="auto"/>
            <w:left w:val="none" w:sz="0" w:space="0" w:color="auto"/>
            <w:bottom w:val="none" w:sz="0" w:space="0" w:color="auto"/>
            <w:right w:val="none" w:sz="0" w:space="0" w:color="auto"/>
          </w:divBdr>
          <w:divsChild>
            <w:div w:id="535238753">
              <w:marLeft w:val="0"/>
              <w:marRight w:val="0"/>
              <w:marTop w:val="0"/>
              <w:marBottom w:val="0"/>
              <w:divBdr>
                <w:top w:val="none" w:sz="0" w:space="0" w:color="auto"/>
                <w:left w:val="none" w:sz="0" w:space="0" w:color="auto"/>
                <w:bottom w:val="none" w:sz="0" w:space="0" w:color="auto"/>
                <w:right w:val="none" w:sz="0" w:space="0" w:color="auto"/>
              </w:divBdr>
              <w:divsChild>
                <w:div w:id="153642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violenceprevention/childabuseandneglect/acestudy/index.html" TargetMode="External"/><Relationship Id="rId13" Type="http://schemas.openxmlformats.org/officeDocument/2006/relationships/hyperlink" Target="mailto:CJA.StateViolencePrevention@Illinois.gov" TargetMode="External"/><Relationship Id="rId18" Type="http://schemas.openxmlformats.org/officeDocument/2006/relationships/hyperlink" Target="https://www.gsa.gov/travel/plan-book/per-diem-rate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CJA.StateViolencePrevention@Illinois.gov" TargetMode="External"/><Relationship Id="rId17" Type="http://schemas.openxmlformats.org/officeDocument/2006/relationships/hyperlink" Target="https://www2.illinois.gov/cms/Employees/travel/Pages/TravelReimbursement.aspx"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ojp.gov/financialguide/doj/pdfs/DOJ_FinancialGuide.pdf" TargetMode="External"/><Relationship Id="rId20" Type="http://schemas.openxmlformats.org/officeDocument/2006/relationships/hyperlink" Target="mailto:CJA.StateViolencePrevention@Illinoi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JA.StateViolencePrevention@Illinois.gov"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gata.icjia.cloud/"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grants.illinois.gov/portal" TargetMode="External"/><Relationship Id="rId19" Type="http://schemas.openxmlformats.org/officeDocument/2006/relationships/hyperlink" Target="mailto:Cja.aro@Illinois.gov" TargetMode="External"/><Relationship Id="rId4" Type="http://schemas.openxmlformats.org/officeDocument/2006/relationships/settings" Target="settings.xml"/><Relationship Id="rId9" Type="http://schemas.openxmlformats.org/officeDocument/2006/relationships/hyperlink" Target="http://lookthroughtheireyes.org/videos-2/" TargetMode="External"/><Relationship Id="rId14" Type="http://schemas.openxmlformats.org/officeDocument/2006/relationships/hyperlink" Target="mailto:%20CJA.StateViolencePrevention@Illinois.gov"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37813-0039-472E-8708-B98597C0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21</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Adult Redeploy Illinois (ARI)</Company>
  <LinksUpToDate>false</LinksUpToDate>
  <CharactersWithSpaces>47626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ARI Planning Implementation NOFO SFY17</cp:keywords>
  <dc:description/>
  <cp:lastModifiedBy>Shai Hoffman</cp:lastModifiedBy>
  <cp:revision>4</cp:revision>
  <cp:lastPrinted>2019-04-11T17:06:00Z</cp:lastPrinted>
  <dcterms:created xsi:type="dcterms:W3CDTF">2019-04-10T21:49:00Z</dcterms:created>
  <dcterms:modified xsi:type="dcterms:W3CDTF">2019-04-11T17:06:00Z</dcterms:modified>
</cp:coreProperties>
</file>