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5262A3" w14:textId="112F5EE9" w:rsidR="00491B4B" w:rsidRDefault="00491B4B" w:rsidP="00491B4B">
      <w:pPr>
        <w:ind w:left="0"/>
        <w:jc w:val="center"/>
      </w:pPr>
      <w:r w:rsidRPr="00491B4B">
        <w:rPr>
          <w:b/>
        </w:rPr>
        <w:t>CHECKLIST</w:t>
      </w:r>
    </w:p>
    <w:p w14:paraId="079EC51D" w14:textId="77777777" w:rsidR="00491B4B" w:rsidRDefault="00491B4B" w:rsidP="00491B4B">
      <w:pPr>
        <w:ind w:left="0"/>
      </w:pPr>
    </w:p>
    <w:p w14:paraId="70FC8EFF" w14:textId="77777777" w:rsidR="00491B4B" w:rsidRDefault="00491B4B" w:rsidP="00491B4B">
      <w:pPr>
        <w:ind w:left="0"/>
      </w:pPr>
      <w:r>
        <w:t xml:space="preserve">Prior to application due date: </w:t>
      </w:r>
    </w:p>
    <w:p w14:paraId="2406C5F3" w14:textId="77777777" w:rsidR="00491B4B" w:rsidRDefault="00491B4B" w:rsidP="00491B4B">
      <w:pPr>
        <w:ind w:left="0"/>
      </w:pPr>
    </w:p>
    <w:p w14:paraId="32E4B1C0" w14:textId="77777777" w:rsidR="00491B4B" w:rsidRPr="00F73EE1" w:rsidRDefault="00491B4B" w:rsidP="009E04DE">
      <w:pPr>
        <w:pStyle w:val="ListParagraph"/>
        <w:numPr>
          <w:ilvl w:val="0"/>
          <w:numId w:val="14"/>
        </w:numPr>
      </w:pPr>
      <w:r w:rsidRPr="00F73EE1">
        <w:t>Obtain a Data Universal Numbering System (DUNS) number.</w:t>
      </w:r>
    </w:p>
    <w:p w14:paraId="0A83EE9E" w14:textId="77777777" w:rsidR="00491B4B" w:rsidRPr="00F73EE1" w:rsidRDefault="00491B4B" w:rsidP="009E04DE">
      <w:pPr>
        <w:pStyle w:val="ListParagraph"/>
        <w:numPr>
          <w:ilvl w:val="0"/>
          <w:numId w:val="14"/>
        </w:numPr>
      </w:pPr>
      <w:r w:rsidRPr="00F73EE1">
        <w:t>Register with the System for Award Management (SAM).</w:t>
      </w:r>
    </w:p>
    <w:p w14:paraId="0265CB0A" w14:textId="77777777" w:rsidR="00491B4B" w:rsidRPr="00F73EE1" w:rsidRDefault="00491B4B" w:rsidP="009E04DE">
      <w:pPr>
        <w:pStyle w:val="ListParagraph"/>
        <w:numPr>
          <w:ilvl w:val="0"/>
          <w:numId w:val="14"/>
        </w:numPr>
      </w:pPr>
      <w:r w:rsidRPr="00F73EE1">
        <w:t>Apply for, update or verify the Employer Identification Number (EIN).</w:t>
      </w:r>
    </w:p>
    <w:p w14:paraId="162AF57C" w14:textId="77777777" w:rsidR="00491B4B" w:rsidRPr="00F73EE1" w:rsidRDefault="00491B4B" w:rsidP="009E04DE">
      <w:pPr>
        <w:pStyle w:val="ListParagraph"/>
        <w:numPr>
          <w:ilvl w:val="0"/>
          <w:numId w:val="14"/>
        </w:numPr>
      </w:pPr>
      <w:r w:rsidRPr="00F73EE1">
        <w:t>Create a Grants.gov account with username and password.</w:t>
      </w:r>
    </w:p>
    <w:p w14:paraId="09184808" w14:textId="781EBB25" w:rsidR="00491B4B" w:rsidRDefault="00491B4B" w:rsidP="009E04DE">
      <w:pPr>
        <w:pStyle w:val="ListParagraph"/>
        <w:numPr>
          <w:ilvl w:val="0"/>
          <w:numId w:val="14"/>
        </w:numPr>
      </w:pPr>
      <w:r w:rsidRPr="00F73EE1">
        <w:t xml:space="preserve">Complete registration in the </w:t>
      </w:r>
      <w:r w:rsidR="00B051C3">
        <w:t xml:space="preserve">Grantee </w:t>
      </w:r>
      <w:r>
        <w:t>GATA Portal</w:t>
      </w:r>
      <w:r w:rsidR="00E46BF4">
        <w:t>.</w:t>
      </w:r>
    </w:p>
    <w:p w14:paraId="039004F2" w14:textId="77777777" w:rsidR="00491B4B" w:rsidRDefault="00491B4B" w:rsidP="00491B4B">
      <w:pPr>
        <w:ind w:left="0"/>
      </w:pPr>
    </w:p>
    <w:p w14:paraId="471A6791" w14:textId="77777777" w:rsidR="00491B4B" w:rsidRDefault="00491B4B" w:rsidP="00491B4B">
      <w:pPr>
        <w:ind w:left="0"/>
      </w:pPr>
      <w:r w:rsidRPr="00F73EE1">
        <w:t xml:space="preserve">Submission Checklist: </w:t>
      </w:r>
    </w:p>
    <w:p w14:paraId="5B041398" w14:textId="77777777" w:rsidR="00491B4B" w:rsidRPr="00F73EE1" w:rsidRDefault="00491B4B" w:rsidP="00491B4B">
      <w:pPr>
        <w:ind w:left="0"/>
      </w:pPr>
    </w:p>
    <w:p w14:paraId="467099F7" w14:textId="77777777" w:rsidR="00491B4B" w:rsidRDefault="00491B4B" w:rsidP="009E04DE">
      <w:pPr>
        <w:pStyle w:val="ListParagraph"/>
        <w:numPr>
          <w:ilvl w:val="0"/>
          <w:numId w:val="15"/>
        </w:numPr>
      </w:pPr>
      <w:r w:rsidRPr="00406075">
        <w:t xml:space="preserve">Uniform Application for State Grant Assistance – </w:t>
      </w:r>
      <w:r>
        <w:t>Submitted in PDF (</w:t>
      </w:r>
      <w:r w:rsidRPr="00406075">
        <w:t>signed, and scanned</w:t>
      </w:r>
      <w:r>
        <w:t xml:space="preserve">) AND </w:t>
      </w:r>
      <w:r w:rsidRPr="00406075">
        <w:t xml:space="preserve">Word file </w:t>
      </w:r>
    </w:p>
    <w:p w14:paraId="7A904F84" w14:textId="54EC4432" w:rsidR="00491B4B" w:rsidRPr="00406075" w:rsidRDefault="00491B4B" w:rsidP="009E04DE">
      <w:pPr>
        <w:pStyle w:val="ListParagraph"/>
        <w:numPr>
          <w:ilvl w:val="0"/>
          <w:numId w:val="15"/>
        </w:numPr>
      </w:pPr>
      <w:r w:rsidRPr="00406075">
        <w:t>Program Narrative –Do not chan</w:t>
      </w:r>
      <w:r w:rsidR="008304AB">
        <w:t>ge the format of this document.</w:t>
      </w:r>
      <w:r>
        <w:t xml:space="preserve"> Submitted in Word File</w:t>
      </w:r>
      <w:r w:rsidRPr="00406075">
        <w:tab/>
      </w:r>
    </w:p>
    <w:p w14:paraId="0A7A7D36" w14:textId="77777777" w:rsidR="00491B4B" w:rsidRDefault="00491B4B" w:rsidP="009E04DE">
      <w:pPr>
        <w:pStyle w:val="ListParagraph"/>
        <w:numPr>
          <w:ilvl w:val="0"/>
          <w:numId w:val="15"/>
        </w:numPr>
      </w:pPr>
      <w:r w:rsidRPr="00406075">
        <w:t>Budget/Budget Narrative –</w:t>
      </w:r>
      <w:r>
        <w:t xml:space="preserve">Excel format (no signatures required for this document at this time) </w:t>
      </w:r>
    </w:p>
    <w:p w14:paraId="75CD5083" w14:textId="48DC5F30" w:rsidR="00491B4B" w:rsidRDefault="00491B4B" w:rsidP="009E04DE">
      <w:pPr>
        <w:pStyle w:val="ListParagraph"/>
        <w:numPr>
          <w:ilvl w:val="0"/>
          <w:numId w:val="15"/>
        </w:numPr>
      </w:pPr>
      <w:r w:rsidRPr="00406075">
        <w:t>United States Internal Revenue Service 501(c)(3) determination letter</w:t>
      </w:r>
      <w:r>
        <w:t xml:space="preserve"> - PDF (</w:t>
      </w:r>
      <w:r w:rsidRPr="00645543">
        <w:t>Non-Profit Agency Required</w:t>
      </w:r>
      <w:r w:rsidR="00E46BF4">
        <w:t>)</w:t>
      </w:r>
      <w:r w:rsidRPr="00406075">
        <w:tab/>
      </w:r>
      <w:r w:rsidRPr="00406075">
        <w:tab/>
      </w:r>
    </w:p>
    <w:p w14:paraId="6096B876" w14:textId="77777777" w:rsidR="00491B4B" w:rsidRDefault="00491B4B" w:rsidP="00491B4B">
      <w:pPr>
        <w:autoSpaceDE w:val="0"/>
        <w:autoSpaceDN w:val="0"/>
        <w:adjustRightInd w:val="0"/>
        <w:ind w:left="0"/>
      </w:pPr>
    </w:p>
    <w:p w14:paraId="3FB208DC" w14:textId="7D67658B" w:rsidR="00A519BE" w:rsidRDefault="00A519BE">
      <w:pPr>
        <w:rPr>
          <w:b/>
        </w:rPr>
      </w:pPr>
      <w:r>
        <w:rPr>
          <w:b/>
        </w:rPr>
        <w:br w:type="page"/>
      </w:r>
    </w:p>
    <w:p w14:paraId="60EE385C" w14:textId="14DFA6B6" w:rsidR="00F808E9" w:rsidRPr="00017495" w:rsidRDefault="006D2857">
      <w:pPr>
        <w:jc w:val="center"/>
      </w:pPr>
      <w:r w:rsidRPr="00017495">
        <w:rPr>
          <w:b/>
        </w:rPr>
        <w:lastRenderedPageBreak/>
        <w:t>Uniform Notice for Funding Opportunity (NOFO)</w:t>
      </w:r>
    </w:p>
    <w:p w14:paraId="2DF4FB6A" w14:textId="782256DF" w:rsidR="00F808E9" w:rsidRPr="00017495" w:rsidRDefault="00D17923">
      <w:pPr>
        <w:jc w:val="center"/>
      </w:pPr>
      <w:r>
        <w:t xml:space="preserve">Violence Prevention and </w:t>
      </w:r>
      <w:r w:rsidR="00924F46">
        <w:t>Street Intervention</w:t>
      </w:r>
      <w:r>
        <w:t xml:space="preserve"> Program</w:t>
      </w:r>
      <w:r w:rsidR="009C58D0">
        <w:t>s</w:t>
      </w:r>
      <w:r>
        <w:t xml:space="preserve"> (VP-SIP)</w:t>
      </w:r>
    </w:p>
    <w:p w14:paraId="6B381F42" w14:textId="524DBCDC" w:rsidR="00F808E9" w:rsidRPr="00017495" w:rsidRDefault="008304AB" w:rsidP="008304AB">
      <w:pPr>
        <w:tabs>
          <w:tab w:val="left" w:pos="3045"/>
        </w:tabs>
      </w:pPr>
      <w:r>
        <w:tab/>
      </w:r>
    </w:p>
    <w:tbl>
      <w:tblPr>
        <w:tblStyle w:val="4"/>
        <w:tblW w:w="957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F808E9" w:rsidRPr="00017495" w14:paraId="756B55E0" w14:textId="77777777">
        <w:tc>
          <w:tcPr>
            <w:tcW w:w="429" w:type="dxa"/>
            <w:shd w:val="clear" w:color="auto" w:fill="D9D9D9"/>
          </w:tcPr>
          <w:p w14:paraId="63141C50" w14:textId="77777777" w:rsidR="00F808E9" w:rsidRPr="00017495" w:rsidRDefault="00F808E9">
            <w:pPr>
              <w:jc w:val="center"/>
            </w:pPr>
          </w:p>
        </w:tc>
        <w:tc>
          <w:tcPr>
            <w:tcW w:w="3459" w:type="dxa"/>
            <w:shd w:val="clear" w:color="auto" w:fill="D9D9D9"/>
          </w:tcPr>
          <w:p w14:paraId="158F144A" w14:textId="77777777" w:rsidR="00F808E9" w:rsidRPr="00017495" w:rsidRDefault="006D2857">
            <w:pPr>
              <w:jc w:val="center"/>
            </w:pPr>
            <w:r w:rsidRPr="00017495">
              <w:rPr>
                <w:b/>
              </w:rPr>
              <w:t>Data Field</w:t>
            </w:r>
          </w:p>
        </w:tc>
        <w:tc>
          <w:tcPr>
            <w:tcW w:w="5685" w:type="dxa"/>
            <w:shd w:val="clear" w:color="auto" w:fill="D9D9D9"/>
          </w:tcPr>
          <w:p w14:paraId="2D0A0B96" w14:textId="77777777" w:rsidR="00F808E9" w:rsidRPr="00017495" w:rsidRDefault="00F808E9">
            <w:pPr>
              <w:jc w:val="center"/>
            </w:pPr>
          </w:p>
        </w:tc>
      </w:tr>
      <w:tr w:rsidR="005B787A" w:rsidRPr="00017495" w14:paraId="19F724A4" w14:textId="77777777">
        <w:tc>
          <w:tcPr>
            <w:tcW w:w="429" w:type="dxa"/>
          </w:tcPr>
          <w:p w14:paraId="31CA7128"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E63CBE5" w14:textId="77777777" w:rsidR="005B787A" w:rsidRPr="00017495" w:rsidRDefault="005B787A" w:rsidP="00055B55">
            <w:pPr>
              <w:ind w:left="0"/>
              <w:rPr>
                <w:color w:val="auto"/>
              </w:rPr>
            </w:pPr>
            <w:r w:rsidRPr="00017495">
              <w:rPr>
                <w:color w:val="auto"/>
              </w:rPr>
              <w:t>Awarding Agency Name:</w:t>
            </w:r>
            <w:r w:rsidRPr="00017495">
              <w:rPr>
                <w:color w:val="auto"/>
              </w:rPr>
              <w:tab/>
            </w:r>
          </w:p>
        </w:tc>
        <w:tc>
          <w:tcPr>
            <w:tcW w:w="5685" w:type="dxa"/>
          </w:tcPr>
          <w:p w14:paraId="1591EB28" w14:textId="25D66B3C" w:rsidR="005B787A" w:rsidRPr="00017495" w:rsidRDefault="005B787A" w:rsidP="00EB7FCC">
            <w:pPr>
              <w:ind w:left="0"/>
            </w:pPr>
            <w:r w:rsidRPr="00017495">
              <w:t>Illinois Criminal Justice Information Authority</w:t>
            </w:r>
            <w:r w:rsidR="00AA32CA">
              <w:t xml:space="preserve"> (ICJIA)</w:t>
            </w:r>
          </w:p>
        </w:tc>
      </w:tr>
      <w:tr w:rsidR="005B787A" w:rsidRPr="00017495" w14:paraId="15F08B8A" w14:textId="77777777">
        <w:tc>
          <w:tcPr>
            <w:tcW w:w="429" w:type="dxa"/>
          </w:tcPr>
          <w:p w14:paraId="3945698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6EDC0CC" w14:textId="77777777" w:rsidR="005B787A" w:rsidRPr="00017495" w:rsidRDefault="005B787A" w:rsidP="00055B55">
            <w:pPr>
              <w:ind w:left="0"/>
              <w:rPr>
                <w:color w:val="auto"/>
              </w:rPr>
            </w:pPr>
            <w:r w:rsidRPr="00017495">
              <w:rPr>
                <w:color w:val="auto"/>
              </w:rPr>
              <w:t>Agency Contact:</w:t>
            </w:r>
          </w:p>
        </w:tc>
        <w:tc>
          <w:tcPr>
            <w:tcW w:w="5685" w:type="dxa"/>
          </w:tcPr>
          <w:p w14:paraId="5A0A35C3" w14:textId="671555CF" w:rsidR="005B787A" w:rsidRPr="00017495" w:rsidRDefault="007C2E41" w:rsidP="00EB7FCC">
            <w:pPr>
              <w:ind w:left="0"/>
            </w:pPr>
            <w:r>
              <w:t>Shai Hoffman</w:t>
            </w:r>
          </w:p>
          <w:p w14:paraId="54BD6A02" w14:textId="2C8734AE" w:rsidR="00C179F5" w:rsidRPr="00017495" w:rsidRDefault="007C2E41" w:rsidP="00EB7FCC">
            <w:pPr>
              <w:ind w:left="0"/>
            </w:pPr>
            <w:r>
              <w:t>Violence Prevention Grants Manager</w:t>
            </w:r>
          </w:p>
          <w:p w14:paraId="0198A559" w14:textId="7C6ED41B" w:rsidR="005B787A" w:rsidRPr="00017495" w:rsidRDefault="005B787A" w:rsidP="00EB7FCC">
            <w:pPr>
              <w:ind w:left="0"/>
            </w:pPr>
            <w:r w:rsidRPr="00017495">
              <w:t>Illinois</w:t>
            </w:r>
            <w:r w:rsidR="00B67D27" w:rsidRPr="00017495">
              <w:t xml:space="preserve"> </w:t>
            </w:r>
            <w:r w:rsidRPr="00017495">
              <w:t>Criminal Justice Information Authority</w:t>
            </w:r>
          </w:p>
          <w:p w14:paraId="580BF9E8" w14:textId="77777777" w:rsidR="005B787A" w:rsidRPr="00017495" w:rsidRDefault="005B787A" w:rsidP="00EB7FCC">
            <w:pPr>
              <w:ind w:left="0"/>
            </w:pPr>
            <w:r w:rsidRPr="00017495">
              <w:t>300 West Adams, Suite 200</w:t>
            </w:r>
          </w:p>
          <w:p w14:paraId="5E7F2A6C" w14:textId="5CB24D93" w:rsidR="005B787A" w:rsidRPr="00017495" w:rsidRDefault="00EF3955" w:rsidP="00EB7FCC">
            <w:pPr>
              <w:ind w:left="0"/>
            </w:pPr>
            <w:r>
              <w:t xml:space="preserve">Chicago, </w:t>
            </w:r>
            <w:r w:rsidR="00214C5C">
              <w:t>Illinois</w:t>
            </w:r>
            <w:r w:rsidR="00214C5C" w:rsidRPr="00017495">
              <w:t xml:space="preserve"> </w:t>
            </w:r>
            <w:r w:rsidR="00214C5C">
              <w:t>60606</w:t>
            </w:r>
          </w:p>
          <w:p w14:paraId="4F8B612D" w14:textId="5E3FA5AB" w:rsidR="00D5008F" w:rsidRDefault="002B470A" w:rsidP="00EB7FCC">
            <w:pPr>
              <w:ind w:left="0"/>
              <w:rPr>
                <w:color w:val="auto"/>
              </w:rPr>
            </w:pPr>
            <w:hyperlink r:id="rId8" w:history="1">
              <w:r w:rsidR="004E21FA" w:rsidRPr="00174D08">
                <w:rPr>
                  <w:rStyle w:val="Hyperlink"/>
                </w:rPr>
                <w:t>Shai.Hoffman@Illinois.gov</w:t>
              </w:r>
            </w:hyperlink>
          </w:p>
          <w:p w14:paraId="311BE36D" w14:textId="22311D16" w:rsidR="005B787A" w:rsidRPr="00017495" w:rsidRDefault="007C2E41" w:rsidP="00EB7FCC">
            <w:pPr>
              <w:ind w:left="0"/>
            </w:pPr>
            <w:r>
              <w:t>312.814.0706</w:t>
            </w:r>
          </w:p>
        </w:tc>
      </w:tr>
      <w:tr w:rsidR="005B787A" w:rsidRPr="00017495" w14:paraId="701B5726" w14:textId="77777777">
        <w:tc>
          <w:tcPr>
            <w:tcW w:w="429" w:type="dxa"/>
          </w:tcPr>
          <w:p w14:paraId="4825F6CA"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73796C0F" w14:textId="77777777" w:rsidR="005B787A" w:rsidRPr="00017495" w:rsidRDefault="005B787A" w:rsidP="00055B55">
            <w:pPr>
              <w:ind w:left="0"/>
              <w:rPr>
                <w:color w:val="auto"/>
              </w:rPr>
            </w:pPr>
            <w:r w:rsidRPr="00017495">
              <w:rPr>
                <w:color w:val="auto"/>
              </w:rPr>
              <w:t>Announcement Type:</w:t>
            </w:r>
          </w:p>
        </w:tc>
        <w:tc>
          <w:tcPr>
            <w:tcW w:w="5685" w:type="dxa"/>
          </w:tcPr>
          <w:p w14:paraId="143382FF" w14:textId="72DCA61D" w:rsidR="005B787A" w:rsidRPr="002D62E4" w:rsidRDefault="00953FBD" w:rsidP="00953FBD">
            <w:pPr>
              <w:ind w:left="31"/>
              <w:rPr>
                <w:color w:val="auto"/>
              </w:rPr>
            </w:pPr>
            <w:r w:rsidRPr="002D62E4">
              <w:rPr>
                <w:rFonts w:ascii="Wingdings" w:hAnsi="Wingdings"/>
                <w:color w:val="auto"/>
                <w:highlight w:val="lightGray"/>
              </w:rPr>
              <w:sym w:font="Wingdings" w:char="F0FE"/>
            </w:r>
            <w:r w:rsidR="00611BE9" w:rsidRPr="002D62E4">
              <w:rPr>
                <w:color w:val="auto"/>
              </w:rPr>
              <w:t xml:space="preserve"> I</w:t>
            </w:r>
            <w:r w:rsidR="005B787A" w:rsidRPr="002D62E4">
              <w:rPr>
                <w:color w:val="auto"/>
              </w:rPr>
              <w:t xml:space="preserve">nitial announcement   </w:t>
            </w:r>
          </w:p>
          <w:p w14:paraId="17353ABE" w14:textId="743E5196" w:rsidR="005B787A" w:rsidRPr="002D62E4" w:rsidRDefault="00611BE9" w:rsidP="00953FBD">
            <w:pPr>
              <w:ind w:left="31"/>
              <w:rPr>
                <w:color w:val="auto"/>
              </w:rPr>
            </w:pPr>
            <w:r w:rsidRPr="002D62E4">
              <w:rPr>
                <w:color w:val="auto"/>
              </w:rPr>
              <w:sym w:font="Wingdings" w:char="F0A8"/>
            </w:r>
            <w:r w:rsidR="005B787A" w:rsidRPr="002D62E4">
              <w:rPr>
                <w:color w:val="auto"/>
              </w:rPr>
              <w:t xml:space="preserve"> Modification of a previous announcement</w:t>
            </w:r>
          </w:p>
        </w:tc>
      </w:tr>
      <w:tr w:rsidR="005B787A" w:rsidRPr="00017495" w14:paraId="1FB3077E" w14:textId="77777777" w:rsidTr="006D496F">
        <w:tc>
          <w:tcPr>
            <w:tcW w:w="429" w:type="dxa"/>
          </w:tcPr>
          <w:p w14:paraId="63EB3B9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25B357A" w14:textId="77777777" w:rsidR="005B787A" w:rsidRPr="00017495" w:rsidRDefault="005B787A" w:rsidP="00055B55">
            <w:pPr>
              <w:ind w:left="0"/>
              <w:rPr>
                <w:color w:val="auto"/>
              </w:rPr>
            </w:pPr>
            <w:r w:rsidRPr="00017495">
              <w:rPr>
                <w:color w:val="auto"/>
              </w:rPr>
              <w:t>Type of Assistance Instrument:</w:t>
            </w:r>
          </w:p>
        </w:tc>
        <w:tc>
          <w:tcPr>
            <w:tcW w:w="5685" w:type="dxa"/>
            <w:tcBorders>
              <w:bottom w:val="single" w:sz="4" w:space="0" w:color="000000"/>
            </w:tcBorders>
          </w:tcPr>
          <w:p w14:paraId="101F66AF" w14:textId="77777777" w:rsidR="005B787A" w:rsidRPr="002D62E4" w:rsidRDefault="005B787A" w:rsidP="00EB7FCC">
            <w:pPr>
              <w:ind w:left="0"/>
              <w:rPr>
                <w:color w:val="auto"/>
              </w:rPr>
            </w:pPr>
            <w:r w:rsidRPr="002D62E4">
              <w:rPr>
                <w:color w:val="auto"/>
              </w:rPr>
              <w:t>Grant</w:t>
            </w:r>
          </w:p>
        </w:tc>
      </w:tr>
      <w:tr w:rsidR="005B787A" w:rsidRPr="00017495" w14:paraId="70E126B6" w14:textId="77777777" w:rsidTr="006D496F">
        <w:tc>
          <w:tcPr>
            <w:tcW w:w="429" w:type="dxa"/>
          </w:tcPr>
          <w:p w14:paraId="32331DED"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6E0FECEE" w14:textId="77777777" w:rsidR="005B787A" w:rsidRPr="00017495" w:rsidRDefault="005B787A" w:rsidP="00055B55">
            <w:pPr>
              <w:ind w:left="0"/>
              <w:rPr>
                <w:color w:val="auto"/>
              </w:rPr>
            </w:pPr>
            <w:r w:rsidRPr="00017495">
              <w:rPr>
                <w:color w:val="auto"/>
              </w:rPr>
              <w:t xml:space="preserve">Funding Opportunity Number: </w:t>
            </w:r>
            <w:r w:rsidRPr="00017495">
              <w:rPr>
                <w:color w:val="auto"/>
              </w:rPr>
              <w:tab/>
            </w:r>
          </w:p>
        </w:tc>
        <w:tc>
          <w:tcPr>
            <w:tcW w:w="5685" w:type="dxa"/>
            <w:shd w:val="clear" w:color="auto" w:fill="auto"/>
          </w:tcPr>
          <w:p w14:paraId="74014C83" w14:textId="4BA0BD94" w:rsidR="005B787A" w:rsidRPr="002D62E4" w:rsidRDefault="00D17923" w:rsidP="00EF3955">
            <w:pPr>
              <w:ind w:left="0"/>
              <w:rPr>
                <w:color w:val="auto"/>
              </w:rPr>
            </w:pPr>
            <w:r w:rsidRPr="002D62E4">
              <w:rPr>
                <w:color w:val="auto"/>
              </w:rPr>
              <w:t>2179-1183</w:t>
            </w:r>
          </w:p>
        </w:tc>
      </w:tr>
      <w:tr w:rsidR="005B787A" w:rsidRPr="00017495" w14:paraId="07040AE0" w14:textId="77777777">
        <w:tc>
          <w:tcPr>
            <w:tcW w:w="429" w:type="dxa"/>
          </w:tcPr>
          <w:p w14:paraId="08970E5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260D69E2" w14:textId="77777777" w:rsidR="005B787A" w:rsidRPr="00017495" w:rsidRDefault="005B787A" w:rsidP="00055B55">
            <w:pPr>
              <w:ind w:left="0"/>
              <w:rPr>
                <w:color w:val="auto"/>
              </w:rPr>
            </w:pPr>
            <w:r w:rsidRPr="00017495">
              <w:rPr>
                <w:color w:val="auto"/>
              </w:rPr>
              <w:t>Funding Opportunity Title:</w:t>
            </w:r>
          </w:p>
        </w:tc>
        <w:tc>
          <w:tcPr>
            <w:tcW w:w="5685" w:type="dxa"/>
          </w:tcPr>
          <w:p w14:paraId="6BA3D3DF" w14:textId="3AB973FF" w:rsidR="005B787A" w:rsidRPr="002D62E4" w:rsidRDefault="00E556F1" w:rsidP="00EB7FCC">
            <w:pPr>
              <w:ind w:left="0"/>
              <w:rPr>
                <w:color w:val="auto"/>
              </w:rPr>
            </w:pPr>
            <w:r w:rsidRPr="002D62E4">
              <w:rPr>
                <w:color w:val="auto"/>
              </w:rPr>
              <w:t>Violence Prevention and Street Intervention</w:t>
            </w:r>
            <w:r w:rsidR="009C58D0" w:rsidRPr="002D62E4">
              <w:rPr>
                <w:color w:val="auto"/>
              </w:rPr>
              <w:t xml:space="preserve"> Programs</w:t>
            </w:r>
          </w:p>
        </w:tc>
      </w:tr>
      <w:tr w:rsidR="005B787A" w:rsidRPr="00017495" w14:paraId="02152CA5" w14:textId="77777777">
        <w:tc>
          <w:tcPr>
            <w:tcW w:w="429" w:type="dxa"/>
          </w:tcPr>
          <w:p w14:paraId="4121E667" w14:textId="77777777" w:rsidR="005B787A" w:rsidRPr="00017495" w:rsidRDefault="005B787A" w:rsidP="00C433C4">
            <w:pPr>
              <w:numPr>
                <w:ilvl w:val="0"/>
                <w:numId w:val="1"/>
              </w:numPr>
              <w:spacing w:after="200" w:line="276" w:lineRule="auto"/>
              <w:ind w:hanging="360"/>
              <w:contextualSpacing/>
              <w:rPr>
                <w:color w:val="363636"/>
              </w:rPr>
            </w:pPr>
          </w:p>
        </w:tc>
        <w:tc>
          <w:tcPr>
            <w:tcW w:w="3459" w:type="dxa"/>
          </w:tcPr>
          <w:p w14:paraId="4C90CBA5" w14:textId="77777777" w:rsidR="005B787A" w:rsidRPr="00017495" w:rsidRDefault="005B787A" w:rsidP="00055B55">
            <w:pPr>
              <w:ind w:left="0"/>
              <w:rPr>
                <w:color w:val="auto"/>
              </w:rPr>
            </w:pPr>
            <w:r w:rsidRPr="00017495">
              <w:rPr>
                <w:color w:val="auto"/>
              </w:rPr>
              <w:t>CSFA Number:</w:t>
            </w:r>
          </w:p>
        </w:tc>
        <w:tc>
          <w:tcPr>
            <w:tcW w:w="5685" w:type="dxa"/>
          </w:tcPr>
          <w:p w14:paraId="2A6159AC" w14:textId="77777777" w:rsidR="00E556F1" w:rsidRPr="002D62E4" w:rsidRDefault="00E556F1" w:rsidP="00E556F1">
            <w:pPr>
              <w:ind w:left="0"/>
              <w:rPr>
                <w:color w:val="auto"/>
              </w:rPr>
            </w:pPr>
            <w:r w:rsidRPr="002D62E4">
              <w:rPr>
                <w:color w:val="auto"/>
              </w:rPr>
              <w:t>546-00-2179</w:t>
            </w:r>
          </w:p>
          <w:p w14:paraId="69E144B1" w14:textId="686CA0CA" w:rsidR="005B787A" w:rsidRPr="002D62E4" w:rsidRDefault="005B787A" w:rsidP="00EF3955">
            <w:pPr>
              <w:ind w:left="0"/>
              <w:rPr>
                <w:color w:val="auto"/>
              </w:rPr>
            </w:pPr>
          </w:p>
        </w:tc>
      </w:tr>
      <w:tr w:rsidR="005B787A" w:rsidRPr="00017495" w14:paraId="4A945064" w14:textId="77777777" w:rsidTr="00EB7FCC">
        <w:tc>
          <w:tcPr>
            <w:tcW w:w="429" w:type="dxa"/>
          </w:tcPr>
          <w:p w14:paraId="015E7077"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1F0D3364" w14:textId="77777777" w:rsidR="005B787A" w:rsidRPr="00017495" w:rsidRDefault="005B787A" w:rsidP="00055B55">
            <w:pPr>
              <w:ind w:left="0"/>
              <w:rPr>
                <w:color w:val="auto"/>
              </w:rPr>
            </w:pPr>
            <w:r w:rsidRPr="00017495">
              <w:rPr>
                <w:color w:val="auto"/>
              </w:rPr>
              <w:t>CSFA Popular Name:</w:t>
            </w:r>
          </w:p>
        </w:tc>
        <w:tc>
          <w:tcPr>
            <w:tcW w:w="5685" w:type="dxa"/>
            <w:tcBorders>
              <w:bottom w:val="single" w:sz="4" w:space="0" w:color="000000"/>
            </w:tcBorders>
          </w:tcPr>
          <w:p w14:paraId="4009948A" w14:textId="505958F0" w:rsidR="005B787A" w:rsidRPr="002D62E4" w:rsidRDefault="009C58D0" w:rsidP="00EF3955">
            <w:pPr>
              <w:ind w:left="0"/>
              <w:rPr>
                <w:color w:val="auto"/>
              </w:rPr>
            </w:pPr>
            <w:r w:rsidRPr="002D62E4">
              <w:rPr>
                <w:color w:val="auto"/>
              </w:rPr>
              <w:t>VP-SIP</w:t>
            </w:r>
          </w:p>
        </w:tc>
      </w:tr>
      <w:tr w:rsidR="005B787A" w:rsidRPr="00017495" w14:paraId="08A926C2" w14:textId="77777777" w:rsidTr="00EF3955">
        <w:trPr>
          <w:trHeight w:val="377"/>
        </w:trPr>
        <w:tc>
          <w:tcPr>
            <w:tcW w:w="429" w:type="dxa"/>
          </w:tcPr>
          <w:p w14:paraId="36DCF980"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65C6FED" w14:textId="77777777" w:rsidR="005B787A" w:rsidRPr="00017495" w:rsidRDefault="005B787A" w:rsidP="00055B55">
            <w:pPr>
              <w:ind w:left="0"/>
              <w:rPr>
                <w:color w:val="auto"/>
              </w:rPr>
            </w:pPr>
            <w:r w:rsidRPr="00017495">
              <w:rPr>
                <w:color w:val="auto"/>
              </w:rPr>
              <w:t>CFDA Number(s):</w:t>
            </w:r>
          </w:p>
        </w:tc>
        <w:tc>
          <w:tcPr>
            <w:tcW w:w="5685" w:type="dxa"/>
            <w:tcBorders>
              <w:bottom w:val="single" w:sz="4" w:space="0" w:color="000000"/>
            </w:tcBorders>
            <w:shd w:val="clear" w:color="auto" w:fill="auto"/>
          </w:tcPr>
          <w:p w14:paraId="333EBB6E" w14:textId="7E1C8D50" w:rsidR="005B787A" w:rsidRPr="002D62E4" w:rsidRDefault="00204C36" w:rsidP="00EB7FCC">
            <w:pPr>
              <w:ind w:left="0"/>
              <w:rPr>
                <w:color w:val="auto"/>
              </w:rPr>
            </w:pPr>
            <w:r w:rsidRPr="002D62E4">
              <w:rPr>
                <w:color w:val="auto"/>
              </w:rPr>
              <w:t>N</w:t>
            </w:r>
            <w:r w:rsidR="009C58D0" w:rsidRPr="002D62E4">
              <w:rPr>
                <w:color w:val="auto"/>
              </w:rPr>
              <w:t>/</w:t>
            </w:r>
            <w:r w:rsidRPr="002D62E4">
              <w:rPr>
                <w:color w:val="auto"/>
              </w:rPr>
              <w:t>A</w:t>
            </w:r>
          </w:p>
        </w:tc>
      </w:tr>
      <w:tr w:rsidR="005B787A" w:rsidRPr="00017495" w14:paraId="23629A19" w14:textId="77777777" w:rsidTr="006D496F">
        <w:tc>
          <w:tcPr>
            <w:tcW w:w="429" w:type="dxa"/>
          </w:tcPr>
          <w:p w14:paraId="5C409201"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42E0CAD" w14:textId="77777777" w:rsidR="005B787A" w:rsidRPr="00017495" w:rsidRDefault="005B787A" w:rsidP="00055B55">
            <w:pPr>
              <w:ind w:left="0"/>
              <w:rPr>
                <w:color w:val="auto"/>
              </w:rPr>
            </w:pPr>
            <w:r w:rsidRPr="00017495">
              <w:rPr>
                <w:color w:val="auto"/>
              </w:rPr>
              <w:t>Anticipated Number of Awards:</w:t>
            </w:r>
          </w:p>
        </w:tc>
        <w:tc>
          <w:tcPr>
            <w:tcW w:w="5685" w:type="dxa"/>
            <w:shd w:val="clear" w:color="auto" w:fill="auto"/>
          </w:tcPr>
          <w:p w14:paraId="65A91A4B" w14:textId="2AB758FB" w:rsidR="00EF3955" w:rsidRPr="002D62E4" w:rsidRDefault="005C5201" w:rsidP="00EF3955">
            <w:pPr>
              <w:ind w:left="0"/>
              <w:rPr>
                <w:color w:val="auto"/>
              </w:rPr>
            </w:pPr>
            <w:r w:rsidRPr="002D62E4">
              <w:rPr>
                <w:color w:val="auto"/>
              </w:rPr>
              <w:t>1</w:t>
            </w:r>
          </w:p>
        </w:tc>
      </w:tr>
      <w:tr w:rsidR="005B787A" w:rsidRPr="00017495" w14:paraId="474D0C6C" w14:textId="77777777">
        <w:tc>
          <w:tcPr>
            <w:tcW w:w="429" w:type="dxa"/>
          </w:tcPr>
          <w:p w14:paraId="18BE654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B415254" w14:textId="77777777" w:rsidR="005B787A" w:rsidRPr="002B470A" w:rsidRDefault="005B787A" w:rsidP="00055B55">
            <w:pPr>
              <w:ind w:left="0"/>
              <w:rPr>
                <w:color w:val="auto"/>
              </w:rPr>
            </w:pPr>
            <w:r w:rsidRPr="002B470A">
              <w:rPr>
                <w:color w:val="auto"/>
              </w:rPr>
              <w:t>Estimated Total Program Funding:</w:t>
            </w:r>
          </w:p>
        </w:tc>
        <w:tc>
          <w:tcPr>
            <w:tcW w:w="5685" w:type="dxa"/>
          </w:tcPr>
          <w:p w14:paraId="7400370E" w14:textId="24C02345" w:rsidR="005B787A" w:rsidRPr="002D62E4" w:rsidRDefault="0003616C" w:rsidP="00EB7FCC">
            <w:pPr>
              <w:ind w:left="0"/>
              <w:rPr>
                <w:color w:val="auto"/>
              </w:rPr>
            </w:pPr>
            <w:r w:rsidRPr="002D62E4">
              <w:rPr>
                <w:color w:val="auto"/>
              </w:rPr>
              <w:t xml:space="preserve">Up to </w:t>
            </w:r>
            <w:r w:rsidR="00016BDE" w:rsidRPr="002D62E4">
              <w:rPr>
                <w:color w:val="auto"/>
              </w:rPr>
              <w:t>$2,250,000</w:t>
            </w:r>
          </w:p>
        </w:tc>
      </w:tr>
      <w:tr w:rsidR="005B787A" w:rsidRPr="00017495" w14:paraId="46C726DB" w14:textId="77777777">
        <w:tc>
          <w:tcPr>
            <w:tcW w:w="429" w:type="dxa"/>
          </w:tcPr>
          <w:p w14:paraId="71E25A48" w14:textId="77777777" w:rsidR="005B787A" w:rsidRPr="00017495" w:rsidRDefault="005B787A" w:rsidP="00C433C4">
            <w:pPr>
              <w:numPr>
                <w:ilvl w:val="0"/>
                <w:numId w:val="1"/>
              </w:numPr>
              <w:spacing w:after="200" w:line="276" w:lineRule="auto"/>
              <w:ind w:hanging="360"/>
              <w:contextualSpacing/>
            </w:pPr>
          </w:p>
        </w:tc>
        <w:tc>
          <w:tcPr>
            <w:tcW w:w="3459" w:type="dxa"/>
          </w:tcPr>
          <w:p w14:paraId="13AE6E33" w14:textId="77777777" w:rsidR="005B787A" w:rsidRPr="00017495" w:rsidRDefault="005B787A" w:rsidP="00055B55">
            <w:pPr>
              <w:ind w:left="0"/>
              <w:rPr>
                <w:color w:val="auto"/>
              </w:rPr>
            </w:pPr>
            <w:r w:rsidRPr="00017495">
              <w:rPr>
                <w:color w:val="auto"/>
              </w:rPr>
              <w:t>Award Range</w:t>
            </w:r>
          </w:p>
        </w:tc>
        <w:tc>
          <w:tcPr>
            <w:tcW w:w="5685" w:type="dxa"/>
          </w:tcPr>
          <w:p w14:paraId="4651AF84" w14:textId="50C4FB5C" w:rsidR="00EF3955" w:rsidRPr="002D62E4" w:rsidRDefault="008A362E" w:rsidP="00EB7FCC">
            <w:pPr>
              <w:ind w:left="0"/>
              <w:rPr>
                <w:color w:val="auto"/>
              </w:rPr>
            </w:pPr>
            <w:r w:rsidRPr="002D62E4">
              <w:rPr>
                <w:color w:val="auto"/>
              </w:rPr>
              <w:t>Not applicable</w:t>
            </w:r>
          </w:p>
        </w:tc>
      </w:tr>
      <w:tr w:rsidR="005B787A" w:rsidRPr="00017495" w14:paraId="6EF4ED40" w14:textId="77777777">
        <w:tc>
          <w:tcPr>
            <w:tcW w:w="429" w:type="dxa"/>
          </w:tcPr>
          <w:p w14:paraId="612A7979" w14:textId="77777777" w:rsidR="005B787A" w:rsidRPr="00017495" w:rsidRDefault="005B787A" w:rsidP="00C433C4">
            <w:pPr>
              <w:numPr>
                <w:ilvl w:val="0"/>
                <w:numId w:val="1"/>
              </w:numPr>
              <w:spacing w:after="200" w:line="276" w:lineRule="auto"/>
              <w:ind w:hanging="360"/>
              <w:contextualSpacing/>
            </w:pPr>
          </w:p>
        </w:tc>
        <w:tc>
          <w:tcPr>
            <w:tcW w:w="3459" w:type="dxa"/>
          </w:tcPr>
          <w:p w14:paraId="3582EF99" w14:textId="77777777" w:rsidR="005B787A" w:rsidRPr="00017495" w:rsidRDefault="005B787A" w:rsidP="00055B55">
            <w:pPr>
              <w:ind w:left="0"/>
              <w:rPr>
                <w:color w:val="auto"/>
              </w:rPr>
            </w:pPr>
            <w:r w:rsidRPr="00017495">
              <w:rPr>
                <w:color w:val="auto"/>
              </w:rPr>
              <w:t>Source of Funding:</w:t>
            </w:r>
          </w:p>
        </w:tc>
        <w:tc>
          <w:tcPr>
            <w:tcW w:w="5685" w:type="dxa"/>
          </w:tcPr>
          <w:p w14:paraId="7143A665" w14:textId="36A96041" w:rsidR="00953FBD" w:rsidRPr="002D62E4" w:rsidRDefault="00FE0D13" w:rsidP="00953FBD">
            <w:pPr>
              <w:ind w:left="18" w:firstLine="12"/>
              <w:rPr>
                <w:color w:val="auto"/>
              </w:rPr>
            </w:pPr>
            <w:r w:rsidRPr="002D62E4">
              <w:rPr>
                <w:color w:val="auto"/>
              </w:rPr>
              <w:sym w:font="Wingdings" w:char="F0A8"/>
            </w:r>
            <w:r w:rsidR="00744761" w:rsidRPr="002D62E4">
              <w:rPr>
                <w:color w:val="auto"/>
              </w:rPr>
              <w:t xml:space="preserve"> </w:t>
            </w:r>
            <w:r w:rsidR="005B787A" w:rsidRPr="002D62E4">
              <w:rPr>
                <w:color w:val="auto"/>
              </w:rPr>
              <w:t>Federal or Federal pass-through</w:t>
            </w:r>
          </w:p>
          <w:p w14:paraId="35DE1EF3" w14:textId="20ABE912" w:rsidR="00EF3955" w:rsidRPr="002D62E4" w:rsidRDefault="00953FBD" w:rsidP="00953FBD">
            <w:pPr>
              <w:ind w:left="18" w:firstLine="12"/>
              <w:rPr>
                <w:color w:val="auto"/>
              </w:rPr>
            </w:pPr>
            <w:r w:rsidRPr="002D62E4">
              <w:rPr>
                <w:rFonts w:ascii="Wingdings" w:hAnsi="Wingdings"/>
                <w:color w:val="auto"/>
                <w:highlight w:val="lightGray"/>
              </w:rPr>
              <w:sym w:font="Wingdings" w:char="F0FE"/>
            </w:r>
            <w:r w:rsidR="00B84CBB" w:rsidRPr="002D62E4">
              <w:rPr>
                <w:color w:val="auto"/>
              </w:rPr>
              <w:t xml:space="preserve"> S</w:t>
            </w:r>
            <w:r w:rsidR="00EF3955" w:rsidRPr="002D62E4">
              <w:rPr>
                <w:color w:val="auto"/>
              </w:rPr>
              <w:t>tate</w:t>
            </w:r>
          </w:p>
          <w:p w14:paraId="013A4C6B" w14:textId="3D8D3019" w:rsidR="005B787A" w:rsidRPr="002D62E4" w:rsidRDefault="00FE0D13" w:rsidP="00EB7FCC">
            <w:pPr>
              <w:ind w:left="54" w:hanging="18"/>
              <w:rPr>
                <w:color w:val="auto"/>
              </w:rPr>
            </w:pPr>
            <w:r w:rsidRPr="002D62E4">
              <w:rPr>
                <w:color w:val="auto"/>
              </w:rPr>
              <w:sym w:font="Wingdings" w:char="F0A8"/>
            </w:r>
            <w:r w:rsidR="00744761" w:rsidRPr="002D62E4">
              <w:rPr>
                <w:color w:val="auto"/>
              </w:rPr>
              <w:t xml:space="preserve"> </w:t>
            </w:r>
            <w:r w:rsidR="005B787A" w:rsidRPr="002D62E4">
              <w:rPr>
                <w:color w:val="auto"/>
              </w:rPr>
              <w:t xml:space="preserve">Private / other funding </w:t>
            </w:r>
          </w:p>
          <w:p w14:paraId="34926336" w14:textId="4076890C" w:rsidR="005B787A" w:rsidRPr="002D62E4" w:rsidRDefault="005B787A" w:rsidP="00EB7FCC">
            <w:pPr>
              <w:ind w:left="72" w:hanging="18"/>
              <w:rPr>
                <w:color w:val="auto"/>
              </w:rPr>
            </w:pPr>
          </w:p>
        </w:tc>
      </w:tr>
      <w:tr w:rsidR="005B787A" w:rsidRPr="00017495" w14:paraId="1A884CE8" w14:textId="77777777">
        <w:tc>
          <w:tcPr>
            <w:tcW w:w="429" w:type="dxa"/>
          </w:tcPr>
          <w:p w14:paraId="453EA567"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0F5C26EE" w14:textId="77777777" w:rsidR="005B787A" w:rsidRPr="00017495" w:rsidRDefault="005B787A" w:rsidP="00055B55">
            <w:pPr>
              <w:ind w:left="0"/>
              <w:rPr>
                <w:color w:val="auto"/>
              </w:rPr>
            </w:pPr>
            <w:r w:rsidRPr="00017495">
              <w:rPr>
                <w:color w:val="auto"/>
              </w:rPr>
              <w:t>Cost Sharing or Matching Requirement:</w:t>
            </w:r>
          </w:p>
        </w:tc>
        <w:tc>
          <w:tcPr>
            <w:tcW w:w="5685" w:type="dxa"/>
          </w:tcPr>
          <w:p w14:paraId="5119FBEE" w14:textId="7D356FE4" w:rsidR="005B787A" w:rsidRPr="002D62E4" w:rsidRDefault="00FE0D13" w:rsidP="00FE0D13">
            <w:pPr>
              <w:ind w:left="0"/>
              <w:rPr>
                <w:color w:val="auto"/>
              </w:rPr>
            </w:pPr>
            <w:r w:rsidRPr="002D62E4">
              <w:rPr>
                <w:rFonts w:ascii="Wingdings" w:hAnsi="Wingdings"/>
                <w:color w:val="auto"/>
                <w:highlight w:val="lightGray"/>
              </w:rPr>
              <w:sym w:font="Wingdings" w:char="F0FE"/>
            </w:r>
            <w:r w:rsidR="005B787A" w:rsidRPr="002D62E4">
              <w:rPr>
                <w:color w:val="auto"/>
              </w:rPr>
              <w:t xml:space="preserve"> No   </w:t>
            </w:r>
          </w:p>
          <w:p w14:paraId="5D4E2903" w14:textId="0D126265" w:rsidR="00744761" w:rsidRPr="002D62E4" w:rsidRDefault="00611BE9" w:rsidP="00EB7FCC">
            <w:pPr>
              <w:ind w:left="0"/>
              <w:rPr>
                <w:color w:val="auto"/>
              </w:rPr>
            </w:pPr>
            <w:r w:rsidRPr="002D62E4">
              <w:rPr>
                <w:color w:val="auto"/>
              </w:rPr>
              <w:sym w:font="Wingdings" w:char="F0A8"/>
            </w:r>
            <w:r w:rsidRPr="002D62E4">
              <w:rPr>
                <w:color w:val="auto"/>
              </w:rPr>
              <w:t xml:space="preserve"> Yes</w:t>
            </w:r>
          </w:p>
        </w:tc>
      </w:tr>
      <w:tr w:rsidR="005B787A" w:rsidRPr="00017495" w14:paraId="719357AB" w14:textId="77777777">
        <w:tc>
          <w:tcPr>
            <w:tcW w:w="429" w:type="dxa"/>
          </w:tcPr>
          <w:p w14:paraId="79FB1A92" w14:textId="77777777" w:rsidR="005B787A" w:rsidRPr="00017495" w:rsidRDefault="005B787A" w:rsidP="00C433C4">
            <w:pPr>
              <w:numPr>
                <w:ilvl w:val="0"/>
                <w:numId w:val="1"/>
              </w:numPr>
              <w:spacing w:after="200" w:line="276" w:lineRule="auto"/>
              <w:ind w:hanging="360"/>
              <w:contextualSpacing/>
            </w:pPr>
          </w:p>
        </w:tc>
        <w:tc>
          <w:tcPr>
            <w:tcW w:w="3459" w:type="dxa"/>
          </w:tcPr>
          <w:p w14:paraId="31375F62" w14:textId="77777777" w:rsidR="005B787A" w:rsidRPr="00017495" w:rsidRDefault="005B787A" w:rsidP="00055B55">
            <w:pPr>
              <w:ind w:left="0"/>
              <w:rPr>
                <w:color w:val="auto"/>
              </w:rPr>
            </w:pPr>
            <w:r w:rsidRPr="00017495">
              <w:rPr>
                <w:color w:val="auto"/>
              </w:rPr>
              <w:t>Indirect Costs Allowed</w:t>
            </w:r>
          </w:p>
          <w:p w14:paraId="3452EE52" w14:textId="77777777" w:rsidR="005B787A" w:rsidRPr="00017495" w:rsidRDefault="005B787A" w:rsidP="005B787A">
            <w:pPr>
              <w:rPr>
                <w:color w:val="auto"/>
              </w:rPr>
            </w:pPr>
          </w:p>
          <w:p w14:paraId="72390030" w14:textId="77777777" w:rsidR="00B84CBB" w:rsidRDefault="00B84CBB" w:rsidP="00055B55">
            <w:pPr>
              <w:ind w:left="0"/>
              <w:rPr>
                <w:color w:val="auto"/>
              </w:rPr>
            </w:pPr>
          </w:p>
          <w:p w14:paraId="0DF5768E" w14:textId="55A0FCDB" w:rsidR="005B787A" w:rsidRPr="00017495" w:rsidRDefault="00B84CBB" w:rsidP="00B84CBB">
            <w:pPr>
              <w:ind w:left="0"/>
              <w:rPr>
                <w:color w:val="auto"/>
              </w:rPr>
            </w:pPr>
            <w:r>
              <w:rPr>
                <w:color w:val="auto"/>
              </w:rPr>
              <w:t>Restrictions on Indirect Costs</w:t>
            </w:r>
          </w:p>
        </w:tc>
        <w:tc>
          <w:tcPr>
            <w:tcW w:w="5685" w:type="dxa"/>
          </w:tcPr>
          <w:p w14:paraId="12B385B0" w14:textId="77777777" w:rsidR="00B84CBB" w:rsidRPr="002D62E4" w:rsidRDefault="00FE0D13" w:rsidP="00FE0D13">
            <w:pPr>
              <w:ind w:left="0"/>
              <w:rPr>
                <w:color w:val="auto"/>
              </w:rPr>
            </w:pPr>
            <w:r w:rsidRPr="002D62E4">
              <w:rPr>
                <w:rFonts w:ascii="Wingdings" w:hAnsi="Wingdings"/>
                <w:color w:val="auto"/>
                <w:highlight w:val="lightGray"/>
              </w:rPr>
              <w:sym w:font="Wingdings" w:char="F0FE"/>
            </w:r>
            <w:r w:rsidR="00B84CBB" w:rsidRPr="002D62E4">
              <w:rPr>
                <w:color w:val="auto"/>
              </w:rPr>
              <w:t xml:space="preserve"> Y</w:t>
            </w:r>
            <w:r w:rsidR="005B787A" w:rsidRPr="002D62E4">
              <w:rPr>
                <w:color w:val="auto"/>
              </w:rPr>
              <w:t>es</w:t>
            </w:r>
          </w:p>
          <w:p w14:paraId="1CD1D05F" w14:textId="02C3392B" w:rsidR="005B787A" w:rsidRPr="002D62E4" w:rsidRDefault="00B84CBB" w:rsidP="00FE0D13">
            <w:pPr>
              <w:ind w:left="0"/>
              <w:rPr>
                <w:color w:val="auto"/>
              </w:rPr>
            </w:pPr>
            <w:r w:rsidRPr="002D62E4">
              <w:rPr>
                <w:color w:val="auto"/>
              </w:rPr>
              <w:sym w:font="Wingdings" w:char="F0A8"/>
            </w:r>
            <w:r w:rsidRPr="002D62E4">
              <w:rPr>
                <w:color w:val="auto"/>
              </w:rPr>
              <w:t xml:space="preserve"> No</w:t>
            </w:r>
          </w:p>
          <w:p w14:paraId="501BF070" w14:textId="77777777" w:rsidR="00B84CBB" w:rsidRPr="002D62E4" w:rsidRDefault="00B84CBB" w:rsidP="00FE0D13">
            <w:pPr>
              <w:ind w:left="0"/>
              <w:rPr>
                <w:color w:val="auto"/>
              </w:rPr>
            </w:pPr>
          </w:p>
          <w:p w14:paraId="1674D59B" w14:textId="5BA7D179" w:rsidR="00B84CBB" w:rsidRPr="002D62E4" w:rsidRDefault="00B84CBB" w:rsidP="00FE0D13">
            <w:pPr>
              <w:ind w:left="0"/>
              <w:rPr>
                <w:color w:val="auto"/>
              </w:rPr>
            </w:pPr>
            <w:r w:rsidRPr="002D62E4">
              <w:rPr>
                <w:color w:val="auto"/>
              </w:rPr>
              <w:sym w:font="Wingdings" w:char="F0A8"/>
            </w:r>
            <w:r w:rsidRPr="002D62E4">
              <w:rPr>
                <w:color w:val="auto"/>
              </w:rPr>
              <w:t xml:space="preserve"> Yes</w:t>
            </w:r>
          </w:p>
          <w:p w14:paraId="3F1A5DF5" w14:textId="44CCA7B3" w:rsidR="005B787A" w:rsidRPr="002D62E4" w:rsidRDefault="00FE0D13" w:rsidP="00B84CBB">
            <w:pPr>
              <w:ind w:left="0"/>
              <w:rPr>
                <w:color w:val="auto"/>
              </w:rPr>
            </w:pPr>
            <w:r w:rsidRPr="002D62E4">
              <w:rPr>
                <w:rFonts w:ascii="Wingdings" w:hAnsi="Wingdings"/>
                <w:color w:val="auto"/>
                <w:highlight w:val="lightGray"/>
              </w:rPr>
              <w:sym w:font="Wingdings" w:char="F0FE"/>
            </w:r>
            <w:r w:rsidR="005B787A" w:rsidRPr="002D62E4">
              <w:rPr>
                <w:color w:val="auto"/>
              </w:rPr>
              <w:t xml:space="preserve"> No   </w:t>
            </w:r>
            <w:r w:rsidR="00D27608" w:rsidRPr="002D62E4">
              <w:rPr>
                <w:color w:val="auto"/>
              </w:rPr>
              <w:t xml:space="preserve"> </w:t>
            </w:r>
          </w:p>
        </w:tc>
      </w:tr>
      <w:tr w:rsidR="005B787A" w:rsidRPr="00017495" w14:paraId="1EB6ED26" w14:textId="77777777">
        <w:tc>
          <w:tcPr>
            <w:tcW w:w="429" w:type="dxa"/>
          </w:tcPr>
          <w:p w14:paraId="3C97345B"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0FC05D01" w14:textId="77777777" w:rsidR="005B787A" w:rsidRPr="00017495" w:rsidRDefault="005B787A" w:rsidP="00055B55">
            <w:pPr>
              <w:ind w:left="0"/>
              <w:rPr>
                <w:color w:val="auto"/>
              </w:rPr>
            </w:pPr>
            <w:r w:rsidRPr="00017495">
              <w:rPr>
                <w:color w:val="auto"/>
              </w:rPr>
              <w:t xml:space="preserve">Posted Date: </w:t>
            </w:r>
            <w:r w:rsidRPr="00017495">
              <w:rPr>
                <w:color w:val="auto"/>
              </w:rPr>
              <w:tab/>
            </w:r>
          </w:p>
        </w:tc>
        <w:tc>
          <w:tcPr>
            <w:tcW w:w="5685" w:type="dxa"/>
          </w:tcPr>
          <w:p w14:paraId="61BCAFF3" w14:textId="159F7EE6" w:rsidR="005B787A" w:rsidRPr="002D62E4" w:rsidRDefault="002B470A" w:rsidP="006D496F">
            <w:pPr>
              <w:ind w:left="0"/>
              <w:rPr>
                <w:color w:val="auto"/>
                <w:highlight w:val="yellow"/>
              </w:rPr>
            </w:pPr>
            <w:r w:rsidRPr="002D62E4">
              <w:rPr>
                <w:color w:val="auto"/>
              </w:rPr>
              <w:t>July 8, 2019</w:t>
            </w:r>
          </w:p>
        </w:tc>
      </w:tr>
      <w:tr w:rsidR="00A0400E" w:rsidRPr="00017495" w14:paraId="64477ED6" w14:textId="77777777">
        <w:tc>
          <w:tcPr>
            <w:tcW w:w="429" w:type="dxa"/>
          </w:tcPr>
          <w:p w14:paraId="4B1D36E3" w14:textId="77777777" w:rsidR="00A0400E" w:rsidRPr="00017495" w:rsidRDefault="00A0400E" w:rsidP="00C433C4">
            <w:pPr>
              <w:numPr>
                <w:ilvl w:val="0"/>
                <w:numId w:val="1"/>
              </w:numPr>
              <w:spacing w:after="200" w:line="276" w:lineRule="auto"/>
              <w:ind w:hanging="360"/>
              <w:contextualSpacing/>
              <w:rPr>
                <w:color w:val="333333"/>
              </w:rPr>
            </w:pPr>
          </w:p>
        </w:tc>
        <w:tc>
          <w:tcPr>
            <w:tcW w:w="3459" w:type="dxa"/>
          </w:tcPr>
          <w:p w14:paraId="3ACF7034" w14:textId="214D1F31" w:rsidR="00A0400E" w:rsidRPr="00017495" w:rsidRDefault="00A0400E" w:rsidP="00055B55">
            <w:pPr>
              <w:ind w:left="0"/>
              <w:rPr>
                <w:color w:val="auto"/>
              </w:rPr>
            </w:pPr>
            <w:r>
              <w:rPr>
                <w:color w:val="auto"/>
              </w:rPr>
              <w:t>Application Range:</w:t>
            </w:r>
          </w:p>
        </w:tc>
        <w:tc>
          <w:tcPr>
            <w:tcW w:w="5685" w:type="dxa"/>
          </w:tcPr>
          <w:p w14:paraId="431052DB" w14:textId="3A3E7E2A" w:rsidR="00A0400E" w:rsidRPr="002D62E4" w:rsidRDefault="002B470A" w:rsidP="006D496F">
            <w:pPr>
              <w:ind w:left="0"/>
              <w:rPr>
                <w:color w:val="auto"/>
              </w:rPr>
            </w:pPr>
            <w:r w:rsidRPr="002D62E4">
              <w:rPr>
                <w:color w:val="auto"/>
              </w:rPr>
              <w:t>July 22, 2019 – August 6, 2019</w:t>
            </w:r>
          </w:p>
        </w:tc>
      </w:tr>
      <w:tr w:rsidR="00A0400E" w:rsidRPr="00017495" w14:paraId="32D11888" w14:textId="77777777">
        <w:tc>
          <w:tcPr>
            <w:tcW w:w="429" w:type="dxa"/>
          </w:tcPr>
          <w:p w14:paraId="0C6FFA46" w14:textId="77777777" w:rsidR="00A0400E" w:rsidRPr="00017495" w:rsidRDefault="00A0400E" w:rsidP="00A0400E">
            <w:pPr>
              <w:numPr>
                <w:ilvl w:val="0"/>
                <w:numId w:val="1"/>
              </w:numPr>
              <w:spacing w:after="200" w:line="276" w:lineRule="auto"/>
              <w:ind w:hanging="360"/>
              <w:contextualSpacing/>
              <w:rPr>
                <w:color w:val="333333"/>
              </w:rPr>
            </w:pPr>
          </w:p>
        </w:tc>
        <w:tc>
          <w:tcPr>
            <w:tcW w:w="3459" w:type="dxa"/>
          </w:tcPr>
          <w:p w14:paraId="3EE11796" w14:textId="77777777" w:rsidR="00A0400E" w:rsidRPr="00017495" w:rsidRDefault="00A0400E" w:rsidP="00A0400E">
            <w:pPr>
              <w:ind w:left="0"/>
              <w:rPr>
                <w:color w:val="auto"/>
              </w:rPr>
            </w:pPr>
            <w:r w:rsidRPr="00017495">
              <w:rPr>
                <w:color w:val="auto"/>
              </w:rPr>
              <w:t>Technical Assistance Session:</w:t>
            </w:r>
          </w:p>
        </w:tc>
        <w:tc>
          <w:tcPr>
            <w:tcW w:w="5685" w:type="dxa"/>
          </w:tcPr>
          <w:p w14:paraId="7B317136" w14:textId="2EC9FD59" w:rsidR="00A0400E" w:rsidRPr="002D62E4" w:rsidRDefault="00A0400E" w:rsidP="002D62E4">
            <w:pPr>
              <w:ind w:left="0"/>
              <w:rPr>
                <w:color w:val="auto"/>
              </w:rPr>
            </w:pPr>
            <w:r w:rsidRPr="002D62E4">
              <w:rPr>
                <w:color w:val="auto"/>
              </w:rPr>
              <w:t xml:space="preserve">Session Offered:   </w:t>
            </w:r>
            <w:r w:rsidR="002D62E4" w:rsidRPr="002D62E4">
              <w:rPr>
                <w:rFonts w:ascii="Wingdings" w:hAnsi="Wingdings"/>
                <w:color w:val="auto"/>
                <w:highlight w:val="lightGray"/>
              </w:rPr>
              <w:sym w:font="Wingdings" w:char="F0FE"/>
            </w:r>
            <w:r w:rsidR="002D62E4" w:rsidRPr="002D62E4">
              <w:rPr>
                <w:color w:val="auto"/>
              </w:rPr>
              <w:t xml:space="preserve">No  </w:t>
            </w:r>
            <w:r w:rsidR="002D62E4" w:rsidRPr="002D62E4">
              <w:rPr>
                <w:color w:val="auto"/>
              </w:rPr>
              <w:sym w:font="Wingdings" w:char="F0A8"/>
            </w:r>
            <w:r w:rsidR="002D62E4" w:rsidRPr="002D62E4">
              <w:rPr>
                <w:color w:val="auto"/>
              </w:rPr>
              <w:t xml:space="preserve"> </w:t>
            </w:r>
            <w:r w:rsidR="002D62E4" w:rsidRPr="002D62E4">
              <w:rPr>
                <w:color w:val="auto"/>
              </w:rPr>
              <w:t>Yes</w:t>
            </w:r>
          </w:p>
        </w:tc>
      </w:tr>
    </w:tbl>
    <w:p w14:paraId="536EE40E" w14:textId="77777777" w:rsidR="00A519BE" w:rsidRDefault="00A519BE" w:rsidP="00A519BE">
      <w:pPr>
        <w:ind w:left="0"/>
      </w:pPr>
    </w:p>
    <w:p w14:paraId="273C5DC0" w14:textId="77777777" w:rsidR="00A519BE" w:rsidRDefault="00A519BE">
      <w:r>
        <w:br w:type="page"/>
      </w:r>
    </w:p>
    <w:p w14:paraId="33A6606F" w14:textId="2B09A13F" w:rsidR="00EF183E" w:rsidRDefault="00B509F2" w:rsidP="00B509F2">
      <w:pPr>
        <w:ind w:left="0"/>
        <w:jc w:val="center"/>
        <w:rPr>
          <w:b/>
          <w:sz w:val="28"/>
          <w:szCs w:val="28"/>
        </w:rPr>
      </w:pPr>
      <w:r>
        <w:rPr>
          <w:b/>
          <w:sz w:val="28"/>
          <w:szCs w:val="28"/>
        </w:rPr>
        <w:lastRenderedPageBreak/>
        <w:t xml:space="preserve">Notice of Funding Opportunity </w:t>
      </w:r>
    </w:p>
    <w:p w14:paraId="431DA51C" w14:textId="545732F0" w:rsidR="00B509F2" w:rsidRPr="00017495" w:rsidRDefault="0050110C" w:rsidP="00B509F2">
      <w:pPr>
        <w:ind w:left="0"/>
        <w:jc w:val="center"/>
      </w:pPr>
      <w:r>
        <w:t xml:space="preserve">Violence Prevention and </w:t>
      </w:r>
      <w:r w:rsidR="00082052">
        <w:t>Street Intervention</w:t>
      </w:r>
      <w:r w:rsidR="000311C4">
        <w:t xml:space="preserve"> Programs (VP-SIP)</w:t>
      </w:r>
    </w:p>
    <w:p w14:paraId="4F68A78C" w14:textId="77777777" w:rsidR="00A0400E" w:rsidRPr="00A0400E" w:rsidRDefault="00A0400E" w:rsidP="00B509F2">
      <w:pPr>
        <w:pStyle w:val="ListParagraph"/>
        <w:ind w:left="0"/>
        <w:rPr>
          <w:b/>
          <w:sz w:val="28"/>
          <w:szCs w:val="28"/>
        </w:rPr>
      </w:pPr>
    </w:p>
    <w:p w14:paraId="11CE8990" w14:textId="0EF3C2C2" w:rsidR="00F808E9" w:rsidRPr="00017495" w:rsidRDefault="006D2857" w:rsidP="009E04DE">
      <w:pPr>
        <w:pStyle w:val="ListParagraph"/>
        <w:numPr>
          <w:ilvl w:val="0"/>
          <w:numId w:val="9"/>
        </w:numPr>
        <w:ind w:left="360"/>
        <w:rPr>
          <w:sz w:val="28"/>
          <w:szCs w:val="28"/>
        </w:rPr>
      </w:pPr>
      <w:r w:rsidRPr="00017495">
        <w:rPr>
          <w:b/>
          <w:sz w:val="28"/>
          <w:szCs w:val="28"/>
        </w:rPr>
        <w:t>Program Description</w:t>
      </w:r>
    </w:p>
    <w:p w14:paraId="11B9DB2A" w14:textId="686BA635" w:rsidR="00414C97" w:rsidRDefault="00414C97" w:rsidP="00E449BC">
      <w:pPr>
        <w:ind w:left="0"/>
        <w:rPr>
          <w:sz w:val="28"/>
          <w:szCs w:val="28"/>
        </w:rPr>
      </w:pPr>
    </w:p>
    <w:p w14:paraId="59451B5C" w14:textId="66188868" w:rsidR="002977C6" w:rsidRDefault="002977C6" w:rsidP="00E449BC">
      <w:pPr>
        <w:pStyle w:val="Default"/>
        <w:rPr>
          <w:rFonts w:ascii="Times New Roman" w:hAnsi="Times New Roman" w:cs="Times New Roman"/>
        </w:rPr>
      </w:pPr>
      <w:r>
        <w:rPr>
          <w:rFonts w:ascii="Times New Roman" w:hAnsi="Times New Roman" w:cs="Times New Roman"/>
        </w:rPr>
        <w:t xml:space="preserve">The Illinois </w:t>
      </w:r>
      <w:r w:rsidRPr="00A27234">
        <w:rPr>
          <w:rFonts w:ascii="Times New Roman" w:hAnsi="Times New Roman" w:cs="Times New Roman"/>
        </w:rPr>
        <w:t>Criminal Justice Information Authority (ICJIA) is a state agency dedicated to improving the administration of criminal justice</w:t>
      </w:r>
      <w:r w:rsidR="00257062">
        <w:rPr>
          <w:rFonts w:ascii="Times New Roman" w:hAnsi="Times New Roman" w:cs="Times New Roman"/>
        </w:rPr>
        <w:t xml:space="preserve"> and violence prevention</w:t>
      </w:r>
      <w:r w:rsidRPr="00A27234">
        <w:rPr>
          <w:rFonts w:ascii="Times New Roman" w:hAnsi="Times New Roman" w:cs="Times New Roman"/>
        </w:rPr>
        <w:t>.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6EF6D174" w14:textId="3942246E" w:rsidR="00F501B0" w:rsidRDefault="00F501B0" w:rsidP="00E449BC">
      <w:pPr>
        <w:ind w:left="0"/>
      </w:pPr>
    </w:p>
    <w:p w14:paraId="6C208B70" w14:textId="3009D158" w:rsidR="004B4A3F" w:rsidRDefault="004B4A3F" w:rsidP="004B4A3F">
      <w:pPr>
        <w:ind w:left="0"/>
      </w:pPr>
      <w:bookmarkStart w:id="0" w:name="_Hlk534786745"/>
      <w:r>
        <w:t>Section 7 of the</w:t>
      </w:r>
      <w:r w:rsidR="003B6E3A" w:rsidRPr="00C112F4">
        <w:t xml:space="preserve"> Illinois Cr</w:t>
      </w:r>
      <w:r>
        <w:t>iminal Justice Information Act grants ICJIA authority “to apply for, receive, establish priorities for, allocate, disburse, and spend grants of funds that are made available by and received on or after January 1, 1983 from private sources or from the United States pursuant to the federal Crime Control Act of 1973, as amended, and similar federal legislation, and to enter into agreements with the United States government to further the purposes of this Act, or as may be required as a condition of obtaining federal funds” and “to receive, expend, and account for such funds of the State of Illinois as may be made available to further the purposes of this Act.</w:t>
      </w:r>
      <w:r w:rsidR="00BE6F26">
        <w:t>”</w:t>
      </w:r>
      <w:r w:rsidR="00CD4DA5">
        <w:t xml:space="preserve"> (20 ILCS 3930/7(k), (l</w:t>
      </w:r>
      <w:r>
        <w:t>))</w:t>
      </w:r>
      <w:bookmarkEnd w:id="0"/>
    </w:p>
    <w:p w14:paraId="19A7AF0A" w14:textId="00A7DB06" w:rsidR="00F76DF1" w:rsidRDefault="00F76DF1" w:rsidP="00E449BC">
      <w:pPr>
        <w:ind w:left="0"/>
      </w:pPr>
    </w:p>
    <w:p w14:paraId="6401EFE8" w14:textId="55BEF41C" w:rsidR="00F501B0" w:rsidRDefault="00F501B0" w:rsidP="00E449BC">
      <w:pPr>
        <w:ind w:left="0"/>
      </w:pPr>
      <w:r>
        <w:t>ICJIA</w:t>
      </w:r>
      <w:r w:rsidRPr="00017495">
        <w:t xml:space="preserve">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w:t>
      </w:r>
      <w:r w:rsidR="00F316D0">
        <w:t>.</w:t>
      </w:r>
      <w:r w:rsidRPr="00017495">
        <w:t>), The United States Civil Rights Act of 1964 ( as amended) (42 USC 2000a-and 2000H-6), Section 504 of the Rehabilitation Act of 1973 (29 USC 794), The Americans with Disabilities Act of 1990 (42 USC 12101 et seq.), and The Age Discrimination Act (42 USC 6101 et seq.).</w:t>
      </w:r>
    </w:p>
    <w:p w14:paraId="5FC403A5" w14:textId="77777777" w:rsidR="00FB3A74" w:rsidRDefault="00FB3A74" w:rsidP="00E449BC">
      <w:pPr>
        <w:ind w:left="0"/>
      </w:pPr>
    </w:p>
    <w:p w14:paraId="21361735" w14:textId="40155D7F" w:rsidR="008161E5" w:rsidRDefault="00F501B0" w:rsidP="00E449BC">
      <w:pPr>
        <w:ind w:left="360"/>
      </w:pPr>
      <w:r w:rsidRPr="00F501B0">
        <w:rPr>
          <w:b/>
        </w:rPr>
        <w:t>1.</w:t>
      </w:r>
      <w:r>
        <w:t xml:space="preserve"> </w:t>
      </w:r>
      <w:r w:rsidRPr="00630E41">
        <w:rPr>
          <w:b/>
          <w:i/>
        </w:rPr>
        <w:t>Purpose</w:t>
      </w:r>
      <w:r>
        <w:t xml:space="preserve"> </w:t>
      </w:r>
    </w:p>
    <w:p w14:paraId="4BF74CD3" w14:textId="473608FB" w:rsidR="008161E5" w:rsidRPr="005C53E5" w:rsidRDefault="00A94387" w:rsidP="008161E5">
      <w:pPr>
        <w:ind w:left="0"/>
      </w:pPr>
      <w:r>
        <w:t>A total of</w:t>
      </w:r>
      <w:r w:rsidR="008161E5" w:rsidRPr="005C53E5">
        <w:t xml:space="preserve"> $</w:t>
      </w:r>
      <w:r w:rsidR="00120FCC">
        <w:t>12</w:t>
      </w:r>
      <w:r w:rsidR="008161E5">
        <w:t xml:space="preserve"> million </w:t>
      </w:r>
      <w:r>
        <w:t>i</w:t>
      </w:r>
      <w:r w:rsidR="00E07F2A">
        <w:t>n</w:t>
      </w:r>
      <w:r>
        <w:t xml:space="preserve"> state fiscal year 2020 funds are available </w:t>
      </w:r>
      <w:r w:rsidR="008161E5" w:rsidRPr="005C53E5">
        <w:t xml:space="preserve">for </w:t>
      </w:r>
      <w:r>
        <w:t xml:space="preserve">state </w:t>
      </w:r>
      <w:r w:rsidR="00C2511B">
        <w:t>Violence Prevention and Street Intervention</w:t>
      </w:r>
      <w:r w:rsidR="008161E5" w:rsidRPr="005C53E5">
        <w:t xml:space="preserve"> grants and administration. </w:t>
      </w:r>
      <w:r w:rsidR="00120FCC">
        <w:t xml:space="preserve">ICJIA </w:t>
      </w:r>
      <w:r w:rsidR="00257062">
        <w:t xml:space="preserve">anticipates </w:t>
      </w:r>
      <w:r w:rsidR="001D6A9A">
        <w:t>allocating</w:t>
      </w:r>
      <w:r w:rsidR="008161E5">
        <w:t xml:space="preserve"> </w:t>
      </w:r>
      <w:r w:rsidR="00257062">
        <w:t xml:space="preserve">a </w:t>
      </w:r>
      <w:r w:rsidR="00257062" w:rsidRPr="002D62E4">
        <w:t xml:space="preserve">maximum </w:t>
      </w:r>
      <w:r w:rsidR="00C2511B" w:rsidRPr="002D62E4">
        <w:t>$</w:t>
      </w:r>
      <w:r w:rsidR="00120FCC" w:rsidRPr="002D62E4">
        <w:t>2</w:t>
      </w:r>
      <w:r w:rsidRPr="002D62E4">
        <w:t>.25 million</w:t>
      </w:r>
      <w:r w:rsidR="00C2511B" w:rsidRPr="002D62E4">
        <w:t xml:space="preserve"> for</w:t>
      </w:r>
      <w:r w:rsidR="00C2511B">
        <w:t xml:space="preserve"> </w:t>
      </w:r>
      <w:r w:rsidR="001D6A9A">
        <w:t xml:space="preserve">violence prevention and street intervention services </w:t>
      </w:r>
      <w:r>
        <w:t>through this notice of funding opportunity</w:t>
      </w:r>
      <w:r w:rsidR="001D6A9A">
        <w:t>.</w:t>
      </w:r>
    </w:p>
    <w:p w14:paraId="694B2127" w14:textId="77777777" w:rsidR="008161E5" w:rsidRPr="005C53E5" w:rsidRDefault="008161E5" w:rsidP="008161E5">
      <w:pPr>
        <w:pStyle w:val="Default"/>
        <w:rPr>
          <w:rFonts w:ascii="Times New Roman" w:hAnsi="Times New Roman" w:cs="Times New Roman"/>
          <w:b/>
        </w:rPr>
      </w:pPr>
    </w:p>
    <w:p w14:paraId="0243C198" w14:textId="5E87CF99" w:rsidR="008161E5" w:rsidRPr="005C53E5" w:rsidRDefault="008161E5" w:rsidP="008161E5">
      <w:pPr>
        <w:ind w:left="0"/>
      </w:pPr>
      <w:r>
        <w:t xml:space="preserve">Awarded funds will have a projected </w:t>
      </w:r>
      <w:r w:rsidRPr="005C53E5">
        <w:t xml:space="preserve">performance period of </w:t>
      </w:r>
      <w:r w:rsidR="00C2511B">
        <w:t>September 1, 2019</w:t>
      </w:r>
      <w:r w:rsidR="00A94387">
        <w:t>,</w:t>
      </w:r>
      <w:r w:rsidR="00C2511B">
        <w:t xml:space="preserve"> through June 30, 2020</w:t>
      </w:r>
      <w:r w:rsidRPr="00701EC0">
        <w:t xml:space="preserve">. </w:t>
      </w:r>
      <w:r w:rsidR="00686F56">
        <w:rPr>
          <w:color w:val="auto"/>
        </w:rPr>
        <w:t xml:space="preserve">It is </w:t>
      </w:r>
      <w:r w:rsidR="00686F56" w:rsidRPr="004517AB">
        <w:rPr>
          <w:color w:val="auto"/>
        </w:rPr>
        <w:t>not</w:t>
      </w:r>
      <w:r w:rsidR="00686F56">
        <w:rPr>
          <w:color w:val="auto"/>
        </w:rPr>
        <w:t xml:space="preserve"> anticipated that these funds will be available beyond June 30, 2020.</w:t>
      </w:r>
    </w:p>
    <w:p w14:paraId="0EB0AA01" w14:textId="77777777" w:rsidR="008161E5" w:rsidRDefault="008161E5" w:rsidP="00E449BC">
      <w:pPr>
        <w:ind w:left="360"/>
      </w:pPr>
    </w:p>
    <w:p w14:paraId="182EC5D7" w14:textId="77777777" w:rsidR="00000656" w:rsidRDefault="00000656" w:rsidP="00000656">
      <w:pPr>
        <w:ind w:left="0"/>
        <w:rPr>
          <w:b/>
          <w:sz w:val="28"/>
          <w:szCs w:val="28"/>
        </w:rPr>
      </w:pPr>
      <w:r w:rsidRPr="005C53E5">
        <w:rPr>
          <w:b/>
          <w:sz w:val="28"/>
          <w:szCs w:val="28"/>
        </w:rPr>
        <w:t>Background</w:t>
      </w:r>
    </w:p>
    <w:p w14:paraId="55688DBD" w14:textId="77777777" w:rsidR="00000656" w:rsidRPr="005C53E5" w:rsidRDefault="00000656" w:rsidP="00000656">
      <w:pPr>
        <w:ind w:left="0"/>
        <w:rPr>
          <w:b/>
          <w:sz w:val="28"/>
          <w:szCs w:val="28"/>
        </w:rPr>
      </w:pPr>
    </w:p>
    <w:p w14:paraId="27127430" w14:textId="7F4D10D7" w:rsidR="00000656" w:rsidRDefault="00000656" w:rsidP="00000656">
      <w:pPr>
        <w:ind w:left="0"/>
        <w:rPr>
          <w:rFonts w:eastAsia="Calibri"/>
        </w:rPr>
      </w:pPr>
      <w:r w:rsidRPr="005C53E5">
        <w:rPr>
          <w:rFonts w:eastAsia="Calibri"/>
        </w:rPr>
        <w:t>Community violence includes a wide range of crimes</w:t>
      </w:r>
      <w:r>
        <w:rPr>
          <w:rFonts w:eastAsia="Calibri"/>
        </w:rPr>
        <w:t xml:space="preserve">, </w:t>
      </w:r>
      <w:r w:rsidRPr="005C53E5">
        <w:rPr>
          <w:rFonts w:eastAsia="Calibri"/>
        </w:rPr>
        <w:t xml:space="preserve">such as murder, gun violence, interpersonal and domestic violence, sexual violence, robbery, and aggravated or simple assault and battery. While </w:t>
      </w:r>
      <w:r>
        <w:rPr>
          <w:rFonts w:eastAsia="Calibri"/>
        </w:rPr>
        <w:t xml:space="preserve">all </w:t>
      </w:r>
      <w:r w:rsidRPr="005C53E5">
        <w:rPr>
          <w:rFonts w:eastAsia="Calibri"/>
        </w:rPr>
        <w:t xml:space="preserve">violence occurring in communities is cause for concern and important to recognize and address, this </w:t>
      </w:r>
      <w:r w:rsidR="00A94387" w:rsidRPr="005C53E5">
        <w:rPr>
          <w:rFonts w:eastAsia="Calibri"/>
        </w:rPr>
        <w:t xml:space="preserve">notice of funding opportunity </w:t>
      </w:r>
      <w:r w:rsidRPr="005C53E5">
        <w:rPr>
          <w:rFonts w:eastAsia="Calibri"/>
        </w:rPr>
        <w:t xml:space="preserve">will </w:t>
      </w:r>
      <w:r>
        <w:rPr>
          <w:rFonts w:eastAsia="Calibri"/>
        </w:rPr>
        <w:t>support</w:t>
      </w:r>
      <w:r w:rsidRPr="005C53E5">
        <w:rPr>
          <w:rFonts w:eastAsia="Calibri"/>
        </w:rPr>
        <w:t xml:space="preserve"> programs </w:t>
      </w:r>
      <w:r w:rsidRPr="005C53E5">
        <w:rPr>
          <w:rFonts w:eastAsia="Calibri"/>
        </w:rPr>
        <w:lastRenderedPageBreak/>
        <w:t xml:space="preserve">that address a narrower set of offenses, sometimes referred to as street-level violent crimes. These crimes include murders and aggravated assaults and </w:t>
      </w:r>
      <w:r>
        <w:rPr>
          <w:rFonts w:eastAsia="Calibri"/>
        </w:rPr>
        <w:t xml:space="preserve">non-domestic </w:t>
      </w:r>
      <w:r w:rsidRPr="005C53E5">
        <w:rPr>
          <w:rFonts w:eastAsia="Calibri"/>
        </w:rPr>
        <w:t xml:space="preserve">batteries that occur on the public way and often involve firearms. Street-level violent crime is important to address because experiencing or witnessing this type of violence can increase fear, distrust among community members, and feelings that communities are unsafe. Exposure to violent crime can also result in </w:t>
      </w:r>
      <w:r>
        <w:rPr>
          <w:rFonts w:eastAsia="Calibri"/>
        </w:rPr>
        <w:t xml:space="preserve">PTSD and other </w:t>
      </w:r>
      <w:r w:rsidRPr="005C53E5">
        <w:rPr>
          <w:rFonts w:eastAsia="Calibri"/>
        </w:rPr>
        <w:t xml:space="preserve">short- and long-term negative outcomes for individuals and communities. </w:t>
      </w:r>
    </w:p>
    <w:p w14:paraId="0A0017D4" w14:textId="77777777" w:rsidR="00000656" w:rsidRPr="005C53E5" w:rsidRDefault="00000656" w:rsidP="00000656">
      <w:pPr>
        <w:ind w:left="0"/>
        <w:rPr>
          <w:rFonts w:eastAsia="Calibri"/>
        </w:rPr>
      </w:pPr>
    </w:p>
    <w:p w14:paraId="409ED0F2" w14:textId="222FC2D1" w:rsidR="00000656" w:rsidRDefault="00000656" w:rsidP="00000656">
      <w:pPr>
        <w:ind w:left="0"/>
        <w:rPr>
          <w:rFonts w:eastAsia="Calibri"/>
        </w:rPr>
      </w:pPr>
      <w:r>
        <w:rPr>
          <w:rFonts w:eastAsia="Calibri"/>
        </w:rPr>
        <w:t>A large body of research is available on</w:t>
      </w:r>
      <w:r w:rsidRPr="005C53E5">
        <w:rPr>
          <w:rFonts w:eastAsia="Calibri"/>
        </w:rPr>
        <w:t xml:space="preserve"> street-level violence and focus</w:t>
      </w:r>
      <w:r>
        <w:rPr>
          <w:rFonts w:eastAsia="Calibri"/>
        </w:rPr>
        <w:t>ing</w:t>
      </w:r>
      <w:r w:rsidRPr="005C53E5">
        <w:rPr>
          <w:rFonts w:eastAsia="Calibri"/>
        </w:rPr>
        <w:t xml:space="preserve"> specifically on gang-involved homicides. These studies, conducted in multiple cities </w:t>
      </w:r>
      <w:r>
        <w:rPr>
          <w:rFonts w:eastAsia="Calibri"/>
        </w:rPr>
        <w:t xml:space="preserve">in various sizes and </w:t>
      </w:r>
      <w:r w:rsidRPr="005C53E5">
        <w:rPr>
          <w:rFonts w:eastAsia="Calibri"/>
        </w:rPr>
        <w:t>regions of the United States, have found that a significant portion of gun violence occurs over disputes and rivalries</w:t>
      </w:r>
      <w:r>
        <w:rPr>
          <w:rFonts w:eastAsia="Calibri"/>
        </w:rPr>
        <w:t xml:space="preserve"> </w:t>
      </w:r>
      <w:r w:rsidRPr="005C53E5">
        <w:rPr>
          <w:rFonts w:eastAsia="Calibri"/>
        </w:rPr>
        <w:t xml:space="preserve">within and between gangs (Decker and Curry, 2002). </w:t>
      </w:r>
      <w:r>
        <w:rPr>
          <w:rFonts w:eastAsia="Calibri"/>
        </w:rPr>
        <w:t>Several</w:t>
      </w:r>
      <w:r w:rsidRPr="005C53E5">
        <w:rPr>
          <w:rFonts w:eastAsia="Calibri"/>
        </w:rPr>
        <w:t xml:space="preserve"> theoretical explanations have been offered for why gangs, their members, and </w:t>
      </w:r>
      <w:r>
        <w:rPr>
          <w:rFonts w:eastAsia="Calibri"/>
        </w:rPr>
        <w:t xml:space="preserve">gang </w:t>
      </w:r>
      <w:r w:rsidRPr="005C53E5">
        <w:rPr>
          <w:rFonts w:eastAsia="Calibri"/>
        </w:rPr>
        <w:t xml:space="preserve">associates are involved in a disproportionate amount of gun violence, particularly retaliatory violence, but two </w:t>
      </w:r>
      <w:r>
        <w:rPr>
          <w:rFonts w:eastAsia="Calibri"/>
        </w:rPr>
        <w:t>theories</w:t>
      </w:r>
      <w:r w:rsidRPr="005C53E5">
        <w:rPr>
          <w:rFonts w:eastAsia="Calibri"/>
        </w:rPr>
        <w:t xml:space="preserve"> have been the focus of much of the literature: community-level factors and the role of collective behavior. Theories that focus on community-level factors, such as poverty, mobility, and neighborhood cohesion suggest that violence is a by-product of environmental conditions in which individuals live. </w:t>
      </w:r>
    </w:p>
    <w:p w14:paraId="7739262A" w14:textId="7D50DBDE" w:rsidR="00000656" w:rsidRPr="005C53E5" w:rsidRDefault="00000656" w:rsidP="00000656">
      <w:pPr>
        <w:ind w:left="0"/>
        <w:rPr>
          <w:rFonts w:eastAsia="Calibri"/>
        </w:rPr>
      </w:pPr>
    </w:p>
    <w:p w14:paraId="667A102B" w14:textId="20BC703E" w:rsidR="00000656" w:rsidRDefault="00000656" w:rsidP="00000656">
      <w:pPr>
        <w:ind w:left="0"/>
        <w:rPr>
          <w:rFonts w:eastAsia="Calibri"/>
        </w:rPr>
      </w:pPr>
      <w:r w:rsidRPr="005C53E5">
        <w:rPr>
          <w:rFonts w:eastAsia="Calibri"/>
        </w:rPr>
        <w:t xml:space="preserve">Locations that experience high levels of gun violence </w:t>
      </w:r>
      <w:r>
        <w:rPr>
          <w:rFonts w:eastAsia="Calibri"/>
        </w:rPr>
        <w:t xml:space="preserve">also </w:t>
      </w:r>
      <w:r w:rsidRPr="005C53E5">
        <w:rPr>
          <w:rFonts w:eastAsia="Calibri"/>
        </w:rPr>
        <w:t>often experience high concentrations of other social inequalities, including poverty and low social capital. Social capital is important to neighborhood cohesion as it represents the networks individuals depend on to help them meet basic needs</w:t>
      </w:r>
      <w:r>
        <w:rPr>
          <w:rFonts w:eastAsia="Calibri"/>
        </w:rPr>
        <w:t>, such as employment,</w:t>
      </w:r>
      <w:r w:rsidRPr="005C53E5">
        <w:rPr>
          <w:rFonts w:eastAsia="Calibri"/>
        </w:rPr>
        <w:t xml:space="preserve"> model civil engagement, and where norms of reciprocity are communicated. In other words, social capital is an important producer of community-level informal social control and </w:t>
      </w:r>
      <w:r w:rsidR="00214C5C" w:rsidRPr="005C53E5">
        <w:rPr>
          <w:rFonts w:eastAsia="Calibri"/>
        </w:rPr>
        <w:t>is</w:t>
      </w:r>
      <w:r w:rsidR="00214C5C">
        <w:rPr>
          <w:rFonts w:eastAsia="Calibri"/>
        </w:rPr>
        <w:t xml:space="preserve"> </w:t>
      </w:r>
      <w:r w:rsidR="00214C5C" w:rsidRPr="005C53E5">
        <w:rPr>
          <w:rFonts w:eastAsia="Calibri"/>
        </w:rPr>
        <w:t>associated</w:t>
      </w:r>
      <w:r w:rsidRPr="005C53E5">
        <w:rPr>
          <w:rFonts w:eastAsia="Calibri"/>
        </w:rPr>
        <w:t xml:space="preserve"> with youth joining gangs (Decker and Van Winkle, 1996). </w:t>
      </w:r>
    </w:p>
    <w:p w14:paraId="73CB25A6" w14:textId="77777777" w:rsidR="00000656" w:rsidRPr="005C53E5" w:rsidRDefault="00000656" w:rsidP="00000656">
      <w:pPr>
        <w:ind w:left="0"/>
        <w:rPr>
          <w:rFonts w:eastAsia="Calibri"/>
        </w:rPr>
      </w:pPr>
    </w:p>
    <w:p w14:paraId="53703DF3" w14:textId="77777777" w:rsidR="00000656" w:rsidRDefault="00000656" w:rsidP="00000656">
      <w:pPr>
        <w:ind w:left="0"/>
        <w:rPr>
          <w:rFonts w:eastAsia="Calibri"/>
        </w:rPr>
      </w:pPr>
      <w:r w:rsidRPr="005C53E5">
        <w:rPr>
          <w:rFonts w:eastAsia="Calibri"/>
        </w:rPr>
        <w:t xml:space="preserve">The theory of collective behavior posits violence is the result of threats or perceived threats. Threats of violence increase membership, solidifies group belonging, and escalates the incidence of violence as members respond and retaliate. Individuals fearing violence by others join gangs for protection from external threats. Threats, whether real or perceived, bond group members together while also intensifying the felt need to retaliate against threats of violence, even those that are perceived (Decker and Curry, 2002). This further normalizes violence among group members as an appropriate response to threats. </w:t>
      </w:r>
    </w:p>
    <w:p w14:paraId="14057BCE" w14:textId="77777777" w:rsidR="00000656" w:rsidRPr="005C53E5" w:rsidRDefault="00000656" w:rsidP="00000656">
      <w:pPr>
        <w:ind w:left="0"/>
        <w:rPr>
          <w:rFonts w:eastAsia="Calibri"/>
        </w:rPr>
      </w:pPr>
    </w:p>
    <w:p w14:paraId="316B5039" w14:textId="5C604692" w:rsidR="00000656" w:rsidRDefault="00000656" w:rsidP="00000656">
      <w:pPr>
        <w:ind w:left="0"/>
        <w:rPr>
          <w:rFonts w:eastAsia="Calibri"/>
        </w:rPr>
      </w:pPr>
      <w:r w:rsidRPr="005C53E5">
        <w:rPr>
          <w:rFonts w:eastAsia="Calibri"/>
        </w:rPr>
        <w:t>These theories collectively suggest that efforts to address</w:t>
      </w:r>
      <w:r w:rsidR="00A94387">
        <w:rPr>
          <w:rFonts w:eastAsia="Calibri"/>
        </w:rPr>
        <w:t xml:space="preserve"> </w:t>
      </w:r>
      <w:r w:rsidRPr="005C53E5">
        <w:rPr>
          <w:rFonts w:eastAsia="Calibri"/>
        </w:rPr>
        <w:t xml:space="preserve">street-level </w:t>
      </w:r>
      <w:r w:rsidR="00A94387">
        <w:rPr>
          <w:rFonts w:eastAsia="Calibri"/>
        </w:rPr>
        <w:t xml:space="preserve">community </w:t>
      </w:r>
      <w:r w:rsidRPr="005C53E5">
        <w:rPr>
          <w:rFonts w:eastAsia="Calibri"/>
        </w:rPr>
        <w:t>violence consider strengthening the social capital of individuals living in disadvantaged communities while also reducing threats or perceived threats. This is further supported by research that indicates effective models to addressing street</w:t>
      </w:r>
      <w:r w:rsidR="00A94387">
        <w:rPr>
          <w:rFonts w:eastAsia="Calibri"/>
        </w:rPr>
        <w:t xml:space="preserve"> </w:t>
      </w:r>
      <w:r w:rsidRPr="005C53E5">
        <w:rPr>
          <w:rFonts w:eastAsia="Calibri"/>
        </w:rPr>
        <w:t>violence and</w:t>
      </w:r>
      <w:r w:rsidR="00A94387">
        <w:rPr>
          <w:rFonts w:eastAsia="Calibri"/>
        </w:rPr>
        <w:t>,</w:t>
      </w:r>
      <w:r w:rsidRPr="005C53E5">
        <w:rPr>
          <w:rFonts w:eastAsia="Calibri"/>
        </w:rPr>
        <w:t xml:space="preserve"> in particular</w:t>
      </w:r>
      <w:r w:rsidR="00A94387">
        <w:rPr>
          <w:rFonts w:eastAsia="Calibri"/>
        </w:rPr>
        <w:t>,</w:t>
      </w:r>
      <w:r w:rsidRPr="005C53E5">
        <w:rPr>
          <w:rFonts w:eastAsia="Calibri"/>
        </w:rPr>
        <w:t xml:space="preserve"> gang-related street violence are comprehensive and include suppression, prevention, and intervention activities (OJJDP, 2002). </w:t>
      </w:r>
    </w:p>
    <w:p w14:paraId="05E55BC0" w14:textId="5C3CFE32" w:rsidR="00F501B0" w:rsidRDefault="00F501B0" w:rsidP="00E449BC">
      <w:pPr>
        <w:ind w:left="0"/>
      </w:pPr>
    </w:p>
    <w:p w14:paraId="6C18A373" w14:textId="75D75944" w:rsidR="0064016C" w:rsidRDefault="00F501B0" w:rsidP="00000656">
      <w:pPr>
        <w:ind w:left="0"/>
      </w:pPr>
      <w:r w:rsidRPr="00F501B0">
        <w:rPr>
          <w:b/>
        </w:rPr>
        <w:t>2.</w:t>
      </w:r>
      <w:r>
        <w:t xml:space="preserve"> </w:t>
      </w:r>
      <w:r w:rsidRPr="00630E41">
        <w:rPr>
          <w:b/>
          <w:i/>
        </w:rPr>
        <w:t>Program Design</w:t>
      </w:r>
      <w:r>
        <w:t xml:space="preserve"> </w:t>
      </w:r>
      <w:r w:rsidR="004D36AD" w:rsidRPr="004D36AD">
        <w:rPr>
          <w:b/>
          <w:i/>
        </w:rPr>
        <w:t>and Requirements</w:t>
      </w:r>
    </w:p>
    <w:p w14:paraId="37DA65DB" w14:textId="77777777" w:rsidR="0064016C" w:rsidRDefault="0064016C" w:rsidP="00000656">
      <w:pPr>
        <w:ind w:left="0"/>
      </w:pPr>
    </w:p>
    <w:p w14:paraId="6127A38F" w14:textId="2D179351" w:rsidR="00000656" w:rsidRPr="005C53E5" w:rsidRDefault="00F11D63" w:rsidP="00000656">
      <w:pPr>
        <w:ind w:left="0"/>
      </w:pPr>
      <w:r>
        <w:t>The p</w:t>
      </w:r>
      <w:r w:rsidR="00000656" w:rsidRPr="005C53E5">
        <w:t>roposed program must reflect evidence</w:t>
      </w:r>
      <w:r w:rsidR="00000656">
        <w:t>-</w:t>
      </w:r>
      <w:r w:rsidR="00000656" w:rsidRPr="005C53E5">
        <w:t>based practices include the program design outlined below:</w:t>
      </w:r>
    </w:p>
    <w:p w14:paraId="48BAA17B" w14:textId="77777777" w:rsidR="00000656" w:rsidRPr="005C53E5" w:rsidRDefault="00000656" w:rsidP="00000656">
      <w:pPr>
        <w:ind w:left="0"/>
        <w:rPr>
          <w:rFonts w:eastAsia="Calibri"/>
        </w:rPr>
      </w:pPr>
    </w:p>
    <w:p w14:paraId="3AD1C12D" w14:textId="77777777" w:rsidR="00000656" w:rsidRPr="00B70D0B" w:rsidRDefault="00000656" w:rsidP="00000656">
      <w:pPr>
        <w:ind w:left="0"/>
        <w:rPr>
          <w:i/>
        </w:rPr>
      </w:pPr>
      <w:r w:rsidRPr="00B70D0B">
        <w:rPr>
          <w:i/>
        </w:rPr>
        <w:t>Target Population</w:t>
      </w:r>
    </w:p>
    <w:p w14:paraId="1BECBEDB" w14:textId="77777777" w:rsidR="00000656" w:rsidRDefault="00000656" w:rsidP="00000656">
      <w:pPr>
        <w:ind w:left="0"/>
      </w:pPr>
    </w:p>
    <w:p w14:paraId="6462936D" w14:textId="77777777" w:rsidR="00000656" w:rsidRDefault="00000656" w:rsidP="00000656">
      <w:pPr>
        <w:ind w:left="0"/>
      </w:pPr>
      <w:r w:rsidRPr="005C53E5">
        <w:t>Youth and young adults, including</w:t>
      </w:r>
      <w:r>
        <w:t>,</w:t>
      </w:r>
      <w:r w:rsidRPr="005C53E5">
        <w:t xml:space="preserve"> but not limited </w:t>
      </w:r>
      <w:r>
        <w:t>to, those who are identified as being at heightened risk or those who engage in high risk behavior or violence.</w:t>
      </w:r>
    </w:p>
    <w:p w14:paraId="34BE9B75" w14:textId="77777777" w:rsidR="00000656" w:rsidRPr="005C53E5" w:rsidRDefault="00000656" w:rsidP="00000656">
      <w:pPr>
        <w:ind w:left="0"/>
      </w:pPr>
      <w:r>
        <w:t xml:space="preserve"> </w:t>
      </w:r>
    </w:p>
    <w:p w14:paraId="3E87117C" w14:textId="47CD97B8" w:rsidR="00000656" w:rsidRDefault="00BF1134" w:rsidP="00000656">
      <w:pPr>
        <w:ind w:left="0"/>
        <w:rPr>
          <w:rFonts w:eastAsia="Calibri"/>
        </w:rPr>
      </w:pPr>
      <w:r>
        <w:rPr>
          <w:rFonts w:eastAsia="Calibri"/>
        </w:rPr>
        <w:t>The eligible applicant</w:t>
      </w:r>
      <w:r w:rsidR="00A041BF">
        <w:rPr>
          <w:rFonts w:eastAsia="Calibri"/>
        </w:rPr>
        <w:t xml:space="preserve">’s program narrative should reflect coalition and public awareness activities as well as street intervention services as described below: </w:t>
      </w:r>
    </w:p>
    <w:p w14:paraId="354254F2" w14:textId="77777777" w:rsidR="00A94387" w:rsidRPr="005C53E5" w:rsidRDefault="00A94387" w:rsidP="00000656">
      <w:pPr>
        <w:ind w:left="0"/>
      </w:pPr>
    </w:p>
    <w:p w14:paraId="5EB6A95F" w14:textId="1C2606D2" w:rsidR="00000656" w:rsidRPr="00FC5DB7" w:rsidRDefault="000F6A0A" w:rsidP="009E04DE">
      <w:pPr>
        <w:pStyle w:val="ListParagraph"/>
        <w:numPr>
          <w:ilvl w:val="0"/>
          <w:numId w:val="21"/>
        </w:numPr>
      </w:pPr>
      <w:r>
        <w:t xml:space="preserve">Convene, </w:t>
      </w:r>
      <w:r w:rsidR="00000656" w:rsidRPr="00FC5DB7">
        <w:t xml:space="preserve">expand </w:t>
      </w:r>
      <w:r w:rsidR="004E7076">
        <w:t xml:space="preserve">or join </w:t>
      </w:r>
      <w:r w:rsidR="00000656" w:rsidRPr="00FC5DB7">
        <w:t>an existing community coalition to engage service providers, governmental agencies (local and/or statewide agencies), law enforcement, faith-based, and general community members</w:t>
      </w:r>
      <w:r w:rsidR="00000656">
        <w:t>.</w:t>
      </w:r>
      <w:r w:rsidR="00000656" w:rsidRPr="00FC5DB7">
        <w:t xml:space="preserve"> The purpose of the </w:t>
      </w:r>
      <w:r w:rsidR="00000656">
        <w:t>c</w:t>
      </w:r>
      <w:r w:rsidR="00000656" w:rsidRPr="00FC5DB7">
        <w:t>oalition is to ensure that service providers and all potential participants are aware of violence prevention resources available in community; develop collaborative partnerships to ensure that clients</w:t>
      </w:r>
      <w:r w:rsidR="00000656">
        <w:t>’</w:t>
      </w:r>
      <w:r w:rsidR="00000656" w:rsidRPr="00FC5DB7">
        <w:t xml:space="preserve"> immediate needs are met; and provide pro-social activities for the community.</w:t>
      </w:r>
    </w:p>
    <w:p w14:paraId="208C8DDC" w14:textId="77777777" w:rsidR="00000656" w:rsidRPr="00FC5DB7" w:rsidRDefault="00000656" w:rsidP="009E04DE">
      <w:pPr>
        <w:pStyle w:val="ListParagraph"/>
        <w:numPr>
          <w:ilvl w:val="1"/>
          <w:numId w:val="22"/>
        </w:numPr>
        <w:ind w:left="1440" w:hanging="270"/>
      </w:pPr>
      <w:r w:rsidRPr="00FC5DB7">
        <w:t>Grantee may assign a staff person to facilitate coalition meetings</w:t>
      </w:r>
      <w:r>
        <w:t xml:space="preserve"> and</w:t>
      </w:r>
      <w:r w:rsidRPr="00FC5DB7">
        <w:t xml:space="preserve"> activities. Meetings and/or activities should occur at least quarterly.</w:t>
      </w:r>
    </w:p>
    <w:p w14:paraId="4B490388" w14:textId="3161AE98" w:rsidR="00000656" w:rsidRPr="00FC5DB7" w:rsidRDefault="00000656" w:rsidP="009E04DE">
      <w:pPr>
        <w:pStyle w:val="ListParagraph"/>
        <w:numPr>
          <w:ilvl w:val="1"/>
          <w:numId w:val="22"/>
        </w:numPr>
        <w:ind w:left="1440" w:hanging="270"/>
      </w:pPr>
      <w:r>
        <w:t>The c</w:t>
      </w:r>
      <w:r w:rsidRPr="00FC5DB7">
        <w:t>oalition should organize at least one community event during the grant period.</w:t>
      </w:r>
    </w:p>
    <w:p w14:paraId="4B195671" w14:textId="77777777" w:rsidR="00000656" w:rsidRPr="002D62E4" w:rsidRDefault="00000656" w:rsidP="009E04DE">
      <w:pPr>
        <w:pStyle w:val="ListParagraph"/>
        <w:numPr>
          <w:ilvl w:val="0"/>
          <w:numId w:val="21"/>
        </w:numPr>
      </w:pPr>
      <w:r w:rsidRPr="00190D65">
        <w:t xml:space="preserve">Educate public about program services through wide distribution and various types </w:t>
      </w:r>
      <w:r w:rsidRPr="002D62E4">
        <w:t>of program materials, public presentations and awareness events.</w:t>
      </w:r>
    </w:p>
    <w:p w14:paraId="35D6CD37" w14:textId="15F97288" w:rsidR="00000656" w:rsidRPr="002D62E4" w:rsidRDefault="00000656" w:rsidP="0074228E">
      <w:pPr>
        <w:pStyle w:val="NormalWeb"/>
        <w:numPr>
          <w:ilvl w:val="0"/>
          <w:numId w:val="20"/>
        </w:numPr>
        <w:textAlignment w:val="baseline"/>
      </w:pPr>
      <w:r w:rsidRPr="002D62E4">
        <w:t xml:space="preserve">Implementation </w:t>
      </w:r>
      <w:r w:rsidR="0087664F" w:rsidRPr="002D62E4">
        <w:t xml:space="preserve">of </w:t>
      </w:r>
      <w:r w:rsidRPr="002D62E4">
        <w:rPr>
          <w:b/>
        </w:rPr>
        <w:t>Street Intervention/Interruption-Active Outreach and Engagement</w:t>
      </w:r>
      <w:r w:rsidRPr="002D62E4">
        <w:t xml:space="preserve"> – Programs target at-risk youth and young adults to provide crisis intervention and de-escalation of high stress situations. </w:t>
      </w:r>
    </w:p>
    <w:p w14:paraId="0C8B9A30" w14:textId="77777777" w:rsidR="00000656" w:rsidRPr="002D62E4" w:rsidRDefault="00000656" w:rsidP="009E04DE">
      <w:pPr>
        <w:pStyle w:val="NormalWeb"/>
        <w:numPr>
          <w:ilvl w:val="1"/>
          <w:numId w:val="20"/>
        </w:numPr>
        <w:spacing w:before="100" w:beforeAutospacing="1" w:afterAutospacing="1"/>
        <w:textAlignment w:val="baseline"/>
      </w:pPr>
      <w:r w:rsidRPr="002D62E4">
        <w:t xml:space="preserve">Examples of promising programs include Richmond Comprehensive Homicide Initiative, CureViolence, Operation Ceasefire, and Safe Streets. </w:t>
      </w:r>
    </w:p>
    <w:p w14:paraId="75533144" w14:textId="3D3165FE" w:rsidR="00000656" w:rsidRPr="005C53E5" w:rsidRDefault="00000656" w:rsidP="009E04DE">
      <w:pPr>
        <w:pStyle w:val="ListParagraph"/>
        <w:numPr>
          <w:ilvl w:val="0"/>
          <w:numId w:val="20"/>
        </w:numPr>
      </w:pPr>
      <w:r w:rsidRPr="005C53E5">
        <w:t>Staffing Requirements</w:t>
      </w:r>
      <w:r w:rsidR="00A94387">
        <w:t xml:space="preserve">: </w:t>
      </w:r>
      <w:r w:rsidRPr="005C53E5">
        <w:t xml:space="preserve">Any staff or volunteers that work directly with participants must be able to document they have received trauma-informed training. </w:t>
      </w:r>
    </w:p>
    <w:p w14:paraId="1395EABA" w14:textId="77777777" w:rsidR="00000656" w:rsidRPr="005C53E5" w:rsidRDefault="00000656" w:rsidP="009E04DE">
      <w:pPr>
        <w:numPr>
          <w:ilvl w:val="0"/>
          <w:numId w:val="20"/>
        </w:numPr>
        <w:textAlignment w:val="baseline"/>
      </w:pPr>
      <w:r w:rsidRPr="005C53E5">
        <w:t>Applicant must budget for one ICJIA-coordinated</w:t>
      </w:r>
      <w:r>
        <w:t xml:space="preserve">, full-day </w:t>
      </w:r>
      <w:r w:rsidRPr="005C53E5">
        <w:t>meeting in Chicago.</w:t>
      </w:r>
    </w:p>
    <w:p w14:paraId="795AA022" w14:textId="77777777" w:rsidR="00000656" w:rsidRPr="005C53E5" w:rsidRDefault="00000656" w:rsidP="009E04DE">
      <w:pPr>
        <w:numPr>
          <w:ilvl w:val="0"/>
          <w:numId w:val="20"/>
        </w:numPr>
        <w:spacing w:before="100" w:beforeAutospacing="1" w:after="100" w:afterAutospacing="1"/>
        <w:textAlignment w:val="baseline"/>
      </w:pPr>
      <w:r w:rsidRPr="005C53E5">
        <w:t>Applicant must comply with all prescribed assessment tools and reporting requirements.</w:t>
      </w:r>
    </w:p>
    <w:p w14:paraId="5003A9F8" w14:textId="131D6E86" w:rsidR="004146D3" w:rsidRDefault="004D36AD" w:rsidP="004146D3">
      <w:pPr>
        <w:ind w:left="0"/>
        <w:rPr>
          <w:i/>
          <w:iCs/>
          <w:u w:val="single"/>
        </w:rPr>
      </w:pPr>
      <w:r>
        <w:rPr>
          <w:b/>
        </w:rPr>
        <w:t>3</w:t>
      </w:r>
      <w:r w:rsidR="00F501B0" w:rsidRPr="00F501B0">
        <w:rPr>
          <w:b/>
        </w:rPr>
        <w:t xml:space="preserve">. </w:t>
      </w:r>
      <w:r w:rsidR="00F501B0" w:rsidRPr="00630E41">
        <w:rPr>
          <w:b/>
          <w:i/>
        </w:rPr>
        <w:t>Evidence-Based Programs or Practices</w:t>
      </w:r>
      <w:r w:rsidR="00F501B0">
        <w:t xml:space="preserve"> </w:t>
      </w:r>
      <w:r w:rsidR="004146D3" w:rsidRPr="005C53E5" w:rsidDel="003F3C33">
        <w:rPr>
          <w:i/>
          <w:iCs/>
          <w:u w:val="single"/>
        </w:rPr>
        <w:t>Trauma-Informed Practices</w:t>
      </w:r>
    </w:p>
    <w:p w14:paraId="6B25D322" w14:textId="77777777" w:rsidR="00A94387" w:rsidRPr="005C53E5" w:rsidDel="003F3C33" w:rsidRDefault="00A94387" w:rsidP="004146D3">
      <w:pPr>
        <w:ind w:left="0"/>
        <w:rPr>
          <w:color w:val="auto"/>
        </w:rPr>
      </w:pPr>
    </w:p>
    <w:p w14:paraId="379C70E0" w14:textId="2044AE3F" w:rsidR="004146D3" w:rsidRPr="005C53E5" w:rsidDel="003F3C33" w:rsidRDefault="004146D3" w:rsidP="004146D3">
      <w:pPr>
        <w:ind w:left="0"/>
        <w:rPr>
          <w:rFonts w:eastAsiaTheme="minorHAnsi"/>
          <w:color w:val="auto"/>
        </w:rPr>
      </w:pPr>
      <w:r w:rsidRPr="005C53E5" w:rsidDel="003F3C33">
        <w:t xml:space="preserve">Applicants are strongly urged to </w:t>
      </w:r>
      <w:r w:rsidRPr="005C53E5" w:rsidDel="003F3C33">
        <w:rPr>
          <w:color w:val="auto"/>
        </w:rPr>
        <w:t>increase their knowledge of trauma-informed practices</w:t>
      </w:r>
      <w:r w:rsidRPr="005C53E5" w:rsidDel="003F3C33">
        <w:rPr>
          <w:color w:val="1F497D"/>
        </w:rPr>
        <w:t xml:space="preserve"> </w:t>
      </w:r>
      <w:r w:rsidR="00A94387">
        <w:rPr>
          <w:color w:val="1F497D"/>
        </w:rPr>
        <w:t xml:space="preserve">and </w:t>
      </w:r>
      <w:r w:rsidRPr="005C53E5" w:rsidDel="003F3C33">
        <w:t xml:space="preserve">consider and, where appropriate, incorporate trauma-informed practices into proposed services. See </w:t>
      </w:r>
      <w:r w:rsidDel="003F3C33">
        <w:rPr>
          <w:i/>
          <w:iCs/>
        </w:rPr>
        <w:t>A</w:t>
      </w:r>
      <w:r w:rsidR="00581AF1">
        <w:rPr>
          <w:i/>
          <w:iCs/>
        </w:rPr>
        <w:t xml:space="preserve">ppendix </w:t>
      </w:r>
      <w:r w:rsidDel="003F3C33">
        <w:rPr>
          <w:i/>
          <w:iCs/>
        </w:rPr>
        <w:t>I</w:t>
      </w:r>
      <w:r w:rsidRPr="00B0052D" w:rsidDel="003F3C33">
        <w:rPr>
          <w:i/>
          <w:iCs/>
        </w:rPr>
        <w:t>: Trauma Informed Services</w:t>
      </w:r>
      <w:r w:rsidRPr="00B0052D" w:rsidDel="003F3C33">
        <w:t xml:space="preserve"> f</w:t>
      </w:r>
      <w:r w:rsidRPr="005C53E5" w:rsidDel="003F3C33">
        <w:t xml:space="preserve">or an overview of trauma-informed services. Becoming trauma-informed is a continual process of organizational assessment and change. Applicants should describe their current practices and identify how trauma-informed practices will be integrated into their proposed services. ICJIA reserves the right to survey grantees to assess their knowledge of trauma-informed practices and implementation of these practices. Through conducting </w:t>
      </w:r>
      <w:r w:rsidRPr="005C53E5" w:rsidDel="003F3C33">
        <w:rPr>
          <w:color w:val="auto"/>
        </w:rPr>
        <w:t xml:space="preserve">periodic </w:t>
      </w:r>
      <w:r w:rsidRPr="005C53E5" w:rsidDel="003F3C33">
        <w:t>assessments, agencies and ICJIA can identify areas of strength and growth for adopting a trauma-informed approach to services that help to prevent re-traumatization of victims.</w:t>
      </w:r>
    </w:p>
    <w:p w14:paraId="66DD9B63" w14:textId="6A1C0549" w:rsidR="00F501B0" w:rsidRDefault="00F501B0" w:rsidP="00E449BC">
      <w:pPr>
        <w:ind w:left="360"/>
      </w:pPr>
    </w:p>
    <w:p w14:paraId="5C894E70" w14:textId="11ABC233" w:rsidR="00F501B0" w:rsidRPr="00F501B0" w:rsidRDefault="004D36AD" w:rsidP="004D36AD">
      <w:pPr>
        <w:ind w:left="0"/>
        <w:rPr>
          <w:b/>
        </w:rPr>
      </w:pPr>
      <w:r>
        <w:rPr>
          <w:b/>
        </w:rPr>
        <w:lastRenderedPageBreak/>
        <w:t>4</w:t>
      </w:r>
      <w:r w:rsidR="00F501B0" w:rsidRPr="00F501B0">
        <w:rPr>
          <w:b/>
        </w:rPr>
        <w:t xml:space="preserve">. </w:t>
      </w:r>
      <w:r w:rsidR="00F501B0" w:rsidRPr="00630E41">
        <w:rPr>
          <w:b/>
          <w:i/>
        </w:rPr>
        <w:t>Goals, Objectives, and Performance Metrics</w:t>
      </w:r>
    </w:p>
    <w:p w14:paraId="51D4AF1E" w14:textId="4AC084B3" w:rsidR="00245C12" w:rsidRDefault="00245C12" w:rsidP="00E449BC">
      <w:pPr>
        <w:ind w:left="0"/>
      </w:pPr>
    </w:p>
    <w:p w14:paraId="0C236044" w14:textId="2AD18764" w:rsidR="00F501B0" w:rsidRDefault="004D36AD" w:rsidP="00E75460">
      <w:pPr>
        <w:pStyle w:val="Default"/>
        <w:rPr>
          <w:rFonts w:ascii="Times New Roman" w:hAnsi="Times New Roman" w:cs="Times New Roman"/>
        </w:rPr>
      </w:pPr>
      <w:r>
        <w:rPr>
          <w:rFonts w:ascii="Times New Roman" w:hAnsi="Times New Roman" w:cs="Times New Roman"/>
        </w:rPr>
        <w:t>The funded program</w:t>
      </w:r>
      <w:r w:rsidR="00F501B0">
        <w:rPr>
          <w:rFonts w:ascii="Times New Roman" w:hAnsi="Times New Roman" w:cs="Times New Roman"/>
        </w:rPr>
        <w:t xml:space="preserve"> will be required to submit quarterly progress reports that will minimally include the following information based on the objectives the applicant agencies propose in their response to this solicitation. </w:t>
      </w:r>
    </w:p>
    <w:p w14:paraId="4430C2AE" w14:textId="77777777" w:rsidR="00F501B0" w:rsidRDefault="00F501B0" w:rsidP="00630E41">
      <w:pPr>
        <w:pStyle w:val="Default"/>
        <w:rPr>
          <w:rFonts w:ascii="Times New Roman" w:hAnsi="Times New Roman" w:cs="Times New Roman"/>
        </w:rPr>
      </w:pPr>
    </w:p>
    <w:tbl>
      <w:tblPr>
        <w:tblStyle w:val="TableGrid8"/>
        <w:tblW w:w="9350" w:type="dxa"/>
        <w:tblLayout w:type="fixed"/>
        <w:tblLook w:val="04A0" w:firstRow="1" w:lastRow="0" w:firstColumn="1" w:lastColumn="0" w:noHBand="0" w:noVBand="1"/>
      </w:tblPr>
      <w:tblGrid>
        <w:gridCol w:w="4495"/>
        <w:gridCol w:w="4855"/>
      </w:tblGrid>
      <w:tr w:rsidR="00246997" w:rsidRPr="00246997" w14:paraId="17F29E07" w14:textId="77777777" w:rsidTr="00F27BF7">
        <w:tc>
          <w:tcPr>
            <w:tcW w:w="4495" w:type="dxa"/>
          </w:tcPr>
          <w:p w14:paraId="737DC415" w14:textId="77777777" w:rsidR="00246997" w:rsidRPr="00246997" w:rsidRDefault="00246997" w:rsidP="00246997">
            <w:pPr>
              <w:keepNext/>
              <w:keepLines/>
              <w:widowControl w:val="0"/>
              <w:jc w:val="both"/>
              <w:outlineLvl w:val="0"/>
              <w:rPr>
                <w:rFonts w:eastAsia="Calibri"/>
                <w:b/>
                <w:sz w:val="24"/>
                <w:szCs w:val="24"/>
              </w:rPr>
            </w:pPr>
            <w:r w:rsidRPr="00246997">
              <w:rPr>
                <w:rFonts w:eastAsia="Calibri"/>
                <w:b/>
                <w:sz w:val="24"/>
                <w:szCs w:val="24"/>
              </w:rPr>
              <w:t>Objective</w:t>
            </w:r>
          </w:p>
        </w:tc>
        <w:tc>
          <w:tcPr>
            <w:tcW w:w="4855" w:type="dxa"/>
          </w:tcPr>
          <w:p w14:paraId="3AD852F0" w14:textId="77777777" w:rsidR="00246997" w:rsidRPr="00246997" w:rsidRDefault="00246997" w:rsidP="00246997">
            <w:pPr>
              <w:keepNext/>
              <w:keepLines/>
              <w:widowControl w:val="0"/>
              <w:jc w:val="both"/>
              <w:outlineLvl w:val="0"/>
              <w:rPr>
                <w:rFonts w:eastAsia="Calibri"/>
                <w:b/>
                <w:sz w:val="24"/>
                <w:szCs w:val="24"/>
              </w:rPr>
            </w:pPr>
            <w:r w:rsidRPr="00246997">
              <w:rPr>
                <w:rFonts w:eastAsia="Calibri"/>
                <w:b/>
                <w:sz w:val="24"/>
                <w:szCs w:val="24"/>
              </w:rPr>
              <w:t>Performance Measure</w:t>
            </w:r>
          </w:p>
        </w:tc>
      </w:tr>
      <w:tr w:rsidR="00246997" w:rsidRPr="00246997" w14:paraId="47FDFBFF" w14:textId="77777777" w:rsidTr="00F27BF7">
        <w:tc>
          <w:tcPr>
            <w:tcW w:w="9350" w:type="dxa"/>
            <w:gridSpan w:val="2"/>
            <w:shd w:val="clear" w:color="auto" w:fill="D9D9D9" w:themeFill="background1" w:themeFillShade="D9"/>
          </w:tcPr>
          <w:p w14:paraId="51A5280B" w14:textId="77777777" w:rsidR="00246997" w:rsidRPr="00246997" w:rsidRDefault="00246997" w:rsidP="00246997">
            <w:pPr>
              <w:keepNext/>
              <w:keepLines/>
              <w:widowControl w:val="0"/>
              <w:jc w:val="center"/>
              <w:outlineLvl w:val="0"/>
              <w:rPr>
                <w:rFonts w:eastAsia="Calibri"/>
                <w:sz w:val="24"/>
                <w:szCs w:val="24"/>
              </w:rPr>
            </w:pPr>
            <w:r w:rsidRPr="00246997">
              <w:rPr>
                <w:rFonts w:eastAsia="Calibri"/>
                <w:sz w:val="24"/>
                <w:szCs w:val="24"/>
              </w:rPr>
              <w:t>Collaborative Partners (Must Be Completed)</w:t>
            </w:r>
          </w:p>
        </w:tc>
      </w:tr>
      <w:tr w:rsidR="00246997" w:rsidRPr="00246997" w14:paraId="288B12D2" w14:textId="77777777" w:rsidTr="00F27BF7">
        <w:tc>
          <w:tcPr>
            <w:tcW w:w="4495" w:type="dxa"/>
          </w:tcPr>
          <w:p w14:paraId="75B942D8"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Enlist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 collaborative partners by </w:t>
            </w:r>
            <w:r w:rsidRPr="00246997">
              <w:rPr>
                <w:rFonts w:eastAsia="Calibri"/>
              </w:rPr>
              <w:fldChar w:fldCharType="begin">
                <w:ffData>
                  <w:name w:val=""/>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(date).</w:t>
            </w:r>
          </w:p>
        </w:tc>
        <w:tc>
          <w:tcPr>
            <w:tcW w:w="4855" w:type="dxa"/>
          </w:tcPr>
          <w:p w14:paraId="5F46572C"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Number of collaborative partners currently active (data report will list names, their roles and attendance at meetings) </w:t>
            </w:r>
          </w:p>
        </w:tc>
      </w:tr>
      <w:tr w:rsidR="00246997" w:rsidRPr="00246997" w14:paraId="40AB6405" w14:textId="77777777" w:rsidTr="00F27BF7">
        <w:tc>
          <w:tcPr>
            <w:tcW w:w="4495" w:type="dxa"/>
          </w:tcPr>
          <w:p w14:paraId="7A5DC1FA"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Hold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 meeting(s) with collaborative partners</w:t>
            </w:r>
          </w:p>
        </w:tc>
        <w:tc>
          <w:tcPr>
            <w:tcW w:w="4855" w:type="dxa"/>
          </w:tcPr>
          <w:p w14:paraId="79E77CCB"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Number of meetings held (data report will list names, their roles and attendance at meetings)</w:t>
            </w:r>
          </w:p>
        </w:tc>
      </w:tr>
      <w:tr w:rsidR="00246997" w:rsidRPr="00246997" w14:paraId="51807F4D" w14:textId="77777777" w:rsidTr="00F27BF7">
        <w:tc>
          <w:tcPr>
            <w:tcW w:w="4495" w:type="dxa"/>
          </w:tcPr>
          <w:p w14:paraId="0A28D96E" w14:textId="42C138B7" w:rsidR="00246997" w:rsidRPr="001C33B8" w:rsidRDefault="001C33B8" w:rsidP="00246997">
            <w:pPr>
              <w:keepNext/>
              <w:keepLines/>
              <w:widowControl w:val="0"/>
              <w:jc w:val="both"/>
              <w:outlineLvl w:val="0"/>
              <w:rPr>
                <w:rFonts w:eastAsia="Calibri"/>
                <w:sz w:val="24"/>
                <w:szCs w:val="24"/>
              </w:rPr>
            </w:pPr>
            <w:r w:rsidRPr="001C33B8">
              <w:rPr>
                <w:rFonts w:eastAsia="Calibri"/>
                <w:sz w:val="24"/>
                <w:szCs w:val="24"/>
              </w:rPr>
              <w:t>If leading a coalition, m</w:t>
            </w:r>
            <w:r w:rsidR="00246997" w:rsidRPr="001C33B8">
              <w:rPr>
                <w:rFonts w:eastAsia="Calibri"/>
                <w:sz w:val="24"/>
                <w:szCs w:val="24"/>
              </w:rPr>
              <w:t xml:space="preserve">aintain an active coalition by ensuring that </w:t>
            </w:r>
            <w:r w:rsidR="00246997" w:rsidRPr="001C33B8">
              <w:rPr>
                <w:rFonts w:eastAsia="Calibri"/>
              </w:rPr>
              <w:fldChar w:fldCharType="begin">
                <w:ffData>
                  <w:name w:val="Text1"/>
                  <w:enabled/>
                  <w:calcOnExit w:val="0"/>
                  <w:textInput/>
                </w:ffData>
              </w:fldChar>
            </w:r>
            <w:r w:rsidR="00246997" w:rsidRPr="001C33B8">
              <w:rPr>
                <w:rFonts w:eastAsia="Calibri"/>
                <w:sz w:val="24"/>
                <w:szCs w:val="24"/>
              </w:rPr>
              <w:instrText xml:space="preserve"> FORMTEXT </w:instrText>
            </w:r>
            <w:r w:rsidR="00246997" w:rsidRPr="001C33B8">
              <w:rPr>
                <w:rFonts w:eastAsia="Calibri"/>
              </w:rPr>
            </w:r>
            <w:r w:rsidR="00246997" w:rsidRPr="001C33B8">
              <w:rPr>
                <w:rFonts w:eastAsia="Calibri"/>
              </w:rPr>
              <w:fldChar w:fldCharType="separate"/>
            </w:r>
            <w:r w:rsidR="00246997" w:rsidRPr="001C33B8">
              <w:rPr>
                <w:rFonts w:eastAsia="Calibri"/>
                <w:sz w:val="24"/>
                <w:szCs w:val="24"/>
              </w:rPr>
              <w:t> </w:t>
            </w:r>
            <w:r w:rsidR="00246997" w:rsidRPr="001C33B8">
              <w:rPr>
                <w:rFonts w:eastAsia="Calibri"/>
                <w:sz w:val="24"/>
                <w:szCs w:val="24"/>
              </w:rPr>
              <w:t> </w:t>
            </w:r>
            <w:r w:rsidR="00246997" w:rsidRPr="001C33B8">
              <w:rPr>
                <w:rFonts w:eastAsia="Calibri"/>
                <w:sz w:val="24"/>
                <w:szCs w:val="24"/>
              </w:rPr>
              <w:t> </w:t>
            </w:r>
            <w:r w:rsidR="00246997" w:rsidRPr="001C33B8">
              <w:rPr>
                <w:rFonts w:eastAsia="Calibri"/>
                <w:sz w:val="24"/>
                <w:szCs w:val="24"/>
              </w:rPr>
              <w:t> </w:t>
            </w:r>
            <w:r w:rsidR="00246997" w:rsidRPr="001C33B8">
              <w:rPr>
                <w:rFonts w:eastAsia="Calibri"/>
                <w:sz w:val="24"/>
                <w:szCs w:val="24"/>
              </w:rPr>
              <w:t> </w:t>
            </w:r>
            <w:r w:rsidR="00246997" w:rsidRPr="001C33B8">
              <w:rPr>
                <w:rFonts w:eastAsia="Calibri"/>
              </w:rPr>
              <w:fldChar w:fldCharType="end"/>
            </w:r>
            <w:r w:rsidR="00246997" w:rsidRPr="001C33B8">
              <w:rPr>
                <w:rFonts w:eastAsia="Calibri"/>
                <w:sz w:val="24"/>
                <w:szCs w:val="24"/>
              </w:rPr>
              <w:t xml:space="preserve"> (%) of coalition members attend at least 75% of the meetings</w:t>
            </w:r>
          </w:p>
        </w:tc>
        <w:tc>
          <w:tcPr>
            <w:tcW w:w="4855" w:type="dxa"/>
          </w:tcPr>
          <w:p w14:paraId="5C29FA9F" w14:textId="63F8200A" w:rsidR="00246997" w:rsidRPr="001C33B8" w:rsidRDefault="00246997" w:rsidP="00246997">
            <w:pPr>
              <w:keepNext/>
              <w:keepLines/>
              <w:widowControl w:val="0"/>
              <w:jc w:val="both"/>
              <w:outlineLvl w:val="0"/>
              <w:rPr>
                <w:rFonts w:eastAsia="Calibri"/>
                <w:sz w:val="24"/>
                <w:szCs w:val="24"/>
              </w:rPr>
            </w:pPr>
            <w:r w:rsidRPr="001C33B8">
              <w:rPr>
                <w:rFonts w:eastAsia="Calibri"/>
                <w:sz w:val="24"/>
                <w:szCs w:val="24"/>
              </w:rPr>
              <w:t>Percent of coalition members who attend at least 75% percent of meetings</w:t>
            </w:r>
          </w:p>
        </w:tc>
      </w:tr>
      <w:tr w:rsidR="00246997" w:rsidRPr="00246997" w14:paraId="2EB9C73A" w14:textId="77777777" w:rsidTr="00F27BF7">
        <w:tc>
          <w:tcPr>
            <w:tcW w:w="9350" w:type="dxa"/>
            <w:gridSpan w:val="2"/>
            <w:shd w:val="clear" w:color="auto" w:fill="D9D9D9" w:themeFill="background1" w:themeFillShade="D9"/>
          </w:tcPr>
          <w:p w14:paraId="49A08922" w14:textId="77777777" w:rsidR="00246997" w:rsidRPr="00246997" w:rsidRDefault="00246997" w:rsidP="00246997">
            <w:pPr>
              <w:keepNext/>
              <w:keepLines/>
              <w:widowControl w:val="0"/>
              <w:jc w:val="center"/>
              <w:outlineLvl w:val="0"/>
              <w:rPr>
                <w:rFonts w:eastAsia="Calibri"/>
                <w:sz w:val="24"/>
                <w:szCs w:val="24"/>
              </w:rPr>
            </w:pPr>
            <w:r w:rsidRPr="00246997">
              <w:rPr>
                <w:rFonts w:eastAsia="Calibri"/>
                <w:sz w:val="24"/>
                <w:szCs w:val="24"/>
              </w:rPr>
              <w:t>Staff Training (Must Be Completed)</w:t>
            </w:r>
          </w:p>
        </w:tc>
      </w:tr>
      <w:tr w:rsidR="00246997" w:rsidRPr="00246997" w14:paraId="1FBB9DD2" w14:textId="77777777" w:rsidTr="00F27BF7">
        <w:tc>
          <w:tcPr>
            <w:tcW w:w="4495" w:type="dxa"/>
          </w:tcPr>
          <w:p w14:paraId="281CC8CC"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Hire and train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 staff in trauma informed care by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(date).</w:t>
            </w:r>
          </w:p>
        </w:tc>
        <w:tc>
          <w:tcPr>
            <w:tcW w:w="4855" w:type="dxa"/>
          </w:tcPr>
          <w:p w14:paraId="735013F2"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Number of staff hired and trained by the target date</w:t>
            </w:r>
          </w:p>
          <w:p w14:paraId="621A22F3"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(list staff position, type of training and dates)</w:t>
            </w:r>
          </w:p>
        </w:tc>
      </w:tr>
      <w:tr w:rsidR="00246997" w:rsidRPr="00246997" w14:paraId="0D5DF997" w14:textId="77777777" w:rsidTr="00F27BF7">
        <w:tc>
          <w:tcPr>
            <w:tcW w:w="4495" w:type="dxa"/>
          </w:tcPr>
          <w:p w14:paraId="7BA23716"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Provide additional staff training by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(date).</w:t>
            </w:r>
          </w:p>
        </w:tc>
        <w:tc>
          <w:tcPr>
            <w:tcW w:w="4855" w:type="dxa"/>
          </w:tcPr>
          <w:p w14:paraId="192830DE" w14:textId="1EA40DB2"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Nu</w:t>
            </w:r>
            <w:r w:rsidR="002557AD">
              <w:rPr>
                <w:rFonts w:eastAsia="Calibri"/>
                <w:sz w:val="24"/>
                <w:szCs w:val="24"/>
              </w:rPr>
              <w:t>mber of staff trained by ___2020</w:t>
            </w:r>
            <w:r w:rsidRPr="00246997">
              <w:rPr>
                <w:rFonts w:eastAsia="Calibri"/>
                <w:sz w:val="24"/>
                <w:szCs w:val="24"/>
              </w:rPr>
              <w:t xml:space="preserve">. </w:t>
            </w:r>
          </w:p>
          <w:p w14:paraId="35E78173"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(list staff position, type of training and dates)</w:t>
            </w:r>
          </w:p>
        </w:tc>
      </w:tr>
      <w:tr w:rsidR="00246997" w:rsidRPr="00246997" w14:paraId="5A2D28C2" w14:textId="77777777" w:rsidTr="00F27BF7">
        <w:tc>
          <w:tcPr>
            <w:tcW w:w="9350" w:type="dxa"/>
            <w:gridSpan w:val="2"/>
            <w:shd w:val="clear" w:color="auto" w:fill="D9D9D9" w:themeFill="background1" w:themeFillShade="D9"/>
          </w:tcPr>
          <w:p w14:paraId="693CBD0A" w14:textId="77777777" w:rsidR="00246997" w:rsidRPr="00246997" w:rsidRDefault="00246997" w:rsidP="00246997">
            <w:pPr>
              <w:keepNext/>
              <w:keepLines/>
              <w:widowControl w:val="0"/>
              <w:jc w:val="center"/>
              <w:outlineLvl w:val="0"/>
              <w:rPr>
                <w:rFonts w:eastAsia="Calibri"/>
                <w:sz w:val="24"/>
                <w:szCs w:val="24"/>
              </w:rPr>
            </w:pPr>
            <w:r w:rsidRPr="00246997">
              <w:rPr>
                <w:rFonts w:eastAsia="Calibri"/>
                <w:sz w:val="24"/>
                <w:szCs w:val="24"/>
              </w:rPr>
              <w:t>Public Awareness (Must Be Completed)</w:t>
            </w:r>
          </w:p>
        </w:tc>
      </w:tr>
      <w:tr w:rsidR="00246997" w:rsidRPr="00246997" w14:paraId="0E0BE795" w14:textId="77777777" w:rsidTr="00F27BF7">
        <w:tc>
          <w:tcPr>
            <w:tcW w:w="4495" w:type="dxa"/>
          </w:tcPr>
          <w:p w14:paraId="11818B8C"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Engage in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 public awareness activities. </w:t>
            </w:r>
          </w:p>
        </w:tc>
        <w:tc>
          <w:tcPr>
            <w:tcW w:w="4855" w:type="dxa"/>
          </w:tcPr>
          <w:p w14:paraId="31D33102"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Number of public awareness activities</w:t>
            </w:r>
          </w:p>
        </w:tc>
      </w:tr>
      <w:tr w:rsidR="00246997" w:rsidRPr="00246997" w14:paraId="6F832510" w14:textId="77777777" w:rsidTr="00F27BF7">
        <w:tc>
          <w:tcPr>
            <w:tcW w:w="4495" w:type="dxa"/>
          </w:tcPr>
          <w:p w14:paraId="79BFE809"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Reach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 persons through public awareness activities</w:t>
            </w:r>
          </w:p>
        </w:tc>
        <w:tc>
          <w:tcPr>
            <w:tcW w:w="4855" w:type="dxa"/>
          </w:tcPr>
          <w:p w14:paraId="5235A837"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Number of persons reached </w:t>
            </w:r>
          </w:p>
        </w:tc>
      </w:tr>
      <w:tr w:rsidR="00246997" w:rsidRPr="00246997" w14:paraId="6D8CD8E5" w14:textId="77777777" w:rsidTr="00F27BF7">
        <w:tc>
          <w:tcPr>
            <w:tcW w:w="4495" w:type="dxa"/>
          </w:tcPr>
          <w:p w14:paraId="1531C3E9"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sz w:val="24"/>
                <w:szCs w:val="24"/>
              </w:rPr>
              <w:t> </w:t>
            </w:r>
            <w:r w:rsidRPr="00246997">
              <w:rPr>
                <w:rFonts w:eastAsia="Calibri"/>
                <w:sz w:val="24"/>
                <w:szCs w:val="24"/>
              </w:rPr>
              <w:t> </w:t>
            </w:r>
            <w:r w:rsidRPr="00246997">
              <w:rPr>
                <w:rFonts w:eastAsia="Calibri"/>
                <w:sz w:val="24"/>
                <w:szCs w:val="24"/>
              </w:rPr>
              <w:t> </w:t>
            </w:r>
            <w:r w:rsidRPr="00246997">
              <w:rPr>
                <w:rFonts w:eastAsia="Calibri"/>
                <w:sz w:val="24"/>
                <w:szCs w:val="24"/>
              </w:rPr>
              <w:t> </w:t>
            </w:r>
            <w:r w:rsidRPr="00246997">
              <w:rPr>
                <w:rFonts w:eastAsia="Calibri"/>
                <w:sz w:val="24"/>
                <w:szCs w:val="24"/>
              </w:rPr>
              <w:t> </w:t>
            </w:r>
            <w:r w:rsidRPr="00246997">
              <w:rPr>
                <w:rFonts w:eastAsia="Calibri"/>
              </w:rPr>
              <w:fldChar w:fldCharType="end"/>
            </w:r>
            <w:r w:rsidRPr="00246997">
              <w:rPr>
                <w:rFonts w:eastAsia="Calibri"/>
                <w:sz w:val="24"/>
                <w:szCs w:val="24"/>
              </w:rPr>
              <w:t xml:space="preserve"> (#) referrals received by our agency (from an external source)</w:t>
            </w:r>
          </w:p>
        </w:tc>
        <w:tc>
          <w:tcPr>
            <w:tcW w:w="4855" w:type="dxa"/>
          </w:tcPr>
          <w:p w14:paraId="3135871B"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Number of referrals received</w:t>
            </w:r>
          </w:p>
        </w:tc>
      </w:tr>
      <w:tr w:rsidR="00246997" w:rsidRPr="00246997" w14:paraId="23D0EDF2" w14:textId="77777777" w:rsidTr="00F27BF7">
        <w:tc>
          <w:tcPr>
            <w:tcW w:w="9350" w:type="dxa"/>
            <w:gridSpan w:val="2"/>
            <w:shd w:val="clear" w:color="auto" w:fill="D9D9D9" w:themeFill="background1" w:themeFillShade="D9"/>
          </w:tcPr>
          <w:p w14:paraId="4F69AAF9" w14:textId="77777777" w:rsidR="00246997" w:rsidRPr="00246997" w:rsidRDefault="00246997" w:rsidP="00246997">
            <w:pPr>
              <w:keepNext/>
              <w:keepLines/>
              <w:widowControl w:val="0"/>
              <w:jc w:val="center"/>
              <w:outlineLvl w:val="0"/>
              <w:rPr>
                <w:rFonts w:eastAsia="Calibri"/>
                <w:sz w:val="24"/>
                <w:szCs w:val="24"/>
              </w:rPr>
            </w:pPr>
            <w:r w:rsidRPr="00246997">
              <w:rPr>
                <w:rFonts w:eastAsia="Calibri"/>
                <w:sz w:val="24"/>
                <w:szCs w:val="24"/>
              </w:rPr>
              <w:t>Direct Services - Unduplicated (Must Be Completed)</w:t>
            </w:r>
          </w:p>
        </w:tc>
      </w:tr>
      <w:tr w:rsidR="00246997" w:rsidRPr="00246997" w14:paraId="2F0932D9" w14:textId="77777777" w:rsidTr="00F27BF7">
        <w:trPr>
          <w:trHeight w:val="602"/>
        </w:trPr>
        <w:tc>
          <w:tcPr>
            <w:tcW w:w="4495" w:type="dxa"/>
          </w:tcPr>
          <w:p w14:paraId="4E4A4F03" w14:textId="224CC440"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Reach </w:t>
            </w:r>
            <w:r w:rsidRPr="00246997">
              <w:rPr>
                <w:rFonts w:eastAsia="Calibri"/>
              </w:rPr>
              <w:fldChar w:fldCharType="begin">
                <w:ffData>
                  <w:name w:val="Text1"/>
                  <w:enabled/>
                  <w:calcOnExit w:val="0"/>
                  <w:textInput/>
                </w:ffData>
              </w:fldChar>
            </w:r>
            <w:r w:rsidRPr="00246997">
              <w:rPr>
                <w:rFonts w:eastAsia="Calibri"/>
                <w:sz w:val="24"/>
                <w:szCs w:val="24"/>
              </w:rPr>
              <w:instrText xml:space="preserve"> FORMTEXT </w:instrText>
            </w:r>
            <w:r w:rsidRPr="00246997">
              <w:rPr>
                <w:rFonts w:eastAsia="Calibri"/>
              </w:rPr>
            </w:r>
            <w:r w:rsidRPr="00246997">
              <w:rPr>
                <w:rFonts w:eastAsia="Calibri"/>
              </w:rPr>
              <w:fldChar w:fldCharType="separate"/>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noProof/>
                <w:sz w:val="24"/>
                <w:szCs w:val="24"/>
              </w:rPr>
              <w:t> </w:t>
            </w:r>
            <w:r w:rsidRPr="00246997">
              <w:rPr>
                <w:rFonts w:eastAsia="Calibri"/>
              </w:rPr>
              <w:fldChar w:fldCharType="end"/>
            </w:r>
            <w:r w:rsidRPr="00246997">
              <w:rPr>
                <w:rFonts w:eastAsia="Calibri"/>
                <w:sz w:val="24"/>
                <w:szCs w:val="24"/>
              </w:rPr>
              <w:t xml:space="preserve"> (#) of unduplicated persons </w:t>
            </w:r>
            <w:r w:rsidR="00F27BF7">
              <w:rPr>
                <w:rFonts w:eastAsia="Calibri"/>
                <w:sz w:val="24"/>
                <w:szCs w:val="24"/>
              </w:rPr>
              <w:t>through street intervention</w:t>
            </w:r>
          </w:p>
        </w:tc>
        <w:tc>
          <w:tcPr>
            <w:tcW w:w="4855" w:type="dxa"/>
          </w:tcPr>
          <w:p w14:paraId="13C6070D" w14:textId="77777777" w:rsidR="00246997" w:rsidRPr="00246997" w:rsidRDefault="00246997" w:rsidP="00246997">
            <w:pPr>
              <w:keepNext/>
              <w:keepLines/>
              <w:widowControl w:val="0"/>
              <w:jc w:val="both"/>
              <w:outlineLvl w:val="0"/>
              <w:rPr>
                <w:rFonts w:eastAsia="Calibri"/>
                <w:sz w:val="24"/>
                <w:szCs w:val="24"/>
              </w:rPr>
            </w:pPr>
            <w:r w:rsidRPr="00246997">
              <w:rPr>
                <w:rFonts w:eastAsia="Calibri"/>
                <w:sz w:val="24"/>
                <w:szCs w:val="24"/>
              </w:rPr>
              <w:t xml:space="preserve"># Persons reached </w:t>
            </w:r>
          </w:p>
        </w:tc>
      </w:tr>
      <w:tr w:rsidR="00F27BF7" w:rsidRPr="00246997" w14:paraId="64B3D038" w14:textId="77777777" w:rsidTr="00F27BF7">
        <w:trPr>
          <w:trHeight w:val="602"/>
        </w:trPr>
        <w:tc>
          <w:tcPr>
            <w:tcW w:w="4495" w:type="dxa"/>
          </w:tcPr>
          <w:p w14:paraId="4599489D" w14:textId="088D87D7" w:rsidR="00F27BF7" w:rsidRPr="00246997" w:rsidRDefault="00F27BF7" w:rsidP="00246997">
            <w:pPr>
              <w:keepNext/>
              <w:keepLines/>
              <w:widowControl w:val="0"/>
              <w:jc w:val="both"/>
              <w:outlineLvl w:val="0"/>
              <w:rPr>
                <w:rFonts w:eastAsia="Calibri"/>
              </w:rPr>
            </w:pPr>
            <w:r w:rsidRPr="00246997">
              <w:rPr>
                <w:sz w:val="24"/>
                <w:szCs w:val="24"/>
              </w:rPr>
              <w:t xml:space="preserve">Reach </w:t>
            </w:r>
            <w:r w:rsidRPr="00246997">
              <w:rPr>
                <w:b/>
              </w:rPr>
              <w:fldChar w:fldCharType="begin">
                <w:ffData>
                  <w:name w:val="Text1"/>
                  <w:enabled/>
                  <w:calcOnExit w:val="0"/>
                  <w:textInput/>
                </w:ffData>
              </w:fldChar>
            </w:r>
            <w:r w:rsidRPr="00246997">
              <w:rPr>
                <w:sz w:val="24"/>
                <w:szCs w:val="24"/>
              </w:rPr>
              <w:instrText xml:space="preserve"> FORMTEXT </w:instrText>
            </w:r>
            <w:r w:rsidRPr="00246997">
              <w:rPr>
                <w:b/>
              </w:rPr>
            </w:r>
            <w:r w:rsidRPr="00246997">
              <w:rPr>
                <w:b/>
              </w:rPr>
              <w:fldChar w:fldCharType="separate"/>
            </w:r>
            <w:r w:rsidRPr="00246997">
              <w:rPr>
                <w:noProof/>
                <w:sz w:val="24"/>
                <w:szCs w:val="24"/>
              </w:rPr>
              <w:t> </w:t>
            </w:r>
            <w:r w:rsidRPr="00246997">
              <w:rPr>
                <w:noProof/>
                <w:sz w:val="24"/>
                <w:szCs w:val="24"/>
              </w:rPr>
              <w:t> </w:t>
            </w:r>
            <w:r w:rsidRPr="00246997">
              <w:rPr>
                <w:noProof/>
                <w:sz w:val="24"/>
                <w:szCs w:val="24"/>
              </w:rPr>
              <w:t> </w:t>
            </w:r>
            <w:r w:rsidRPr="00246997">
              <w:rPr>
                <w:noProof/>
                <w:sz w:val="24"/>
                <w:szCs w:val="24"/>
              </w:rPr>
              <w:t> </w:t>
            </w:r>
            <w:r w:rsidRPr="00246997">
              <w:rPr>
                <w:noProof/>
                <w:sz w:val="24"/>
                <w:szCs w:val="24"/>
              </w:rPr>
              <w:t> </w:t>
            </w:r>
            <w:r w:rsidRPr="00246997">
              <w:rPr>
                <w:b/>
              </w:rPr>
              <w:fldChar w:fldCharType="end"/>
            </w:r>
            <w:r w:rsidRPr="00246997">
              <w:rPr>
                <w:sz w:val="24"/>
                <w:szCs w:val="24"/>
              </w:rPr>
              <w:t xml:space="preserve"> (#) persons through street intervention/</w:t>
            </w:r>
            <w:r>
              <w:rPr>
                <w:sz w:val="24"/>
                <w:szCs w:val="24"/>
              </w:rPr>
              <w:t>case management</w:t>
            </w:r>
          </w:p>
        </w:tc>
        <w:tc>
          <w:tcPr>
            <w:tcW w:w="4855" w:type="dxa"/>
          </w:tcPr>
          <w:p w14:paraId="248385E1" w14:textId="37F26D99" w:rsidR="00F27BF7" w:rsidRPr="00246997" w:rsidRDefault="00F27BF7" w:rsidP="00246997">
            <w:pPr>
              <w:keepNext/>
              <w:keepLines/>
              <w:widowControl w:val="0"/>
              <w:jc w:val="both"/>
              <w:outlineLvl w:val="0"/>
              <w:rPr>
                <w:rFonts w:eastAsia="Calibri"/>
              </w:rPr>
            </w:pPr>
            <w:r w:rsidRPr="00246997">
              <w:rPr>
                <w:sz w:val="24"/>
                <w:szCs w:val="24"/>
              </w:rPr>
              <w:t># Persons reached</w:t>
            </w:r>
          </w:p>
        </w:tc>
      </w:tr>
    </w:tbl>
    <w:p w14:paraId="6B1C9007" w14:textId="7EA0B1F1" w:rsidR="00F501B0" w:rsidRDefault="00F501B0" w:rsidP="00630E41">
      <w:pPr>
        <w:ind w:left="360"/>
      </w:pPr>
    </w:p>
    <w:p w14:paraId="03868432" w14:textId="39827906" w:rsidR="00A519BE" w:rsidRDefault="00A519BE" w:rsidP="00BA51F0">
      <w:pPr>
        <w:ind w:left="360"/>
      </w:pPr>
    </w:p>
    <w:p w14:paraId="18D09441" w14:textId="7C24FFEE" w:rsidR="008C6B7D" w:rsidRDefault="008C6B7D" w:rsidP="00E449BC">
      <w:pPr>
        <w:ind w:left="0"/>
        <w:rPr>
          <w:b/>
          <w:sz w:val="28"/>
          <w:szCs w:val="28"/>
        </w:rPr>
      </w:pPr>
      <w:r>
        <w:rPr>
          <w:b/>
          <w:sz w:val="28"/>
          <w:szCs w:val="28"/>
        </w:rPr>
        <w:t xml:space="preserve">B. </w:t>
      </w:r>
      <w:r w:rsidRPr="008C6B7D">
        <w:rPr>
          <w:b/>
          <w:sz w:val="28"/>
          <w:szCs w:val="28"/>
        </w:rPr>
        <w:t>Funding Information</w:t>
      </w:r>
    </w:p>
    <w:p w14:paraId="35398D92" w14:textId="03F5FEC7" w:rsidR="00245C12" w:rsidRDefault="00245C12" w:rsidP="00E449BC">
      <w:pPr>
        <w:ind w:left="0"/>
        <w:rPr>
          <w:color w:val="2F5496" w:themeColor="accent5" w:themeShade="BF"/>
        </w:rPr>
      </w:pPr>
    </w:p>
    <w:p w14:paraId="229CF8B6" w14:textId="4DCE46F7" w:rsidR="00D87850" w:rsidRPr="005C53E5" w:rsidRDefault="00D87850" w:rsidP="00D87850">
      <w:pPr>
        <w:tabs>
          <w:tab w:val="left" w:pos="360"/>
          <w:tab w:val="left" w:pos="540"/>
        </w:tabs>
        <w:ind w:left="0"/>
      </w:pPr>
      <w:r w:rsidRPr="005C53E5">
        <w:t xml:space="preserve">State </w:t>
      </w:r>
      <w:r w:rsidR="008E300F">
        <w:t>fiscal year 2020</w:t>
      </w:r>
      <w:r w:rsidRPr="005C53E5">
        <w:t xml:space="preserve"> Violence Prevention </w:t>
      </w:r>
      <w:r w:rsidR="008E300F">
        <w:t xml:space="preserve">and Street Intervention </w:t>
      </w:r>
      <w:r w:rsidRPr="005C53E5">
        <w:t xml:space="preserve">funds awarded by </w:t>
      </w:r>
      <w:r>
        <w:t>ICJIA</w:t>
      </w:r>
      <w:r w:rsidRPr="005C53E5">
        <w:t xml:space="preserve"> will be used to support programs accepted through this </w:t>
      </w:r>
      <w:r>
        <w:t>f</w:t>
      </w:r>
      <w:r w:rsidRPr="005C53E5">
        <w:t xml:space="preserve">unding </w:t>
      </w:r>
      <w:r>
        <w:t>o</w:t>
      </w:r>
      <w:r w:rsidRPr="005C53E5">
        <w:t xml:space="preserve">pportunity. </w:t>
      </w:r>
    </w:p>
    <w:p w14:paraId="7EB7C3DF" w14:textId="77777777" w:rsidR="00D87850" w:rsidRPr="005C53E5" w:rsidRDefault="00D87850" w:rsidP="00D87850">
      <w:pPr>
        <w:tabs>
          <w:tab w:val="left" w:pos="360"/>
          <w:tab w:val="left" w:pos="540"/>
        </w:tabs>
        <w:ind w:left="0"/>
      </w:pPr>
    </w:p>
    <w:p w14:paraId="3FF66A9F" w14:textId="2E9A928C" w:rsidR="00630E41" w:rsidRPr="00245C12" w:rsidRDefault="00245C12" w:rsidP="00E449BC">
      <w:pPr>
        <w:ind w:left="360"/>
        <w:rPr>
          <w:b/>
          <w:i/>
          <w:iCs/>
        </w:rPr>
      </w:pPr>
      <w:r>
        <w:rPr>
          <w:b/>
          <w:i/>
          <w:iCs/>
        </w:rPr>
        <w:t xml:space="preserve">1. </w:t>
      </w:r>
      <w:r w:rsidR="00630E41" w:rsidRPr="00245C12">
        <w:rPr>
          <w:b/>
          <w:i/>
          <w:iCs/>
        </w:rPr>
        <w:t>Award period</w:t>
      </w:r>
    </w:p>
    <w:p w14:paraId="401470EE" w14:textId="77777777" w:rsidR="00E3439F" w:rsidRPr="001006F6" w:rsidRDefault="00E3439F" w:rsidP="00E449BC">
      <w:pPr>
        <w:pStyle w:val="ListParagraph"/>
        <w:ind w:left="360"/>
        <w:rPr>
          <w:b/>
          <w:i/>
          <w:iCs/>
        </w:rPr>
      </w:pPr>
    </w:p>
    <w:p w14:paraId="3F2737A6" w14:textId="5BD08CA0" w:rsidR="00245C12" w:rsidRDefault="00630E41" w:rsidP="00E449BC">
      <w:pPr>
        <w:pStyle w:val="ListParagraph"/>
        <w:ind w:left="360"/>
      </w:pPr>
      <w:r>
        <w:lastRenderedPageBreak/>
        <w:t xml:space="preserve">Grant awards resulting from this opportunity will have a target </w:t>
      </w:r>
      <w:r w:rsidRPr="00DB67B1">
        <w:t xml:space="preserve">period of </w:t>
      </w:r>
      <w:r>
        <w:t xml:space="preserve">performance of </w:t>
      </w:r>
      <w:r w:rsidR="003D0358" w:rsidRPr="00D45F39">
        <w:rPr>
          <w:color w:val="auto"/>
        </w:rPr>
        <w:t>September 1,</w:t>
      </w:r>
      <w:r w:rsidR="00347AC2">
        <w:rPr>
          <w:color w:val="auto"/>
        </w:rPr>
        <w:t xml:space="preserve"> </w:t>
      </w:r>
      <w:r w:rsidR="003D0358" w:rsidRPr="00D45F39">
        <w:rPr>
          <w:color w:val="auto"/>
        </w:rPr>
        <w:t>2019</w:t>
      </w:r>
      <w:r w:rsidR="00AC5D7A">
        <w:rPr>
          <w:color w:val="auto"/>
        </w:rPr>
        <w:t>,</w:t>
      </w:r>
      <w:r w:rsidRPr="00D45F39">
        <w:rPr>
          <w:color w:val="auto"/>
        </w:rPr>
        <w:t xml:space="preserve"> to </w:t>
      </w:r>
      <w:r w:rsidR="003D0358" w:rsidRPr="00D45F39">
        <w:rPr>
          <w:color w:val="auto"/>
        </w:rPr>
        <w:t>June 30, 2020</w:t>
      </w:r>
      <w:r w:rsidRPr="00D45F39">
        <w:rPr>
          <w:color w:val="auto"/>
        </w:rPr>
        <w:t xml:space="preserve">. </w:t>
      </w:r>
      <w:r w:rsidR="00686F56">
        <w:rPr>
          <w:color w:val="auto"/>
        </w:rPr>
        <w:t xml:space="preserve">It is </w:t>
      </w:r>
      <w:r w:rsidR="00686F56" w:rsidRPr="004517AB">
        <w:rPr>
          <w:color w:val="auto"/>
        </w:rPr>
        <w:t>not</w:t>
      </w:r>
      <w:r w:rsidR="00686F56">
        <w:rPr>
          <w:color w:val="auto"/>
        </w:rPr>
        <w:t xml:space="preserve"> anticipated that these funds will be available beyond June 30, 2020.</w:t>
      </w:r>
    </w:p>
    <w:p w14:paraId="2A5EF420" w14:textId="77777777" w:rsidR="00245C12" w:rsidRDefault="00245C12" w:rsidP="00E449BC">
      <w:pPr>
        <w:pStyle w:val="ListParagraph"/>
        <w:ind w:left="0"/>
      </w:pPr>
    </w:p>
    <w:p w14:paraId="417BBEBB" w14:textId="2AE83C53" w:rsidR="00630E41" w:rsidRPr="00245C12" w:rsidRDefault="00245C12" w:rsidP="00E449BC">
      <w:pPr>
        <w:pStyle w:val="ListParagraph"/>
        <w:ind w:left="360"/>
        <w:rPr>
          <w:b/>
          <w:i/>
          <w:iCs/>
        </w:rPr>
      </w:pPr>
      <w:r>
        <w:rPr>
          <w:b/>
          <w:i/>
          <w:iCs/>
        </w:rPr>
        <w:t xml:space="preserve">2. </w:t>
      </w:r>
      <w:r w:rsidR="00630E41" w:rsidRPr="00245C12">
        <w:rPr>
          <w:b/>
          <w:i/>
          <w:iCs/>
        </w:rPr>
        <w:t>Available Funds</w:t>
      </w:r>
    </w:p>
    <w:p w14:paraId="6222B2D5" w14:textId="77777777" w:rsidR="00630E41" w:rsidRDefault="00630E41" w:rsidP="00E449BC">
      <w:pPr>
        <w:pStyle w:val="ListParagraph"/>
        <w:ind w:left="0"/>
      </w:pPr>
    </w:p>
    <w:p w14:paraId="58CF5D83" w14:textId="7F1096E0" w:rsidR="001E539D" w:rsidRDefault="00630E41" w:rsidP="00790368">
      <w:pPr>
        <w:ind w:left="360"/>
      </w:pPr>
      <w:r w:rsidRPr="002D62E4">
        <w:t xml:space="preserve">A </w:t>
      </w:r>
      <w:r w:rsidR="00347AC2" w:rsidRPr="002D62E4">
        <w:t>maximum</w:t>
      </w:r>
      <w:r w:rsidRPr="002D62E4">
        <w:t xml:space="preserve"> </w:t>
      </w:r>
      <w:r w:rsidRPr="002D62E4">
        <w:rPr>
          <w:color w:val="auto"/>
        </w:rPr>
        <w:t xml:space="preserve">of </w:t>
      </w:r>
      <w:r w:rsidR="00371267" w:rsidRPr="002D62E4">
        <w:rPr>
          <w:color w:val="auto"/>
        </w:rPr>
        <w:t>$2</w:t>
      </w:r>
      <w:r w:rsidR="00AC5D7A" w:rsidRPr="002D62E4">
        <w:rPr>
          <w:color w:val="auto"/>
        </w:rPr>
        <w:t>.25 million</w:t>
      </w:r>
      <w:r w:rsidRPr="002D62E4">
        <w:rPr>
          <w:color w:val="auto"/>
        </w:rPr>
        <w:t xml:space="preserve"> </w:t>
      </w:r>
      <w:r w:rsidRPr="002D62E4">
        <w:t>in funding is available through this solicitatio</w:t>
      </w:r>
      <w:r w:rsidR="00A5539B" w:rsidRPr="002D62E4">
        <w:t>n.</w:t>
      </w:r>
      <w:r w:rsidR="00A5539B">
        <w:t xml:space="preserve"> </w:t>
      </w:r>
    </w:p>
    <w:p w14:paraId="000F05D5" w14:textId="77777777" w:rsidR="001E539D" w:rsidRDefault="001E539D" w:rsidP="00790368">
      <w:pPr>
        <w:ind w:left="360"/>
      </w:pPr>
    </w:p>
    <w:p w14:paraId="1B55A1B5" w14:textId="20206BAA" w:rsidR="009E775F" w:rsidRDefault="00347AC2" w:rsidP="00790368">
      <w:pPr>
        <w:pStyle w:val="ListParagraph"/>
        <w:ind w:left="360"/>
      </w:pPr>
      <w:r>
        <w:t>An a</w:t>
      </w:r>
      <w:r w:rsidR="00D45F39">
        <w:t>greement</w:t>
      </w:r>
      <w:r w:rsidR="004A4DFD" w:rsidRPr="004A4DFD">
        <w:t xml:space="preserve"> that result</w:t>
      </w:r>
      <w:r>
        <w:t>s</w:t>
      </w:r>
      <w:r w:rsidR="004A4DFD" w:rsidRPr="004A4DFD">
        <w:t xml:space="preserve"> from this funding opportunity are contingent upon and subject to the availability of funds of sufficient funds. ICJIA, may terminate or suspend this agreement, in whole or in part, without penalty or further payment being required, if (i) sufficient funds for the agreement have not been appropriated or otherwise made available to the grantor by the state funding source, (ii) the governor or grantor reserves funds, or (iii) the governor or ICJIA determines that funds will not or may not be available for payment. ICJIA will provide notice, in writing, to the grantee of any such funding failure and its election to terminate or suspend the agreement as soon as practicable. Any suspension or termination pursuant to this Section will be effective upon the date of the written notice unless otherwise indicated.</w:t>
      </w:r>
    </w:p>
    <w:p w14:paraId="5AB5DB51" w14:textId="77777777" w:rsidR="004A4DFD" w:rsidRDefault="004A4DFD" w:rsidP="00790368">
      <w:pPr>
        <w:pStyle w:val="ListParagraph"/>
        <w:ind w:left="360"/>
      </w:pPr>
    </w:p>
    <w:p w14:paraId="1A765A9A" w14:textId="5553E9B7" w:rsidR="00630E41" w:rsidRDefault="00630E41" w:rsidP="00790368">
      <w:pPr>
        <w:pStyle w:val="ListParagraph"/>
        <w:ind w:left="360"/>
      </w:pPr>
      <w:r w:rsidRPr="005807A4">
        <w:t>Applicati</w:t>
      </w:r>
      <w:r w:rsidR="00D45F39">
        <w:t>on</w:t>
      </w:r>
      <w:r>
        <w:t xml:space="preserve"> must include </w:t>
      </w:r>
      <w:r w:rsidRPr="005807A4">
        <w:t>an Implementation Schedule that describes how the program activities will be carried out. Th</w:t>
      </w:r>
      <w:r>
        <w:t>e</w:t>
      </w:r>
      <w:r w:rsidRPr="005807A4">
        <w:t xml:space="preserve"> Implementation S</w:t>
      </w:r>
      <w:r>
        <w:t>c</w:t>
      </w:r>
      <w:r w:rsidRPr="005807A4">
        <w:t xml:space="preserve">hedule </w:t>
      </w:r>
      <w:r>
        <w:t>must</w:t>
      </w:r>
      <w:r w:rsidRPr="005807A4">
        <w:t xml:space="preserve"> include</w:t>
      </w:r>
      <w:r>
        <w:t xml:space="preserve"> information that will allow ICJIA</w:t>
      </w:r>
      <w:r w:rsidRPr="005807A4">
        <w:t xml:space="preserve"> to assess grant activity relative to planned project performance.</w:t>
      </w:r>
      <w:r>
        <w:t xml:space="preserve"> </w:t>
      </w:r>
    </w:p>
    <w:p w14:paraId="0115755C" w14:textId="77777777" w:rsidR="00630E41" w:rsidRDefault="00630E41" w:rsidP="00E449BC">
      <w:pPr>
        <w:ind w:left="0"/>
      </w:pPr>
    </w:p>
    <w:p w14:paraId="745945AA" w14:textId="2B5BADF4" w:rsidR="008C6B7D" w:rsidRDefault="008C6B7D" w:rsidP="00E449BC">
      <w:pPr>
        <w:autoSpaceDE w:val="0"/>
        <w:autoSpaceDN w:val="0"/>
        <w:adjustRightInd w:val="0"/>
        <w:ind w:left="0"/>
        <w:rPr>
          <w:b/>
          <w:sz w:val="28"/>
          <w:szCs w:val="28"/>
        </w:rPr>
      </w:pPr>
      <w:r w:rsidRPr="008C6B7D">
        <w:rPr>
          <w:b/>
          <w:sz w:val="28"/>
          <w:szCs w:val="28"/>
        </w:rPr>
        <w:t>C. Eligibility Information</w:t>
      </w:r>
    </w:p>
    <w:p w14:paraId="772D20C9" w14:textId="77777777" w:rsidR="008C6B7D" w:rsidRPr="008C6B7D" w:rsidRDefault="008C6B7D" w:rsidP="00E449BC">
      <w:pPr>
        <w:autoSpaceDE w:val="0"/>
        <w:autoSpaceDN w:val="0"/>
        <w:adjustRightInd w:val="0"/>
        <w:ind w:left="0"/>
        <w:rPr>
          <w:b/>
          <w:sz w:val="28"/>
          <w:szCs w:val="28"/>
        </w:rPr>
      </w:pPr>
    </w:p>
    <w:p w14:paraId="2D37299B" w14:textId="5CBBBA99" w:rsidR="004D4FB8" w:rsidRDefault="008C6B7D" w:rsidP="00E449BC">
      <w:pPr>
        <w:autoSpaceDE w:val="0"/>
        <w:autoSpaceDN w:val="0"/>
        <w:adjustRightInd w:val="0"/>
        <w:ind w:left="0"/>
      </w:pPr>
      <w:bookmarkStart w:id="1" w:name="_Hlk534484988"/>
      <w:r>
        <w:t xml:space="preserve">An entity may not apply for a grant until the entity has registered and pre-qualified through the Grant Accountability and Transparency Act (GATA) Grantee Portal, </w:t>
      </w:r>
      <w:hyperlink r:id="rId9" w:history="1">
        <w:r w:rsidRPr="00231498">
          <w:rPr>
            <w:rStyle w:val="Hyperlink"/>
          </w:rPr>
          <w:t>www.grants.illinois.gov/portal</w:t>
        </w:r>
      </w:hyperlink>
      <w:r>
        <w:t xml:space="preserve">. Registration and pre-qualification are required </w:t>
      </w:r>
      <w:r w:rsidR="009C1C06">
        <w:t xml:space="preserve">each </w:t>
      </w:r>
      <w:r w:rsidR="004A4DFD">
        <w:t>state fiscal year</w:t>
      </w:r>
      <w:r>
        <w:t xml:space="preserve">. During pre-qualification, verifications are performed including a check of federal SAM.gov Exclusion List and status on the Illinois Stop Payment List. The Grantee Portal alerts the entity </w:t>
      </w:r>
      <w:r w:rsidR="004D4FB8">
        <w:t xml:space="preserve">of </w:t>
      </w:r>
      <w:r>
        <w:t>“qualified” status or informs how to remediate a negative verification (e.g., inactive DUNS, not in good standing with the Secretary of State). Inclusion on the SAM.gov Exclusion List cannot be remediated.</w:t>
      </w:r>
    </w:p>
    <w:p w14:paraId="1D94F7C8" w14:textId="76617B99" w:rsidR="002977C6" w:rsidRDefault="002977C6" w:rsidP="00E449BC">
      <w:pPr>
        <w:autoSpaceDE w:val="0"/>
        <w:autoSpaceDN w:val="0"/>
        <w:adjustRightInd w:val="0"/>
        <w:ind w:left="0"/>
      </w:pPr>
    </w:p>
    <w:p w14:paraId="14CF972B" w14:textId="54A06114" w:rsidR="002977C6" w:rsidRPr="00686F56" w:rsidRDefault="002977C6" w:rsidP="00E449BC">
      <w:pPr>
        <w:autoSpaceDE w:val="0"/>
        <w:autoSpaceDN w:val="0"/>
        <w:adjustRightInd w:val="0"/>
        <w:ind w:left="0"/>
        <w:rPr>
          <w:color w:val="auto"/>
        </w:rPr>
      </w:pPr>
      <w:r w:rsidRPr="00686F56">
        <w:rPr>
          <w:color w:val="auto"/>
        </w:rPr>
        <w:t xml:space="preserve">Applicants are also required to submit a financial and administrative risk assessment utilizing an Internal Controls Questionnaire (ICQ) for </w:t>
      </w:r>
      <w:r w:rsidR="007E45C3" w:rsidRPr="00686F56">
        <w:rPr>
          <w:color w:val="auto"/>
        </w:rPr>
        <w:t>S</w:t>
      </w:r>
      <w:r w:rsidR="004A4DFD" w:rsidRPr="00686F56">
        <w:rPr>
          <w:color w:val="auto"/>
        </w:rPr>
        <w:t xml:space="preserve">tate </w:t>
      </w:r>
      <w:r w:rsidR="007E45C3" w:rsidRPr="00686F56">
        <w:rPr>
          <w:color w:val="auto"/>
        </w:rPr>
        <w:t>F</w:t>
      </w:r>
      <w:r w:rsidR="004A4DFD" w:rsidRPr="00686F56">
        <w:rPr>
          <w:color w:val="auto"/>
        </w:rPr>
        <w:t xml:space="preserve">iscal </w:t>
      </w:r>
      <w:r w:rsidR="007E45C3" w:rsidRPr="00686F56">
        <w:rPr>
          <w:color w:val="auto"/>
        </w:rPr>
        <w:t>Y</w:t>
      </w:r>
      <w:r w:rsidR="004A4DFD" w:rsidRPr="00686F56">
        <w:rPr>
          <w:color w:val="auto"/>
        </w:rPr>
        <w:t>ear</w:t>
      </w:r>
      <w:r w:rsidR="008706E9" w:rsidRPr="00686F56">
        <w:rPr>
          <w:color w:val="auto"/>
        </w:rPr>
        <w:t xml:space="preserve"> </w:t>
      </w:r>
      <w:r w:rsidR="007E45C3" w:rsidRPr="00686F56">
        <w:rPr>
          <w:color w:val="auto"/>
        </w:rPr>
        <w:t xml:space="preserve">2020 </w:t>
      </w:r>
      <w:r w:rsidRPr="00686F56">
        <w:rPr>
          <w:color w:val="auto"/>
        </w:rPr>
        <w:t>and obtain approval from their cognizant agencies before execution of the grant agreement. Delay in obtaining SFY</w:t>
      </w:r>
      <w:r w:rsidR="007E45C3" w:rsidRPr="00686F56">
        <w:rPr>
          <w:color w:val="auto"/>
        </w:rPr>
        <w:t>20</w:t>
      </w:r>
      <w:r w:rsidRPr="00686F56">
        <w:rPr>
          <w:color w:val="auto"/>
        </w:rPr>
        <w:t xml:space="preserve"> ICQ approval will result in a delay in grant execution.</w:t>
      </w:r>
    </w:p>
    <w:bookmarkEnd w:id="1"/>
    <w:p w14:paraId="7419FF16" w14:textId="77777777" w:rsidR="004D4FB8" w:rsidRDefault="004D4FB8" w:rsidP="00E449BC">
      <w:pPr>
        <w:autoSpaceDE w:val="0"/>
        <w:autoSpaceDN w:val="0"/>
        <w:adjustRightInd w:val="0"/>
        <w:ind w:left="0"/>
      </w:pPr>
    </w:p>
    <w:p w14:paraId="48564B4C" w14:textId="068C473D" w:rsidR="004D4FB8" w:rsidRDefault="008C6B7D" w:rsidP="00E449BC">
      <w:pPr>
        <w:autoSpaceDE w:val="0"/>
        <w:autoSpaceDN w:val="0"/>
        <w:adjustRightInd w:val="0"/>
        <w:ind w:left="360"/>
        <w:rPr>
          <w:color w:val="2F5496" w:themeColor="accent5" w:themeShade="BF"/>
        </w:rPr>
      </w:pPr>
      <w:bookmarkStart w:id="2" w:name="_Hlk13217946"/>
      <w:r w:rsidRPr="002118AF">
        <w:rPr>
          <w:b/>
          <w:i/>
        </w:rPr>
        <w:t>1.</w:t>
      </w:r>
      <w:r w:rsidRPr="008706E9">
        <w:rPr>
          <w:b/>
          <w:i/>
        </w:rPr>
        <w:t xml:space="preserve"> Eligible Applicants</w:t>
      </w:r>
      <w:r w:rsidRPr="006C7F3F">
        <w:rPr>
          <w:color w:val="2F5496" w:themeColor="accent5" w:themeShade="BF"/>
        </w:rPr>
        <w:t xml:space="preserve"> </w:t>
      </w:r>
    </w:p>
    <w:p w14:paraId="4E959AC5" w14:textId="523FC064" w:rsidR="003538D3" w:rsidRPr="00AA7C90" w:rsidRDefault="003538D3" w:rsidP="00E449BC">
      <w:pPr>
        <w:autoSpaceDE w:val="0"/>
        <w:autoSpaceDN w:val="0"/>
        <w:adjustRightInd w:val="0"/>
        <w:ind w:left="360"/>
        <w:rPr>
          <w:color w:val="2F5496" w:themeColor="accent5" w:themeShade="BF"/>
        </w:rPr>
      </w:pPr>
    </w:p>
    <w:p w14:paraId="524C5EA2" w14:textId="61D47324" w:rsidR="00AA7C90" w:rsidRDefault="00AA7C90" w:rsidP="00AA7C90">
      <w:pPr>
        <w:autoSpaceDE w:val="0"/>
        <w:autoSpaceDN w:val="0"/>
        <w:adjustRightInd w:val="0"/>
        <w:ind w:left="360"/>
        <w:rPr>
          <w:color w:val="auto"/>
        </w:rPr>
      </w:pPr>
      <w:r w:rsidRPr="00AA7C90">
        <w:rPr>
          <w:color w:val="auto"/>
        </w:rPr>
        <w:t xml:space="preserve">This solicitation is open only to not-for-profit organizations that currently utilize State of Illinois violence prevention funds to </w:t>
      </w:r>
      <w:r>
        <w:rPr>
          <w:color w:val="auto"/>
        </w:rPr>
        <w:t xml:space="preserve">do </w:t>
      </w:r>
      <w:r w:rsidR="005B4099" w:rsidRPr="005B4099">
        <w:rPr>
          <w:b/>
          <w:color w:val="auto"/>
        </w:rPr>
        <w:t>all</w:t>
      </w:r>
      <w:r w:rsidR="005B4099">
        <w:rPr>
          <w:color w:val="auto"/>
        </w:rPr>
        <w:t xml:space="preserve"> </w:t>
      </w:r>
      <w:r>
        <w:rPr>
          <w:color w:val="auto"/>
        </w:rPr>
        <w:t>of the following:</w:t>
      </w:r>
    </w:p>
    <w:p w14:paraId="7AC70643" w14:textId="77777777" w:rsidR="0073535E" w:rsidRDefault="0073535E" w:rsidP="0073535E">
      <w:pPr>
        <w:pStyle w:val="ListParagraph"/>
        <w:numPr>
          <w:ilvl w:val="0"/>
          <w:numId w:val="37"/>
        </w:numPr>
        <w:autoSpaceDE w:val="0"/>
        <w:autoSpaceDN w:val="0"/>
        <w:adjustRightInd w:val="0"/>
        <w:rPr>
          <w:color w:val="auto"/>
        </w:rPr>
      </w:pPr>
      <w:r>
        <w:rPr>
          <w:color w:val="auto"/>
        </w:rPr>
        <w:t>Se</w:t>
      </w:r>
      <w:r w:rsidR="00AA7C90" w:rsidRPr="0073535E">
        <w:rPr>
          <w:color w:val="auto"/>
        </w:rPr>
        <w:t>t program requirements</w:t>
      </w:r>
      <w:r>
        <w:rPr>
          <w:color w:val="auto"/>
        </w:rPr>
        <w:t>;</w:t>
      </w:r>
    </w:p>
    <w:p w14:paraId="697448AD" w14:textId="7171C9A2" w:rsidR="0073535E" w:rsidRDefault="0073535E" w:rsidP="0073535E">
      <w:pPr>
        <w:pStyle w:val="ListParagraph"/>
        <w:numPr>
          <w:ilvl w:val="0"/>
          <w:numId w:val="37"/>
        </w:numPr>
        <w:autoSpaceDE w:val="0"/>
        <w:autoSpaceDN w:val="0"/>
        <w:adjustRightInd w:val="0"/>
        <w:rPr>
          <w:color w:val="auto"/>
        </w:rPr>
      </w:pPr>
      <w:r>
        <w:rPr>
          <w:color w:val="auto"/>
        </w:rPr>
        <w:t>M</w:t>
      </w:r>
      <w:r w:rsidR="00AA7C90" w:rsidRPr="0073535E">
        <w:rPr>
          <w:color w:val="auto"/>
        </w:rPr>
        <w:t>onitor the compliance of sub-recipients</w:t>
      </w:r>
      <w:r>
        <w:rPr>
          <w:color w:val="auto"/>
        </w:rPr>
        <w:t xml:space="preserve">; and </w:t>
      </w:r>
    </w:p>
    <w:p w14:paraId="7B2ABE56" w14:textId="77777777" w:rsidR="001335CF" w:rsidRDefault="0073535E" w:rsidP="001335CF">
      <w:pPr>
        <w:pStyle w:val="ListParagraph"/>
        <w:numPr>
          <w:ilvl w:val="0"/>
          <w:numId w:val="37"/>
        </w:numPr>
        <w:autoSpaceDE w:val="0"/>
        <w:autoSpaceDN w:val="0"/>
        <w:adjustRightInd w:val="0"/>
        <w:rPr>
          <w:color w:val="auto"/>
        </w:rPr>
      </w:pPr>
      <w:r>
        <w:rPr>
          <w:color w:val="auto"/>
        </w:rPr>
        <w:lastRenderedPageBreak/>
        <w:t>I</w:t>
      </w:r>
      <w:r w:rsidR="00AA7C90" w:rsidRPr="0073535E">
        <w:rPr>
          <w:color w:val="auto"/>
        </w:rPr>
        <w:t xml:space="preserve">mplement the coordination of a multi-pronged evidence-based street intervention program. </w:t>
      </w:r>
    </w:p>
    <w:p w14:paraId="6FA9E685" w14:textId="2D60F1D8" w:rsidR="001335CF" w:rsidRPr="001335CF" w:rsidRDefault="00AA7C90" w:rsidP="002869C7">
      <w:pPr>
        <w:autoSpaceDE w:val="0"/>
        <w:autoSpaceDN w:val="0"/>
        <w:adjustRightInd w:val="0"/>
        <w:rPr>
          <w:color w:val="auto"/>
        </w:rPr>
      </w:pPr>
      <w:r w:rsidRPr="001335CF">
        <w:rPr>
          <w:color w:val="auto"/>
        </w:rPr>
        <w:t xml:space="preserve">Each sub-recipient that is included in the </w:t>
      </w:r>
      <w:r w:rsidR="0073535E" w:rsidRPr="001335CF">
        <w:rPr>
          <w:color w:val="auto"/>
        </w:rPr>
        <w:t xml:space="preserve">eligible applicant’s </w:t>
      </w:r>
      <w:r w:rsidRPr="001335CF">
        <w:rPr>
          <w:color w:val="auto"/>
        </w:rPr>
        <w:t xml:space="preserve">application must </w:t>
      </w:r>
      <w:r w:rsidR="005B4099" w:rsidRPr="001335CF">
        <w:rPr>
          <w:color w:val="auto"/>
        </w:rPr>
        <w:t xml:space="preserve">currently be </w:t>
      </w:r>
      <w:r w:rsidRPr="001335CF">
        <w:rPr>
          <w:color w:val="auto"/>
        </w:rPr>
        <w:t xml:space="preserve">implementing </w:t>
      </w:r>
      <w:r w:rsidRPr="001335CF">
        <w:rPr>
          <w:b/>
          <w:color w:val="auto"/>
        </w:rPr>
        <w:t>all</w:t>
      </w:r>
      <w:r w:rsidRPr="001335CF">
        <w:rPr>
          <w:color w:val="auto"/>
        </w:rPr>
        <w:t xml:space="preserve"> </w:t>
      </w:r>
      <w:r w:rsidR="005B4099" w:rsidRPr="001335CF">
        <w:rPr>
          <w:color w:val="auto"/>
        </w:rPr>
        <w:t xml:space="preserve">of </w:t>
      </w:r>
      <w:r w:rsidRPr="001335CF">
        <w:rPr>
          <w:color w:val="auto"/>
        </w:rPr>
        <w:t>the following coordinated services:</w:t>
      </w:r>
    </w:p>
    <w:p w14:paraId="67FC9EA4" w14:textId="0D5F6CE7" w:rsidR="001335CF" w:rsidRDefault="00AA7C90" w:rsidP="001335CF">
      <w:pPr>
        <w:pStyle w:val="ListParagraph"/>
        <w:numPr>
          <w:ilvl w:val="1"/>
          <w:numId w:val="37"/>
        </w:numPr>
        <w:autoSpaceDE w:val="0"/>
        <w:autoSpaceDN w:val="0"/>
        <w:adjustRightInd w:val="0"/>
        <w:rPr>
          <w:color w:val="auto"/>
        </w:rPr>
      </w:pPr>
      <w:bookmarkStart w:id="3" w:name="_Hlk13233860"/>
      <w:bookmarkStart w:id="4" w:name="_GoBack"/>
      <w:r w:rsidRPr="001335CF">
        <w:rPr>
          <w:color w:val="auto"/>
        </w:rPr>
        <w:t>outreach services</w:t>
      </w:r>
      <w:r w:rsidR="005B4099" w:rsidRPr="001335CF">
        <w:rPr>
          <w:color w:val="auto"/>
        </w:rPr>
        <w:t xml:space="preserve"> that utilize </w:t>
      </w:r>
      <w:r w:rsidRPr="001335CF">
        <w:rPr>
          <w:color w:val="auto"/>
        </w:rPr>
        <w:t>staff</w:t>
      </w:r>
      <w:r w:rsidR="002A584C">
        <w:rPr>
          <w:color w:val="auto"/>
        </w:rPr>
        <w:t xml:space="preserve">, at least one of whom has received, or is currently receiving, </w:t>
      </w:r>
      <w:r w:rsidRPr="001335CF">
        <w:rPr>
          <w:color w:val="auto"/>
        </w:rPr>
        <w:t>training through a curriculum designed to develop outreach and leadership skills</w:t>
      </w:r>
      <w:r w:rsidR="001335CF">
        <w:rPr>
          <w:color w:val="auto"/>
        </w:rPr>
        <w:t xml:space="preserve">; </w:t>
      </w:r>
    </w:p>
    <w:bookmarkEnd w:id="3"/>
    <w:bookmarkEnd w:id="4"/>
    <w:p w14:paraId="53D9360C" w14:textId="502161CF" w:rsidR="001335CF" w:rsidRDefault="00AA7C90" w:rsidP="001335CF">
      <w:pPr>
        <w:pStyle w:val="ListParagraph"/>
        <w:numPr>
          <w:ilvl w:val="1"/>
          <w:numId w:val="37"/>
        </w:numPr>
        <w:autoSpaceDE w:val="0"/>
        <w:autoSpaceDN w:val="0"/>
        <w:adjustRightInd w:val="0"/>
        <w:rPr>
          <w:color w:val="auto"/>
        </w:rPr>
      </w:pPr>
      <w:r w:rsidRPr="001335CF">
        <w:rPr>
          <w:color w:val="auto"/>
        </w:rPr>
        <w:t>con</w:t>
      </w:r>
      <w:r w:rsidR="001335CF">
        <w:rPr>
          <w:color w:val="auto"/>
        </w:rPr>
        <w:t xml:space="preserve">flict intervention and mediation; and </w:t>
      </w:r>
    </w:p>
    <w:p w14:paraId="72C4A4C6" w14:textId="417C2D0D" w:rsidR="003538D3" w:rsidRPr="001335CF" w:rsidRDefault="00AA7C90" w:rsidP="001335CF">
      <w:pPr>
        <w:pStyle w:val="ListParagraph"/>
        <w:numPr>
          <w:ilvl w:val="1"/>
          <w:numId w:val="37"/>
        </w:numPr>
        <w:autoSpaceDE w:val="0"/>
        <w:autoSpaceDN w:val="0"/>
        <w:adjustRightInd w:val="0"/>
        <w:rPr>
          <w:color w:val="auto"/>
        </w:rPr>
      </w:pPr>
      <w:r w:rsidRPr="001335CF">
        <w:rPr>
          <w:color w:val="auto"/>
        </w:rPr>
        <w:t>support services, including, at a minimum, employment, continued education, social service, mental health/substance abuse supports.</w:t>
      </w:r>
    </w:p>
    <w:bookmarkEnd w:id="2"/>
    <w:p w14:paraId="10B97BAE" w14:textId="77777777" w:rsidR="00245C12" w:rsidRDefault="00245C12" w:rsidP="00E449BC">
      <w:pPr>
        <w:autoSpaceDE w:val="0"/>
        <w:autoSpaceDN w:val="0"/>
        <w:adjustRightInd w:val="0"/>
        <w:ind w:left="360"/>
        <w:rPr>
          <w:b/>
        </w:rPr>
      </w:pPr>
    </w:p>
    <w:p w14:paraId="7CA3C2F3" w14:textId="34C35625" w:rsidR="008C6B7D" w:rsidRDefault="008C6B7D" w:rsidP="00E449BC">
      <w:pPr>
        <w:autoSpaceDE w:val="0"/>
        <w:autoSpaceDN w:val="0"/>
        <w:adjustRightInd w:val="0"/>
        <w:ind w:left="360"/>
        <w:rPr>
          <w:color w:val="2F5496" w:themeColor="accent5" w:themeShade="BF"/>
        </w:rPr>
      </w:pPr>
      <w:r w:rsidRPr="002118AF">
        <w:rPr>
          <w:b/>
          <w:i/>
        </w:rPr>
        <w:t>2.</w:t>
      </w:r>
      <w:r>
        <w:t xml:space="preserve"> </w:t>
      </w:r>
      <w:r w:rsidRPr="008706E9">
        <w:rPr>
          <w:b/>
          <w:i/>
        </w:rPr>
        <w:t>Cost Sharing or Matching</w:t>
      </w:r>
      <w:r>
        <w:t xml:space="preserve"> </w:t>
      </w:r>
      <w:r w:rsidR="00A65888" w:rsidRPr="00A65888">
        <w:rPr>
          <w:color w:val="auto"/>
        </w:rPr>
        <w:t>Not required</w:t>
      </w:r>
      <w:r w:rsidR="002869C7">
        <w:rPr>
          <w:color w:val="auto"/>
        </w:rPr>
        <w:t>.</w:t>
      </w:r>
    </w:p>
    <w:p w14:paraId="3CC60303" w14:textId="77777777" w:rsidR="00A65888" w:rsidRDefault="00A65888" w:rsidP="00E449BC">
      <w:pPr>
        <w:autoSpaceDE w:val="0"/>
        <w:autoSpaceDN w:val="0"/>
        <w:adjustRightInd w:val="0"/>
        <w:ind w:left="360"/>
      </w:pPr>
    </w:p>
    <w:p w14:paraId="6415D6A8" w14:textId="173BCD01" w:rsidR="008706E9" w:rsidRDefault="008C6B7D" w:rsidP="00E449BC">
      <w:pPr>
        <w:autoSpaceDE w:val="0"/>
        <w:autoSpaceDN w:val="0"/>
        <w:adjustRightInd w:val="0"/>
        <w:ind w:left="360"/>
      </w:pPr>
      <w:r w:rsidRPr="002118AF">
        <w:rPr>
          <w:b/>
          <w:i/>
        </w:rPr>
        <w:t>3.</w:t>
      </w:r>
      <w:r>
        <w:t xml:space="preserve"> </w:t>
      </w:r>
      <w:r w:rsidRPr="008706E9">
        <w:rPr>
          <w:b/>
          <w:i/>
        </w:rPr>
        <w:t>Indirect Cost Rate</w:t>
      </w:r>
      <w:r>
        <w:t xml:space="preserve"> </w:t>
      </w:r>
      <w:r w:rsidR="00381255">
        <w:t>I</w:t>
      </w:r>
      <w:r>
        <w:t xml:space="preserve">n order to charge indirect costs to a grant, the applicant organization must have an annually negotiated indirect cost rate agreement (NICRA). There are three types of NICRAs: </w:t>
      </w:r>
    </w:p>
    <w:p w14:paraId="2D8F77B1" w14:textId="77777777" w:rsidR="008706E9" w:rsidRDefault="008706E9" w:rsidP="00E449BC">
      <w:pPr>
        <w:autoSpaceDE w:val="0"/>
        <w:autoSpaceDN w:val="0"/>
        <w:adjustRightInd w:val="0"/>
        <w:ind w:left="360"/>
      </w:pPr>
    </w:p>
    <w:p w14:paraId="2AB52ECD" w14:textId="1B5C40A3" w:rsidR="008706E9" w:rsidRDefault="00D27608" w:rsidP="00E449BC">
      <w:pPr>
        <w:autoSpaceDE w:val="0"/>
        <w:autoSpaceDN w:val="0"/>
        <w:adjustRightInd w:val="0"/>
      </w:pPr>
      <w:r>
        <w:t>(</w:t>
      </w:r>
      <w:r w:rsidR="008C6B7D">
        <w:t xml:space="preserve">a) </w:t>
      </w:r>
      <w:r w:rsidR="008C6B7D" w:rsidRPr="00245C12">
        <w:rPr>
          <w:u w:val="single"/>
        </w:rPr>
        <w:t>Federally Negotiated Rate</w:t>
      </w:r>
      <w:r w:rsidR="008C6B7D">
        <w:t>. Organizations that receive direct federal funding, may have an indirect cost rate that was negotiated with the Federal Cognizant Agency. Illinois will accept the federally negotiated rate. The organization must provide a copy of the federal</w:t>
      </w:r>
      <w:r w:rsidR="00006686">
        <w:t xml:space="preserve"> </w:t>
      </w:r>
      <w:r w:rsidR="008C6B7D">
        <w:t>NICRA</w:t>
      </w:r>
      <w:r w:rsidR="009C1C06">
        <w:t xml:space="preserve"> letter at time of application</w:t>
      </w:r>
      <w:r w:rsidR="008C6B7D">
        <w:t xml:space="preserve">. </w:t>
      </w:r>
    </w:p>
    <w:p w14:paraId="35704DF4" w14:textId="77777777" w:rsidR="008706E9" w:rsidRDefault="008706E9" w:rsidP="00E449BC">
      <w:pPr>
        <w:autoSpaceDE w:val="0"/>
        <w:autoSpaceDN w:val="0"/>
        <w:adjustRightInd w:val="0"/>
      </w:pPr>
    </w:p>
    <w:p w14:paraId="718F9B4A" w14:textId="4EBB8FAC" w:rsidR="008706E9" w:rsidRDefault="00D27608" w:rsidP="00E449BC">
      <w:pPr>
        <w:autoSpaceDE w:val="0"/>
        <w:autoSpaceDN w:val="0"/>
        <w:adjustRightInd w:val="0"/>
      </w:pPr>
      <w:r>
        <w:t>(</w:t>
      </w:r>
      <w:r w:rsidR="008C6B7D">
        <w:t xml:space="preserve">b) </w:t>
      </w:r>
      <w:r w:rsidR="008C6B7D" w:rsidRPr="00245C12">
        <w:rPr>
          <w:u w:val="single"/>
        </w:rPr>
        <w:t>State Negotiated Rate</w:t>
      </w:r>
      <w:r w:rsidR="008C6B7D">
        <w:t>. The organization may negotiate an indirect cost rate with the</w:t>
      </w:r>
      <w:r w:rsidR="00006686">
        <w:t xml:space="preserve"> </w:t>
      </w:r>
      <w:r w:rsidR="008C6B7D">
        <w:t>State of Illinois if they do not have a Federally Negotiated Rate. If an organization has not</w:t>
      </w:r>
      <w:r w:rsidR="00006686">
        <w:t xml:space="preserve"> </w:t>
      </w:r>
      <w:r w:rsidR="008C6B7D">
        <w:t xml:space="preserve">previously established </w:t>
      </w:r>
      <w:r w:rsidR="00381255">
        <w:t xml:space="preserve">an </w:t>
      </w:r>
      <w:r w:rsidR="008C6B7D">
        <w:t>indirect cost rate, an indirect cost rate proposal must be submitted</w:t>
      </w:r>
      <w:r w:rsidR="00006686">
        <w:t xml:space="preserve"> </w:t>
      </w:r>
      <w:r w:rsidR="008C6B7D">
        <w:t xml:space="preserve">through </w:t>
      </w:r>
      <w:r w:rsidR="00381255">
        <w:t xml:space="preserve">the </w:t>
      </w:r>
      <w:r w:rsidR="008C6B7D">
        <w:t>State of Illinois’ centralized indirect cost rate system no later than three months after</w:t>
      </w:r>
      <w:r w:rsidR="00006686">
        <w:t xml:space="preserve"> </w:t>
      </w:r>
      <w:r w:rsidR="008C6B7D">
        <w:t>receipt of a Notice of State Award (NOSA). If an organization previously established an indirect</w:t>
      </w:r>
      <w:r w:rsidR="00006686">
        <w:t xml:space="preserve"> </w:t>
      </w:r>
      <w:r w:rsidR="008C6B7D">
        <w:t>cost rate, the organization must annually submit a new indirect cost proposal through CARS</w:t>
      </w:r>
      <w:r w:rsidR="00006686">
        <w:t xml:space="preserve"> </w:t>
      </w:r>
      <w:r w:rsidR="008C6B7D">
        <w:t xml:space="preserve">within </w:t>
      </w:r>
      <w:r w:rsidR="008706E9">
        <w:t>the earlier of: six (6)</w:t>
      </w:r>
      <w:r w:rsidR="008C6B7D">
        <w:t xml:space="preserve"> months after the clos</w:t>
      </w:r>
      <w:r w:rsidR="008706E9">
        <w:t xml:space="preserve">e of the grantee’s fiscal year; and three (3) months of the notice of award. </w:t>
      </w:r>
    </w:p>
    <w:p w14:paraId="102AB900" w14:textId="77777777" w:rsidR="008706E9" w:rsidRDefault="008706E9" w:rsidP="00E449BC">
      <w:pPr>
        <w:autoSpaceDE w:val="0"/>
        <w:autoSpaceDN w:val="0"/>
        <w:adjustRightInd w:val="0"/>
        <w:ind w:left="360"/>
      </w:pPr>
    </w:p>
    <w:p w14:paraId="5F4DBAFF" w14:textId="5B8A1656" w:rsidR="00C84296" w:rsidRDefault="00D27608" w:rsidP="00E449BC">
      <w:pPr>
        <w:autoSpaceDE w:val="0"/>
        <w:autoSpaceDN w:val="0"/>
        <w:adjustRightInd w:val="0"/>
      </w:pPr>
      <w:r>
        <w:t>(</w:t>
      </w:r>
      <w:r w:rsidR="008C6B7D">
        <w:t xml:space="preserve">c) </w:t>
      </w:r>
      <w:r w:rsidR="008C6B7D" w:rsidRPr="00CB497C">
        <w:rPr>
          <w:i/>
          <w:u w:val="single"/>
        </w:rPr>
        <w:t>De Minimis</w:t>
      </w:r>
      <w:r w:rsidR="008C6B7D" w:rsidRPr="00245C12">
        <w:rPr>
          <w:u w:val="single"/>
        </w:rPr>
        <w:t xml:space="preserve"> Rate</w:t>
      </w:r>
      <w:r w:rsidR="008C6B7D">
        <w:t>. An organization</w:t>
      </w:r>
      <w:r w:rsidR="00006686">
        <w:t xml:space="preserve"> </w:t>
      </w:r>
      <w:r w:rsidR="008C6B7D">
        <w:t>that has never negotiated an indirect cost rate with the Federal Government o</w:t>
      </w:r>
      <w:r w:rsidR="0065310D">
        <w:t>r</w:t>
      </w:r>
      <w:r w:rsidR="008C6B7D">
        <w:t xml:space="preserve"> the State of Illinois</w:t>
      </w:r>
      <w:r w:rsidR="00006686">
        <w:t xml:space="preserve"> </w:t>
      </w:r>
      <w:r w:rsidR="008C6B7D">
        <w:t xml:space="preserve">is eligible to elect a </w:t>
      </w:r>
      <w:r w:rsidR="008C6B7D" w:rsidRPr="00CB497C">
        <w:rPr>
          <w:i/>
        </w:rPr>
        <w:t>de minimis</w:t>
      </w:r>
      <w:r w:rsidR="008C6B7D">
        <w:t xml:space="preserve"> rate of 10% of modified total direct cost (MTDC).</w:t>
      </w:r>
      <w:r w:rsidR="00006686">
        <w:t xml:space="preserve"> Once established, the </w:t>
      </w:r>
      <w:r w:rsidR="00CB497C" w:rsidRPr="00CB497C">
        <w:rPr>
          <w:i/>
        </w:rPr>
        <w:t>d</w:t>
      </w:r>
      <w:r w:rsidR="00006686" w:rsidRPr="00CB497C">
        <w:rPr>
          <w:i/>
        </w:rPr>
        <w:t xml:space="preserve">e </w:t>
      </w:r>
      <w:r w:rsidR="00CB497C" w:rsidRPr="00CB497C">
        <w:rPr>
          <w:i/>
        </w:rPr>
        <w:t>m</w:t>
      </w:r>
      <w:r w:rsidR="00006686" w:rsidRPr="00CB497C">
        <w:rPr>
          <w:i/>
        </w:rPr>
        <w:t>inimis</w:t>
      </w:r>
      <w:r w:rsidR="00006686">
        <w:t xml:space="preserve"> Rate may be used indefinitely. The State of Illinois must verify the calculation of the MTDC annually in order to accept the </w:t>
      </w:r>
      <w:r w:rsidR="00CB497C" w:rsidRPr="00CB497C">
        <w:rPr>
          <w:i/>
        </w:rPr>
        <w:t>d</w:t>
      </w:r>
      <w:r w:rsidR="00006686" w:rsidRPr="00CB497C">
        <w:rPr>
          <w:i/>
        </w:rPr>
        <w:t xml:space="preserve">e </w:t>
      </w:r>
      <w:r w:rsidR="00CB497C" w:rsidRPr="00CB497C">
        <w:rPr>
          <w:i/>
        </w:rPr>
        <w:t>minimis</w:t>
      </w:r>
      <w:r w:rsidR="00CB497C">
        <w:t xml:space="preserve"> r</w:t>
      </w:r>
      <w:r w:rsidR="00006686">
        <w:t>ate.</w:t>
      </w:r>
    </w:p>
    <w:p w14:paraId="4899C36F" w14:textId="77777777" w:rsidR="00381255" w:rsidRDefault="00381255" w:rsidP="00E449BC">
      <w:pPr>
        <w:autoSpaceDE w:val="0"/>
        <w:autoSpaceDN w:val="0"/>
        <w:adjustRightInd w:val="0"/>
        <w:ind w:left="360"/>
      </w:pPr>
    </w:p>
    <w:p w14:paraId="359C13A5" w14:textId="3C87B135" w:rsidR="008706E9" w:rsidRDefault="00006686" w:rsidP="00987A1C">
      <w:pPr>
        <w:autoSpaceDE w:val="0"/>
        <w:autoSpaceDN w:val="0"/>
        <w:adjustRightInd w:val="0"/>
        <w:ind w:left="360"/>
      </w:pPr>
      <w:bookmarkStart w:id="5" w:name="_Hlk534485389"/>
      <w:r>
        <w:t xml:space="preserve">All grantees must complete an indirect cost rate negotiation or elect the </w:t>
      </w:r>
      <w:r w:rsidR="00CB497C" w:rsidRPr="00CB497C">
        <w:rPr>
          <w:i/>
        </w:rPr>
        <w:t>de minimis</w:t>
      </w:r>
      <w:r w:rsidR="00CB497C">
        <w:t xml:space="preserve"> r</w:t>
      </w:r>
      <w:r>
        <w:t xml:space="preserve">ate to claim indirect costs. Indirect costs claimed without a negotiated rate or a </w:t>
      </w:r>
      <w:r w:rsidR="00CB497C" w:rsidRPr="00CB497C">
        <w:rPr>
          <w:i/>
        </w:rPr>
        <w:t>de minimis</w:t>
      </w:r>
      <w:r w:rsidR="00CB497C">
        <w:t xml:space="preserve"> rate</w:t>
      </w:r>
      <w:r>
        <w:t xml:space="preserve"> election on record in the State of Illinois’ centralized indirect cost rate system may be subject to </w:t>
      </w:r>
      <w:r w:rsidR="00CB497C">
        <w:t>disallowance.</w:t>
      </w:r>
      <w:r w:rsidR="00CB497C" w:rsidRPr="008706E9">
        <w:t xml:space="preserve"> It</w:t>
      </w:r>
      <w:r w:rsidR="008706E9" w:rsidRPr="008706E9">
        <w:t xml:space="preserve"> is the organization’s responsibility to ensure that any indirect cost rate utilized is properly registered in the GATA Portal. Failure to register the rate properly may restrict an organization from charging indirect costs to a grant.</w:t>
      </w:r>
    </w:p>
    <w:bookmarkEnd w:id="5"/>
    <w:p w14:paraId="04C49E05" w14:textId="77777777" w:rsidR="008C6B7D" w:rsidRDefault="008C6B7D" w:rsidP="00987A1C">
      <w:pPr>
        <w:autoSpaceDE w:val="0"/>
        <w:autoSpaceDN w:val="0"/>
        <w:adjustRightInd w:val="0"/>
        <w:ind w:left="360"/>
      </w:pPr>
    </w:p>
    <w:p w14:paraId="22AE7F74" w14:textId="5F1DD8BB" w:rsidR="00E54115" w:rsidRPr="00FF274B" w:rsidRDefault="005767A5" w:rsidP="00FF274B">
      <w:pPr>
        <w:autoSpaceDE w:val="0"/>
        <w:autoSpaceDN w:val="0"/>
        <w:adjustRightInd w:val="0"/>
        <w:ind w:left="360"/>
      </w:pPr>
      <w:bookmarkStart w:id="6" w:name="_Hlk534485414"/>
      <w:r>
        <w:lastRenderedPageBreak/>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bookmarkEnd w:id="6"/>
    </w:p>
    <w:p w14:paraId="1DD648F9" w14:textId="77777777" w:rsidR="00245C12" w:rsidRDefault="00245C12" w:rsidP="00E449BC">
      <w:pPr>
        <w:autoSpaceDE w:val="0"/>
        <w:autoSpaceDN w:val="0"/>
        <w:adjustRightInd w:val="0"/>
        <w:ind w:left="0"/>
        <w:rPr>
          <w:b/>
          <w:sz w:val="28"/>
          <w:szCs w:val="28"/>
        </w:rPr>
      </w:pPr>
    </w:p>
    <w:p w14:paraId="4B7E1800" w14:textId="4E43E5DE" w:rsidR="005767A5" w:rsidRPr="004B3E92" w:rsidRDefault="005767A5" w:rsidP="00E449BC">
      <w:pPr>
        <w:autoSpaceDE w:val="0"/>
        <w:autoSpaceDN w:val="0"/>
        <w:adjustRightInd w:val="0"/>
        <w:ind w:left="0"/>
        <w:rPr>
          <w:b/>
          <w:sz w:val="28"/>
          <w:szCs w:val="28"/>
        </w:rPr>
      </w:pPr>
      <w:r w:rsidRPr="004B3E92">
        <w:rPr>
          <w:b/>
          <w:sz w:val="28"/>
          <w:szCs w:val="28"/>
        </w:rPr>
        <w:t>D. Application and Submission Information</w:t>
      </w:r>
    </w:p>
    <w:p w14:paraId="62E8A342" w14:textId="77777777" w:rsidR="005767A5" w:rsidRDefault="005767A5" w:rsidP="00E449BC">
      <w:pPr>
        <w:autoSpaceDE w:val="0"/>
        <w:autoSpaceDN w:val="0"/>
        <w:adjustRightInd w:val="0"/>
        <w:ind w:left="0"/>
      </w:pPr>
    </w:p>
    <w:p w14:paraId="3BFEAC2C" w14:textId="2F54E887" w:rsidR="00E3439F" w:rsidRDefault="005767A5" w:rsidP="00E449BC">
      <w:pPr>
        <w:autoSpaceDE w:val="0"/>
        <w:autoSpaceDN w:val="0"/>
        <w:adjustRightInd w:val="0"/>
        <w:ind w:left="360"/>
      </w:pPr>
      <w:r w:rsidRPr="002118AF">
        <w:rPr>
          <w:b/>
          <w:i/>
        </w:rPr>
        <w:t>1.</w:t>
      </w:r>
      <w:r w:rsidRPr="00381255">
        <w:rPr>
          <w:b/>
        </w:rPr>
        <w:t xml:space="preserve"> </w:t>
      </w:r>
      <w:r w:rsidRPr="00E54115">
        <w:rPr>
          <w:b/>
          <w:i/>
        </w:rPr>
        <w:t>Address to Request Application Package</w:t>
      </w:r>
    </w:p>
    <w:p w14:paraId="52E69B04" w14:textId="77777777" w:rsidR="00E3439F" w:rsidRDefault="00E3439F" w:rsidP="00E449BC">
      <w:pPr>
        <w:autoSpaceDE w:val="0"/>
        <w:autoSpaceDN w:val="0"/>
        <w:adjustRightInd w:val="0"/>
        <w:ind w:left="360"/>
      </w:pPr>
    </w:p>
    <w:p w14:paraId="3980F7A2" w14:textId="2C2362FA" w:rsidR="00E3439F" w:rsidRDefault="00E3439F" w:rsidP="00E449BC">
      <w:pPr>
        <w:autoSpaceDE w:val="0"/>
        <w:autoSpaceDN w:val="0"/>
        <w:adjustRightInd w:val="0"/>
        <w:ind w:left="360"/>
      </w:pPr>
      <w:r>
        <w:t xml:space="preserve">Applications must be obtained at https://gata.icjia.cloud/ by clicking on the link titled </w:t>
      </w:r>
      <w:r w:rsidRPr="00371267">
        <w:rPr>
          <w:color w:val="auto"/>
        </w:rPr>
        <w:t>“</w:t>
      </w:r>
      <w:r w:rsidR="00CC1E96">
        <w:rPr>
          <w:color w:val="auto"/>
        </w:rPr>
        <w:t xml:space="preserve">Violence Prevention and </w:t>
      </w:r>
      <w:r w:rsidR="00115480" w:rsidRPr="00371267">
        <w:rPr>
          <w:color w:val="auto"/>
        </w:rPr>
        <w:t>Street Intervention</w:t>
      </w:r>
      <w:r w:rsidRPr="00371267">
        <w:rPr>
          <w:color w:val="auto"/>
        </w:rPr>
        <w:t xml:space="preserve">.” Paper copies of the application materials may be requested from </w:t>
      </w:r>
      <w:r w:rsidR="00115480" w:rsidRPr="00371267">
        <w:rPr>
          <w:color w:val="auto"/>
        </w:rPr>
        <w:t>Shai Hoffman</w:t>
      </w:r>
      <w:r w:rsidRPr="00371267">
        <w:rPr>
          <w:color w:val="auto"/>
        </w:rPr>
        <w:t xml:space="preserve"> b: calling </w:t>
      </w:r>
      <w:r w:rsidR="00FF274B">
        <w:rPr>
          <w:color w:val="auto"/>
        </w:rPr>
        <w:t>312.814.0706</w:t>
      </w:r>
      <w:r w:rsidR="00AC5D7A">
        <w:t>,</w:t>
      </w:r>
      <w:r>
        <w:t xml:space="preserve"> </w:t>
      </w:r>
      <w:r w:rsidR="00AC5D7A">
        <w:t xml:space="preserve">sending a request to his attention at ICJIA,  </w:t>
      </w:r>
      <w:r>
        <w:t xml:space="preserve">300 West Adams Street, Suite 200, Chicago, Illinois 60606; or </w:t>
      </w:r>
      <w:r w:rsidR="00C2695F">
        <w:t xml:space="preserve">via </w:t>
      </w:r>
      <w:r>
        <w:t>Telephone Device for the Deaf (TDD)</w:t>
      </w:r>
      <w:r w:rsidR="0017579A">
        <w:t xml:space="preserve"> (312)793-4170</w:t>
      </w:r>
      <w:r>
        <w:t>. Applications</w:t>
      </w:r>
      <w:r w:rsidR="0017579A">
        <w:t>, however,</w:t>
      </w:r>
      <w:r>
        <w:t xml:space="preserve"> may only be submitted via email.</w:t>
      </w:r>
    </w:p>
    <w:p w14:paraId="1F3857B8" w14:textId="1B7A9734" w:rsidR="005767A5" w:rsidRDefault="005767A5" w:rsidP="00E449BC">
      <w:pPr>
        <w:autoSpaceDE w:val="0"/>
        <w:autoSpaceDN w:val="0"/>
        <w:adjustRightInd w:val="0"/>
        <w:ind w:left="0"/>
      </w:pPr>
    </w:p>
    <w:p w14:paraId="384C959B" w14:textId="7D0F1876" w:rsidR="008E530A" w:rsidRPr="00E54115" w:rsidRDefault="005767A5" w:rsidP="006802E3">
      <w:pPr>
        <w:autoSpaceDE w:val="0"/>
        <w:autoSpaceDN w:val="0"/>
        <w:adjustRightInd w:val="0"/>
        <w:ind w:left="360"/>
        <w:rPr>
          <w:color w:val="70AD47" w:themeColor="accent6"/>
          <w:u w:val="single"/>
        </w:rPr>
      </w:pPr>
      <w:r w:rsidRPr="002118AF">
        <w:rPr>
          <w:b/>
          <w:i/>
        </w:rPr>
        <w:t>2.</w:t>
      </w:r>
      <w:r w:rsidRPr="00381255">
        <w:rPr>
          <w:b/>
        </w:rPr>
        <w:t xml:space="preserve"> </w:t>
      </w:r>
      <w:bookmarkStart w:id="7" w:name="_Hlk534485455"/>
      <w:r w:rsidRPr="00AB6BCD">
        <w:rPr>
          <w:b/>
          <w:i/>
        </w:rPr>
        <w:t>Content and Form of Application Submission</w:t>
      </w:r>
      <w:bookmarkEnd w:id="7"/>
      <w:r w:rsidRPr="005767A5">
        <w:t xml:space="preserve"> </w:t>
      </w:r>
      <w:bookmarkStart w:id="8" w:name="_Hlk535481226"/>
    </w:p>
    <w:bookmarkEnd w:id="8"/>
    <w:p w14:paraId="7D2920EC" w14:textId="77777777" w:rsidR="00E54115" w:rsidRDefault="00E54115" w:rsidP="00E449BC">
      <w:pPr>
        <w:autoSpaceDE w:val="0"/>
        <w:autoSpaceDN w:val="0"/>
        <w:adjustRightInd w:val="0"/>
      </w:pPr>
    </w:p>
    <w:p w14:paraId="78C269A5" w14:textId="24416E17" w:rsidR="00990C7F" w:rsidRDefault="00D27608" w:rsidP="00E449BC">
      <w:pPr>
        <w:autoSpaceDE w:val="0"/>
        <w:autoSpaceDN w:val="0"/>
        <w:adjustRightInd w:val="0"/>
      </w:pPr>
      <w:r>
        <w:t>(b)</w:t>
      </w:r>
      <w:r w:rsidR="005767A5">
        <w:t xml:space="preserve">. </w:t>
      </w:r>
      <w:r w:rsidR="00990C7F" w:rsidRPr="00990C7F">
        <w:rPr>
          <w:u w:val="single"/>
        </w:rPr>
        <w:t>Forms</w:t>
      </w:r>
      <w:r w:rsidR="00990C7F">
        <w:rPr>
          <w:u w:val="single"/>
        </w:rPr>
        <w:t xml:space="preserve"> and Formatting</w:t>
      </w:r>
      <w:r w:rsidR="00990C7F">
        <w:t>.</w:t>
      </w:r>
    </w:p>
    <w:p w14:paraId="38C333C9" w14:textId="77777777" w:rsidR="006F3FED" w:rsidRDefault="006F3FED" w:rsidP="00E449BC">
      <w:pPr>
        <w:autoSpaceDE w:val="0"/>
        <w:autoSpaceDN w:val="0"/>
        <w:adjustRightInd w:val="0"/>
      </w:pPr>
    </w:p>
    <w:p w14:paraId="5BE67432" w14:textId="3F16D72A" w:rsidR="00990C7F" w:rsidRDefault="00990C7F" w:rsidP="00E449BC">
      <w:pPr>
        <w:autoSpaceDE w:val="0"/>
        <w:autoSpaceDN w:val="0"/>
        <w:adjustRightInd w:val="0"/>
      </w:pPr>
      <w:r w:rsidRPr="00990C7F">
        <w:t xml:space="preserve">The application must be emailed to </w:t>
      </w:r>
      <w:hyperlink r:id="rId10" w:history="1">
        <w:r w:rsidR="006802E3" w:rsidRPr="005C53E5">
          <w:rPr>
            <w:rStyle w:val="Hyperlink"/>
          </w:rPr>
          <w:t>CJA.StateViolencePrevention@Illinois.gov</w:t>
        </w:r>
      </w:hyperlink>
      <w:r w:rsidRPr="00990C7F">
        <w:t xml:space="preserve">. The applicant agency name should appear in the Subject line of the email. Each document attached to the email must be submitted in the manner and method described below. </w:t>
      </w:r>
      <w:bookmarkStart w:id="9" w:name="_Hlk534485534"/>
      <w:r w:rsidRPr="00990C7F">
        <w:t xml:space="preserve">Applications will be rejected if any documents are missing. </w:t>
      </w:r>
      <w:bookmarkEnd w:id="9"/>
      <w:r w:rsidRPr="00990C7F">
        <w:t>The applicant is responsible for ensuring that documents adhere to the instructions provided.</w:t>
      </w:r>
    </w:p>
    <w:p w14:paraId="21722308" w14:textId="77777777" w:rsidR="00E54115" w:rsidRDefault="00E54115" w:rsidP="00E449BC">
      <w:pPr>
        <w:autoSpaceDE w:val="0"/>
        <w:autoSpaceDN w:val="0"/>
        <w:adjustRightInd w:val="0"/>
      </w:pPr>
    </w:p>
    <w:p w14:paraId="23BCFEDD" w14:textId="17CAF9FD" w:rsidR="00990C7F" w:rsidRDefault="00990C7F" w:rsidP="005767A5">
      <w:pPr>
        <w:autoSpaceDE w:val="0"/>
        <w:autoSpaceDN w:val="0"/>
        <w:adjustRightInd w:val="0"/>
      </w:pPr>
    </w:p>
    <w:tbl>
      <w:tblPr>
        <w:tblStyle w:val="TableGrid6"/>
        <w:tblW w:w="9450" w:type="dxa"/>
        <w:tblInd w:w="-5" w:type="dxa"/>
        <w:tblLayout w:type="fixed"/>
        <w:tblLook w:val="04A0" w:firstRow="1" w:lastRow="0" w:firstColumn="1" w:lastColumn="0" w:noHBand="0" w:noVBand="1"/>
      </w:tblPr>
      <w:tblGrid>
        <w:gridCol w:w="739"/>
        <w:gridCol w:w="3581"/>
        <w:gridCol w:w="2700"/>
        <w:gridCol w:w="720"/>
        <w:gridCol w:w="900"/>
        <w:gridCol w:w="810"/>
      </w:tblGrid>
      <w:tr w:rsidR="00990C7F" w:rsidRPr="00A84AFB" w14:paraId="6D59F2A8" w14:textId="77777777" w:rsidTr="00AB6BCD">
        <w:tc>
          <w:tcPr>
            <w:tcW w:w="9450" w:type="dxa"/>
            <w:gridSpan w:val="6"/>
            <w:shd w:val="clear" w:color="auto" w:fill="auto"/>
          </w:tcPr>
          <w:p w14:paraId="15B57519" w14:textId="77777777" w:rsidR="00990C7F" w:rsidRPr="00A84AFB" w:rsidRDefault="00990C7F" w:rsidP="00515C3E">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The following materials MUST be submitted by all applicants. The applicant must submit the documents based on the instructions provided below. </w:t>
            </w:r>
          </w:p>
        </w:tc>
      </w:tr>
      <w:tr w:rsidR="00990C7F" w:rsidRPr="00A84AFB" w14:paraId="11A081E1" w14:textId="77777777" w:rsidTr="00AB6BCD">
        <w:tc>
          <w:tcPr>
            <w:tcW w:w="4320" w:type="dxa"/>
            <w:gridSpan w:val="2"/>
            <w:shd w:val="clear" w:color="auto" w:fill="D9D9D9"/>
          </w:tcPr>
          <w:p w14:paraId="2EBF082D"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Document</w:t>
            </w:r>
          </w:p>
        </w:tc>
        <w:tc>
          <w:tcPr>
            <w:tcW w:w="2700" w:type="dxa"/>
            <w:shd w:val="clear" w:color="auto" w:fill="D9D9D9"/>
          </w:tcPr>
          <w:p w14:paraId="71A9649C" w14:textId="77777777" w:rsidR="00990C7F" w:rsidRPr="00A84AFB" w:rsidRDefault="00990C7F" w:rsidP="00515C3E">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Document Name</w:t>
            </w:r>
          </w:p>
        </w:tc>
        <w:tc>
          <w:tcPr>
            <w:tcW w:w="720" w:type="dxa"/>
            <w:shd w:val="clear" w:color="auto" w:fill="D9D9D9"/>
          </w:tcPr>
          <w:p w14:paraId="0A85B2B4"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PDF</w:t>
            </w:r>
          </w:p>
        </w:tc>
        <w:tc>
          <w:tcPr>
            <w:tcW w:w="900" w:type="dxa"/>
            <w:shd w:val="clear" w:color="auto" w:fill="D9D9D9"/>
          </w:tcPr>
          <w:p w14:paraId="46256AF2"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Word</w:t>
            </w:r>
          </w:p>
        </w:tc>
        <w:tc>
          <w:tcPr>
            <w:tcW w:w="810" w:type="dxa"/>
            <w:shd w:val="clear" w:color="auto" w:fill="D9D9D9"/>
          </w:tcPr>
          <w:p w14:paraId="2484B1AA"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Excel</w:t>
            </w:r>
          </w:p>
        </w:tc>
      </w:tr>
      <w:tr w:rsidR="00990C7F" w:rsidRPr="00A84AFB" w14:paraId="7FCFFB82" w14:textId="77777777" w:rsidTr="00AB6BCD">
        <w:tc>
          <w:tcPr>
            <w:tcW w:w="4320" w:type="dxa"/>
            <w:gridSpan w:val="2"/>
          </w:tcPr>
          <w:p w14:paraId="55A35447" w14:textId="37F8E36C"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Uniform Application for State Grant Assistance</w:t>
            </w:r>
            <w:r>
              <w:rPr>
                <w:rFonts w:ascii="Times New Roman" w:eastAsia="Calibri" w:hAnsi="Times New Roman" w:cs="Times New Roman"/>
                <w:sz w:val="24"/>
                <w:szCs w:val="24"/>
              </w:rPr>
              <w:t xml:space="preserve"> – </w:t>
            </w:r>
            <w:r w:rsidRPr="00532584">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75E502D4" w14:textId="77777777"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“Agency Name – Application”</w:t>
            </w:r>
          </w:p>
        </w:tc>
        <w:tc>
          <w:tcPr>
            <w:tcW w:w="720" w:type="dxa"/>
            <w:vAlign w:val="center"/>
          </w:tcPr>
          <w:p w14:paraId="6DAA7374"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900" w:type="dxa"/>
            <w:vAlign w:val="center"/>
          </w:tcPr>
          <w:p w14:paraId="3F1C0D78" w14:textId="77777777" w:rsidR="00990C7F" w:rsidRPr="00A84AFB" w:rsidRDefault="00990C7F" w:rsidP="00515C3E">
            <w:pPr>
              <w:jc w:val="center"/>
              <w:rPr>
                <w:rFonts w:ascii="Times New Roman" w:eastAsia="Calibri" w:hAnsi="Times New Roman" w:cs="Times New Roman"/>
                <w:sz w:val="24"/>
                <w:szCs w:val="24"/>
              </w:rPr>
            </w:pPr>
            <w:r>
              <w:rPr>
                <w:rFonts w:ascii="Times New Roman" w:eastAsia="Calibri" w:hAnsi="Times New Roman" w:cs="Times New Roman"/>
                <w:sz w:val="24"/>
                <w:szCs w:val="24"/>
              </w:rPr>
              <w:t>X</w:t>
            </w:r>
          </w:p>
        </w:tc>
        <w:tc>
          <w:tcPr>
            <w:tcW w:w="810" w:type="dxa"/>
            <w:vAlign w:val="center"/>
          </w:tcPr>
          <w:p w14:paraId="323D96D3" w14:textId="77777777" w:rsidR="00990C7F" w:rsidRPr="00A84AFB" w:rsidRDefault="00990C7F" w:rsidP="00515C3E">
            <w:pPr>
              <w:jc w:val="center"/>
              <w:rPr>
                <w:rFonts w:ascii="Times New Roman" w:eastAsia="Calibri" w:hAnsi="Times New Roman" w:cs="Times New Roman"/>
                <w:sz w:val="24"/>
                <w:szCs w:val="24"/>
              </w:rPr>
            </w:pPr>
          </w:p>
        </w:tc>
      </w:tr>
      <w:tr w:rsidR="00990C7F" w:rsidRPr="00A84AFB" w14:paraId="53ED9C44" w14:textId="77777777" w:rsidTr="00AB6BCD">
        <w:tc>
          <w:tcPr>
            <w:tcW w:w="4320" w:type="dxa"/>
            <w:gridSpan w:val="2"/>
          </w:tcPr>
          <w:p w14:paraId="68F0A8C7" w14:textId="77777777"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Program Narrative</w:t>
            </w:r>
            <w:r>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p>
        </w:tc>
        <w:tc>
          <w:tcPr>
            <w:tcW w:w="2700" w:type="dxa"/>
            <w:vAlign w:val="center"/>
          </w:tcPr>
          <w:p w14:paraId="7387D28D" w14:textId="77777777"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“Agency Name – Program Narrative”</w:t>
            </w:r>
          </w:p>
        </w:tc>
        <w:tc>
          <w:tcPr>
            <w:tcW w:w="720" w:type="dxa"/>
            <w:vAlign w:val="center"/>
          </w:tcPr>
          <w:p w14:paraId="3CA55985" w14:textId="77777777" w:rsidR="00990C7F" w:rsidRPr="00A84AFB" w:rsidRDefault="00990C7F" w:rsidP="00515C3E">
            <w:pPr>
              <w:jc w:val="center"/>
              <w:rPr>
                <w:rFonts w:ascii="Times New Roman" w:eastAsia="Calibri" w:hAnsi="Times New Roman" w:cs="Times New Roman"/>
                <w:sz w:val="24"/>
                <w:szCs w:val="24"/>
              </w:rPr>
            </w:pPr>
          </w:p>
        </w:tc>
        <w:tc>
          <w:tcPr>
            <w:tcW w:w="900" w:type="dxa"/>
            <w:vAlign w:val="center"/>
          </w:tcPr>
          <w:p w14:paraId="2E68052E"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810" w:type="dxa"/>
            <w:vAlign w:val="center"/>
          </w:tcPr>
          <w:p w14:paraId="679B8296" w14:textId="77777777" w:rsidR="00990C7F" w:rsidRPr="00A84AFB" w:rsidRDefault="00990C7F" w:rsidP="00515C3E">
            <w:pPr>
              <w:jc w:val="center"/>
              <w:rPr>
                <w:rFonts w:ascii="Times New Roman" w:eastAsia="Calibri" w:hAnsi="Times New Roman" w:cs="Times New Roman"/>
                <w:sz w:val="24"/>
                <w:szCs w:val="24"/>
              </w:rPr>
            </w:pPr>
          </w:p>
        </w:tc>
      </w:tr>
      <w:tr w:rsidR="00990C7F" w:rsidRPr="00A84AFB" w14:paraId="7CE79B46" w14:textId="77777777" w:rsidTr="00AB6BCD">
        <w:tc>
          <w:tcPr>
            <w:tcW w:w="4320" w:type="dxa"/>
            <w:gridSpan w:val="2"/>
          </w:tcPr>
          <w:p w14:paraId="5D90CC7F" w14:textId="77777777" w:rsidR="00990C7F" w:rsidRPr="00A84AFB" w:rsidRDefault="00990C7F" w:rsidP="00990C7F">
            <w:pPr>
              <w:contextualSpacing/>
              <w:rPr>
                <w:rFonts w:ascii="Times New Roman" w:eastAsia="Calibri" w:hAnsi="Times New Roman" w:cs="Times New Roman"/>
                <w:sz w:val="24"/>
                <w:szCs w:val="24"/>
              </w:rPr>
            </w:pPr>
            <w:r w:rsidRPr="00F72CE8">
              <w:rPr>
                <w:rFonts w:ascii="Times New Roman" w:eastAsia="Calibri" w:hAnsi="Times New Roman" w:cs="Times New Roman"/>
                <w:b/>
                <w:sz w:val="24"/>
                <w:szCs w:val="24"/>
              </w:rPr>
              <w:t>Budget/Budget Narrative</w:t>
            </w:r>
            <w:r>
              <w:rPr>
                <w:rFonts w:ascii="Times New Roman" w:eastAsia="Calibri" w:hAnsi="Times New Roman" w:cs="Times New Roman"/>
                <w:sz w:val="24"/>
                <w:szCs w:val="24"/>
              </w:rPr>
              <w:t xml:space="preserve"> – </w:t>
            </w:r>
            <w:r w:rsidRPr="00532584">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1701FE47" w14:textId="77777777" w:rsidR="00990C7F" w:rsidRPr="00F72CE8" w:rsidRDefault="00990C7F" w:rsidP="00515C3E">
            <w:pPr>
              <w:jc w:val="center"/>
              <w:rPr>
                <w:rFonts w:ascii="Times New Roman" w:eastAsia="Calibri" w:hAnsi="Times New Roman" w:cs="Times New Roman"/>
                <w:i/>
                <w:sz w:val="24"/>
                <w:szCs w:val="24"/>
              </w:rPr>
            </w:pPr>
            <w:r w:rsidRPr="00F72CE8">
              <w:rPr>
                <w:rFonts w:ascii="Times New Roman" w:eastAsia="Calibri" w:hAnsi="Times New Roman" w:cs="Times New Roman"/>
                <w:i/>
                <w:sz w:val="24"/>
                <w:szCs w:val="24"/>
              </w:rPr>
              <w:t>“Agency Name – Budget”</w:t>
            </w:r>
          </w:p>
        </w:tc>
        <w:tc>
          <w:tcPr>
            <w:tcW w:w="720" w:type="dxa"/>
            <w:vAlign w:val="center"/>
          </w:tcPr>
          <w:p w14:paraId="4284B0FA" w14:textId="77777777" w:rsidR="00990C7F" w:rsidRPr="00A84AFB" w:rsidRDefault="00990C7F" w:rsidP="00515C3E">
            <w:pPr>
              <w:jc w:val="center"/>
              <w:rPr>
                <w:rFonts w:ascii="Times New Roman" w:eastAsia="Calibri" w:hAnsi="Times New Roman" w:cs="Times New Roman"/>
                <w:sz w:val="24"/>
                <w:szCs w:val="24"/>
              </w:rPr>
            </w:pPr>
          </w:p>
        </w:tc>
        <w:tc>
          <w:tcPr>
            <w:tcW w:w="900" w:type="dxa"/>
            <w:vAlign w:val="center"/>
          </w:tcPr>
          <w:p w14:paraId="77862FB9" w14:textId="77777777" w:rsidR="00990C7F" w:rsidRPr="00A84AFB" w:rsidRDefault="00990C7F" w:rsidP="00515C3E">
            <w:pPr>
              <w:jc w:val="center"/>
              <w:rPr>
                <w:rFonts w:ascii="Times New Roman" w:eastAsia="Calibri" w:hAnsi="Times New Roman" w:cs="Times New Roman"/>
                <w:sz w:val="24"/>
                <w:szCs w:val="24"/>
              </w:rPr>
            </w:pPr>
          </w:p>
        </w:tc>
        <w:tc>
          <w:tcPr>
            <w:tcW w:w="810" w:type="dxa"/>
            <w:vAlign w:val="center"/>
          </w:tcPr>
          <w:p w14:paraId="71E1C24B"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r>
      <w:tr w:rsidR="00990C7F" w:rsidRPr="00A84AFB" w14:paraId="7C02265D" w14:textId="77777777" w:rsidTr="00AB6BCD">
        <w:tc>
          <w:tcPr>
            <w:tcW w:w="739" w:type="dxa"/>
          </w:tcPr>
          <w:p w14:paraId="5C3CB926" w14:textId="77777777" w:rsidR="00990C7F" w:rsidRPr="00A84AFB" w:rsidRDefault="00990C7F" w:rsidP="00515C3E">
            <w:pPr>
              <w:jc w:val="center"/>
              <w:rPr>
                <w:rFonts w:ascii="Times New Roman" w:eastAsia="Calibri" w:hAnsi="Times New Roman" w:cs="Times New Roman"/>
                <w:b/>
                <w:sz w:val="24"/>
                <w:szCs w:val="24"/>
              </w:rPr>
            </w:pPr>
          </w:p>
        </w:tc>
        <w:tc>
          <w:tcPr>
            <w:tcW w:w="8711" w:type="dxa"/>
            <w:gridSpan w:val="5"/>
          </w:tcPr>
          <w:p w14:paraId="2097D63A" w14:textId="77777777" w:rsidR="00990C7F" w:rsidRPr="00A84AFB" w:rsidRDefault="00990C7F" w:rsidP="00515C3E">
            <w:pPr>
              <w:jc w:val="center"/>
              <w:rPr>
                <w:rFonts w:ascii="Times New Roman" w:eastAsia="Calibri" w:hAnsi="Times New Roman" w:cs="Times New Roman"/>
                <w:b/>
                <w:sz w:val="24"/>
                <w:szCs w:val="24"/>
              </w:rPr>
            </w:pPr>
            <w:r w:rsidRPr="00A84AFB">
              <w:rPr>
                <w:rFonts w:ascii="Times New Roman" w:eastAsia="Calibri" w:hAnsi="Times New Roman" w:cs="Times New Roman"/>
                <w:b/>
                <w:sz w:val="24"/>
                <w:szCs w:val="24"/>
              </w:rPr>
              <w:t>Non-Profit Agency Required Documents</w:t>
            </w:r>
          </w:p>
        </w:tc>
      </w:tr>
      <w:tr w:rsidR="00990C7F" w:rsidRPr="00A84AFB" w14:paraId="15E5975F" w14:textId="77777777" w:rsidTr="00AB6BCD">
        <w:tc>
          <w:tcPr>
            <w:tcW w:w="4320" w:type="dxa"/>
            <w:gridSpan w:val="2"/>
          </w:tcPr>
          <w:p w14:paraId="7986BFEF" w14:textId="03097784" w:rsidR="00990C7F" w:rsidRPr="00A84AFB" w:rsidRDefault="00990C7F" w:rsidP="00515C3E">
            <w:pPr>
              <w:contextualSpacing/>
              <w:jc w:val="both"/>
              <w:rPr>
                <w:rFonts w:ascii="Times New Roman" w:eastAsia="Calibri" w:hAnsi="Times New Roman" w:cs="Times New Roman"/>
                <w:i/>
                <w:sz w:val="24"/>
                <w:szCs w:val="24"/>
              </w:rPr>
            </w:pPr>
            <w:r w:rsidRPr="00A84AFB">
              <w:rPr>
                <w:rFonts w:ascii="Times New Roman" w:eastAsia="Calibri" w:hAnsi="Times New Roman" w:cs="Times New Roman"/>
                <w:sz w:val="24"/>
                <w:szCs w:val="24"/>
              </w:rPr>
              <w:lastRenderedPageBreak/>
              <w:t>United States Internal Revenue Service</w:t>
            </w:r>
            <w:r>
              <w:rPr>
                <w:rFonts w:ascii="Times New Roman" w:eastAsia="Calibri" w:hAnsi="Times New Roman" w:cs="Times New Roman"/>
                <w:sz w:val="24"/>
                <w:szCs w:val="24"/>
              </w:rPr>
              <w:t xml:space="preserve"> 501(c)(3) determination letter</w:t>
            </w:r>
            <w:r w:rsidRPr="00A84AFB">
              <w:rPr>
                <w:rFonts w:ascii="Times New Roman" w:eastAsia="Calibri" w:hAnsi="Times New Roman" w:cs="Times New Roman"/>
                <w:sz w:val="24"/>
                <w:szCs w:val="24"/>
              </w:rPr>
              <w:t xml:space="preserve">. </w:t>
            </w:r>
          </w:p>
        </w:tc>
        <w:tc>
          <w:tcPr>
            <w:tcW w:w="2700" w:type="dxa"/>
          </w:tcPr>
          <w:p w14:paraId="417E214B" w14:textId="77777777" w:rsidR="00990C7F" w:rsidRPr="00A84AFB" w:rsidRDefault="00990C7F" w:rsidP="00515C3E">
            <w:pPr>
              <w:rPr>
                <w:rFonts w:ascii="Times New Roman" w:eastAsia="Calibri" w:hAnsi="Times New Roman" w:cs="Times New Roman"/>
                <w:sz w:val="24"/>
                <w:szCs w:val="24"/>
              </w:rPr>
            </w:pPr>
          </w:p>
        </w:tc>
        <w:tc>
          <w:tcPr>
            <w:tcW w:w="720" w:type="dxa"/>
            <w:vAlign w:val="center"/>
          </w:tcPr>
          <w:p w14:paraId="1ED022A0" w14:textId="77777777" w:rsidR="00990C7F" w:rsidRPr="00A84AFB" w:rsidRDefault="00990C7F" w:rsidP="00515C3E">
            <w:pPr>
              <w:jc w:val="center"/>
              <w:rPr>
                <w:rFonts w:ascii="Times New Roman" w:eastAsia="Calibri" w:hAnsi="Times New Roman" w:cs="Times New Roman"/>
                <w:sz w:val="24"/>
                <w:szCs w:val="24"/>
              </w:rPr>
            </w:pPr>
            <w:r w:rsidRPr="00A84AFB">
              <w:rPr>
                <w:rFonts w:ascii="Times New Roman" w:eastAsia="Calibri" w:hAnsi="Times New Roman" w:cs="Times New Roman"/>
                <w:sz w:val="24"/>
                <w:szCs w:val="24"/>
              </w:rPr>
              <w:t>X</w:t>
            </w:r>
          </w:p>
        </w:tc>
        <w:tc>
          <w:tcPr>
            <w:tcW w:w="900" w:type="dxa"/>
          </w:tcPr>
          <w:p w14:paraId="31CD0893" w14:textId="77777777" w:rsidR="00990C7F" w:rsidRPr="00A84AFB" w:rsidRDefault="00990C7F" w:rsidP="00515C3E">
            <w:pPr>
              <w:rPr>
                <w:rFonts w:ascii="Times New Roman" w:eastAsia="Calibri" w:hAnsi="Times New Roman" w:cs="Times New Roman"/>
                <w:sz w:val="24"/>
                <w:szCs w:val="24"/>
              </w:rPr>
            </w:pPr>
          </w:p>
        </w:tc>
        <w:tc>
          <w:tcPr>
            <w:tcW w:w="810" w:type="dxa"/>
          </w:tcPr>
          <w:p w14:paraId="21CECEF0" w14:textId="77777777" w:rsidR="00990C7F" w:rsidRPr="00A84AFB" w:rsidRDefault="00990C7F" w:rsidP="00515C3E">
            <w:pPr>
              <w:rPr>
                <w:rFonts w:ascii="Times New Roman" w:eastAsia="Calibri" w:hAnsi="Times New Roman" w:cs="Times New Roman"/>
                <w:sz w:val="24"/>
                <w:szCs w:val="24"/>
              </w:rPr>
            </w:pPr>
          </w:p>
        </w:tc>
      </w:tr>
    </w:tbl>
    <w:p w14:paraId="60E50D37" w14:textId="77777777" w:rsidR="00990C7F" w:rsidRDefault="00990C7F" w:rsidP="005767A5">
      <w:pPr>
        <w:autoSpaceDE w:val="0"/>
        <w:autoSpaceDN w:val="0"/>
        <w:adjustRightInd w:val="0"/>
      </w:pPr>
    </w:p>
    <w:p w14:paraId="20203041" w14:textId="4DEFC34D" w:rsidR="005767A5" w:rsidRPr="00852AB8" w:rsidRDefault="00D27608" w:rsidP="00E449BC">
      <w:pPr>
        <w:autoSpaceDE w:val="0"/>
        <w:autoSpaceDN w:val="0"/>
        <w:adjustRightInd w:val="0"/>
        <w:rPr>
          <w:color w:val="1F4E79" w:themeColor="accent1" w:themeShade="80"/>
        </w:rPr>
      </w:pPr>
      <w:r w:rsidRPr="006F3FED">
        <w:rPr>
          <w:color w:val="auto"/>
        </w:rPr>
        <w:t>(c)</w:t>
      </w:r>
      <w:r w:rsidR="00990C7F" w:rsidRPr="006F3FED">
        <w:rPr>
          <w:color w:val="auto"/>
        </w:rPr>
        <w:t xml:space="preserve">. </w:t>
      </w:r>
      <w:r w:rsidR="006F3FED" w:rsidRPr="006F3FED">
        <w:rPr>
          <w:color w:val="auto"/>
          <w:u w:val="single"/>
        </w:rPr>
        <w:t>Application Formatting</w:t>
      </w:r>
      <w:r w:rsidR="006F3FED" w:rsidRPr="006F3FED">
        <w:rPr>
          <w:color w:val="auto"/>
        </w:rPr>
        <w:t xml:space="preserve"> </w:t>
      </w:r>
    </w:p>
    <w:p w14:paraId="29EA2982" w14:textId="4E171A1B" w:rsidR="00AB6BCD" w:rsidRPr="00852AB8" w:rsidRDefault="00AB6BCD" w:rsidP="00E449BC">
      <w:pPr>
        <w:autoSpaceDE w:val="0"/>
        <w:autoSpaceDN w:val="0"/>
        <w:adjustRightInd w:val="0"/>
        <w:rPr>
          <w:color w:val="FF0000"/>
        </w:rPr>
      </w:pPr>
    </w:p>
    <w:p w14:paraId="58A5AE78" w14:textId="33D1F096" w:rsidR="006F3FED" w:rsidRDefault="00AB6BCD" w:rsidP="00E449BC">
      <w:pPr>
        <w:autoSpaceDE w:val="0"/>
        <w:autoSpaceDN w:val="0"/>
        <w:adjustRightInd w:val="0"/>
      </w:pPr>
      <w:r>
        <w:t xml:space="preserve">Program Narratives may not exceed </w:t>
      </w:r>
      <w:r w:rsidR="00A30AC4" w:rsidRPr="00A30AC4">
        <w:rPr>
          <w:color w:val="auto"/>
        </w:rPr>
        <w:t>20</w:t>
      </w:r>
      <w:r w:rsidR="008537D7">
        <w:t xml:space="preserve"> pages and must written in Times New Roman</w:t>
      </w:r>
      <w:r w:rsidR="003B6CC4">
        <w:t xml:space="preserve">, </w:t>
      </w:r>
      <w:r>
        <w:t xml:space="preserve">size </w:t>
      </w:r>
      <w:r w:rsidR="008537D7" w:rsidRPr="008537D7">
        <w:rPr>
          <w:color w:val="auto"/>
        </w:rPr>
        <w:t xml:space="preserve">12 </w:t>
      </w:r>
      <w:r>
        <w:t>font. Do not delete template questions in your response.</w:t>
      </w:r>
      <w:r w:rsidR="00B91F92">
        <w:t xml:space="preserve"> Include any agreements with or support letters from third parties required under this Notice.</w:t>
      </w:r>
    </w:p>
    <w:p w14:paraId="620CBBE0" w14:textId="77777777" w:rsidR="005767A5" w:rsidRDefault="005767A5" w:rsidP="00E449BC">
      <w:pPr>
        <w:autoSpaceDE w:val="0"/>
        <w:autoSpaceDN w:val="0"/>
        <w:adjustRightInd w:val="0"/>
      </w:pPr>
    </w:p>
    <w:p w14:paraId="0E0C189A" w14:textId="2F73E89B" w:rsidR="005767A5" w:rsidRDefault="00E3661F" w:rsidP="00E449BC">
      <w:pPr>
        <w:autoSpaceDE w:val="0"/>
        <w:autoSpaceDN w:val="0"/>
        <w:adjustRightInd w:val="0"/>
        <w:ind w:left="360"/>
      </w:pPr>
      <w:r w:rsidRPr="002118AF">
        <w:rPr>
          <w:b/>
          <w:i/>
        </w:rPr>
        <w:t>3</w:t>
      </w:r>
      <w:r w:rsidR="00506B40" w:rsidRPr="002118AF">
        <w:rPr>
          <w:b/>
          <w:i/>
        </w:rPr>
        <w:t>.</w:t>
      </w:r>
      <w:r w:rsidR="00506B40">
        <w:rPr>
          <w:b/>
        </w:rPr>
        <w:t xml:space="preserve"> </w:t>
      </w:r>
      <w:r w:rsidR="005767A5" w:rsidRPr="006F3FED">
        <w:rPr>
          <w:b/>
          <w:i/>
        </w:rPr>
        <w:t>Dun and Bradstreet Universal Numbering System (DUNS) Number and System for Award Management (SAM)</w:t>
      </w:r>
      <w:r w:rsidR="005767A5" w:rsidRPr="005767A5">
        <w:t xml:space="preserve"> </w:t>
      </w:r>
      <w:bookmarkStart w:id="10" w:name="_Hlk534485615"/>
      <w:r w:rsidR="00990C7F">
        <w:t>Each</w:t>
      </w:r>
      <w:r w:rsidR="005767A5" w:rsidRPr="005767A5">
        <w:t xml:space="preserve"> applicant (unless the applicant is an individual or </w:t>
      </w:r>
      <w:r w:rsidR="00E572A7">
        <w:t>f</w:t>
      </w:r>
      <w:r w:rsidR="005767A5" w:rsidRPr="005767A5">
        <w:t xml:space="preserve">ederal or </w:t>
      </w:r>
      <w:r w:rsidR="00E572A7">
        <w:t>s</w:t>
      </w:r>
      <w:r w:rsidR="005767A5" w:rsidRPr="005767A5">
        <w:t xml:space="preserve">tate awarding agency that is exempt from those requirements under 2 CFR § 25.110(b) or (c), or has an exception approved by the </w:t>
      </w:r>
      <w:r w:rsidR="00E572A7">
        <w:t>f</w:t>
      </w:r>
      <w:r w:rsidR="005767A5" w:rsidRPr="005767A5">
        <w:t xml:space="preserve">ederal or </w:t>
      </w:r>
      <w:r w:rsidR="00E572A7">
        <w:t>s</w:t>
      </w:r>
      <w:r w:rsidR="005767A5" w:rsidRPr="005767A5">
        <w:t>tate awarding agency under 2 CFR § 25.110(d)) is required to:</w:t>
      </w:r>
    </w:p>
    <w:p w14:paraId="40B10B15" w14:textId="77777777" w:rsidR="00990C7F" w:rsidRDefault="00990C7F" w:rsidP="00E449BC">
      <w:pPr>
        <w:autoSpaceDE w:val="0"/>
        <w:autoSpaceDN w:val="0"/>
        <w:adjustRightInd w:val="0"/>
      </w:pPr>
    </w:p>
    <w:p w14:paraId="75C8AE09" w14:textId="5094E9BC" w:rsidR="005767A5" w:rsidRDefault="00D27608" w:rsidP="00E449BC">
      <w:pPr>
        <w:autoSpaceDE w:val="0"/>
        <w:autoSpaceDN w:val="0"/>
        <w:adjustRightInd w:val="0"/>
      </w:pPr>
      <w:r>
        <w:t>(a)</w:t>
      </w:r>
      <w:r w:rsidR="005767A5">
        <w:t>. Be registered in SAM before submitting its application. To establish a SAM registration, go to www.SAM.gov and/or utilize this instructional link: How to Register in SAM from the www.grants.illinois.gov Resource Links tab.</w:t>
      </w:r>
    </w:p>
    <w:p w14:paraId="75E64853" w14:textId="77777777" w:rsidR="005767A5" w:rsidRDefault="005767A5" w:rsidP="00E449BC">
      <w:pPr>
        <w:autoSpaceDE w:val="0"/>
        <w:autoSpaceDN w:val="0"/>
        <w:adjustRightInd w:val="0"/>
      </w:pPr>
    </w:p>
    <w:p w14:paraId="2EC9783F" w14:textId="5746F918" w:rsidR="005767A5" w:rsidRDefault="00D27608" w:rsidP="00E449BC">
      <w:pPr>
        <w:autoSpaceDE w:val="0"/>
        <w:autoSpaceDN w:val="0"/>
        <w:adjustRightInd w:val="0"/>
      </w:pPr>
      <w:r>
        <w:t>(b)</w:t>
      </w:r>
      <w:r w:rsidR="005767A5">
        <w:t xml:space="preserve">. </w:t>
      </w:r>
      <w:r w:rsidR="00990C7F" w:rsidRPr="00990C7F">
        <w:t>Provide a valid DUNS number in its application. To obtain a DUNS number, visit from Dun and Bradstreet, Inc., online at www.dunandbradstreet.com or call 1-866-705- 5711.</w:t>
      </w:r>
      <w:r w:rsidR="005767A5">
        <w:t>; and</w:t>
      </w:r>
    </w:p>
    <w:p w14:paraId="7E3EF71D" w14:textId="77777777" w:rsidR="005767A5" w:rsidRDefault="005767A5" w:rsidP="00E449BC">
      <w:pPr>
        <w:autoSpaceDE w:val="0"/>
        <w:autoSpaceDN w:val="0"/>
        <w:adjustRightInd w:val="0"/>
      </w:pPr>
    </w:p>
    <w:p w14:paraId="47CDD4D6" w14:textId="32D6A421" w:rsidR="005767A5" w:rsidRDefault="00D27608" w:rsidP="00E449BC">
      <w:pPr>
        <w:autoSpaceDE w:val="0"/>
        <w:autoSpaceDN w:val="0"/>
        <w:adjustRightInd w:val="0"/>
      </w:pPr>
      <w:r>
        <w:t>(c)</w:t>
      </w:r>
      <w:r w:rsidR="005767A5">
        <w:t xml:space="preserve">. Continue to maintain an active SAM registration with current information at all times during which it has an active award or an application or plan under consideration by a </w:t>
      </w:r>
      <w:r w:rsidR="00E572A7">
        <w:t>f</w:t>
      </w:r>
      <w:r w:rsidR="005767A5">
        <w:t xml:space="preserve">ederal or </w:t>
      </w:r>
      <w:r w:rsidR="00E572A7">
        <w:t>s</w:t>
      </w:r>
      <w:r w:rsidR="005767A5">
        <w:t xml:space="preserve">tate awarding agency. </w:t>
      </w:r>
      <w:r w:rsidR="00990C7F">
        <w:t>ICJIA</w:t>
      </w:r>
      <w:r w:rsidR="005767A5">
        <w:t xml:space="preserve"> may not make a </w:t>
      </w:r>
      <w:r w:rsidR="00E572A7">
        <w:t>f</w:t>
      </w:r>
      <w:r w:rsidR="005767A5">
        <w:t xml:space="preserve">ederal pass-through or </w:t>
      </w:r>
      <w:r w:rsidR="00E572A7">
        <w:t>s</w:t>
      </w:r>
      <w:r w:rsidR="005767A5">
        <w:t xml:space="preserve">tate award to an applicant until the applicant has complied with all applicable DUNS and SAM requirements and, if an applicant has not fully complied with the requirements by the time </w:t>
      </w:r>
      <w:r w:rsidR="00506B40">
        <w:t>ICJIA</w:t>
      </w:r>
      <w:r w:rsidR="00990C7F">
        <w:t xml:space="preserve"> is ready to make an </w:t>
      </w:r>
      <w:r w:rsidR="005767A5">
        <w:t xml:space="preserve">award, </w:t>
      </w:r>
      <w:r w:rsidR="00506B40">
        <w:t xml:space="preserve">ICJIA may determine that </w:t>
      </w:r>
      <w:r w:rsidR="005767A5">
        <w:t>the applican</w:t>
      </w:r>
      <w:r w:rsidR="00506B40">
        <w:t>t</w:t>
      </w:r>
      <w:r w:rsidR="00990C7F">
        <w:t xml:space="preserve"> </w:t>
      </w:r>
      <w:r w:rsidR="00506B40">
        <w:t xml:space="preserve">is </w:t>
      </w:r>
      <w:r w:rsidR="00990C7F">
        <w:t xml:space="preserve">not qualified to receive an </w:t>
      </w:r>
      <w:r w:rsidR="005767A5">
        <w:t>award</w:t>
      </w:r>
      <w:r w:rsidR="00506B40">
        <w:t xml:space="preserve">, </w:t>
      </w:r>
      <w:r w:rsidR="00506B40" w:rsidRPr="00506B40">
        <w:t>and may use that determination as a basis for making a federal pass-through or state award to another applicant</w:t>
      </w:r>
      <w:r w:rsidR="005767A5" w:rsidRPr="005767A5">
        <w:t>.</w:t>
      </w:r>
    </w:p>
    <w:bookmarkEnd w:id="10"/>
    <w:p w14:paraId="47808E84" w14:textId="77777777" w:rsidR="00990C7F" w:rsidRDefault="00990C7F" w:rsidP="00E449BC">
      <w:pPr>
        <w:autoSpaceDE w:val="0"/>
        <w:autoSpaceDN w:val="0"/>
        <w:adjustRightInd w:val="0"/>
      </w:pPr>
    </w:p>
    <w:p w14:paraId="1964E977" w14:textId="77777777" w:rsidR="001D1586" w:rsidRDefault="00E3661F" w:rsidP="00E449BC">
      <w:pPr>
        <w:autoSpaceDE w:val="0"/>
        <w:autoSpaceDN w:val="0"/>
        <w:adjustRightInd w:val="0"/>
        <w:ind w:left="360"/>
        <w:rPr>
          <w:b/>
          <w:color w:val="1F4E79" w:themeColor="accent1" w:themeShade="80"/>
        </w:rPr>
      </w:pPr>
      <w:r w:rsidRPr="002118AF">
        <w:rPr>
          <w:b/>
          <w:i/>
        </w:rPr>
        <w:t>4</w:t>
      </w:r>
      <w:r w:rsidR="005F1CC5" w:rsidRPr="002118AF">
        <w:rPr>
          <w:b/>
          <w:i/>
        </w:rPr>
        <w:t>.</w:t>
      </w:r>
      <w:r w:rsidR="005F1CC5" w:rsidRPr="00AA38E8">
        <w:rPr>
          <w:b/>
        </w:rPr>
        <w:t xml:space="preserve"> </w:t>
      </w:r>
      <w:r w:rsidR="005F1CC5" w:rsidRPr="003B6CC4">
        <w:rPr>
          <w:b/>
          <w:i/>
        </w:rPr>
        <w:t>Submission Dates</w:t>
      </w:r>
      <w:r w:rsidR="008E530A" w:rsidRPr="003B6CC4">
        <w:rPr>
          <w:b/>
          <w:i/>
        </w:rPr>
        <w:t xml:space="preserve">, </w:t>
      </w:r>
      <w:r w:rsidR="005F1CC5" w:rsidRPr="003B6CC4">
        <w:rPr>
          <w:b/>
          <w:i/>
        </w:rPr>
        <w:t>Times</w:t>
      </w:r>
      <w:r w:rsidR="008E530A" w:rsidRPr="003B6CC4">
        <w:rPr>
          <w:b/>
          <w:i/>
        </w:rPr>
        <w:t>, and Method</w:t>
      </w:r>
      <w:r w:rsidR="00AA38E8" w:rsidRPr="00852AB8">
        <w:rPr>
          <w:b/>
          <w:color w:val="1F4E79" w:themeColor="accent1" w:themeShade="80"/>
        </w:rPr>
        <w:t xml:space="preserve"> </w:t>
      </w:r>
      <w:r w:rsidR="00720D02">
        <w:rPr>
          <w:b/>
          <w:color w:val="1F4E79" w:themeColor="accent1" w:themeShade="80"/>
        </w:rPr>
        <w:t xml:space="preserve"> </w:t>
      </w:r>
    </w:p>
    <w:p w14:paraId="7889BFE9" w14:textId="1B5FB1FE" w:rsidR="005F1CC5" w:rsidRDefault="005F1CC5" w:rsidP="00E449BC">
      <w:pPr>
        <w:autoSpaceDE w:val="0"/>
        <w:autoSpaceDN w:val="0"/>
        <w:adjustRightInd w:val="0"/>
        <w:ind w:left="360"/>
      </w:pPr>
    </w:p>
    <w:p w14:paraId="1D2039CA" w14:textId="03B0966E" w:rsidR="00757265" w:rsidRDefault="00D27608" w:rsidP="00E449BC">
      <w:pPr>
        <w:autoSpaceDE w:val="0"/>
        <w:autoSpaceDN w:val="0"/>
        <w:adjustRightInd w:val="0"/>
      </w:pPr>
      <w:r>
        <w:t>(a)</w:t>
      </w:r>
      <w:r w:rsidR="005F1CC5" w:rsidRPr="00845A48">
        <w:t>.</w:t>
      </w:r>
      <w:r w:rsidR="005F1CC5" w:rsidRPr="00845A48">
        <w:rPr>
          <w:b/>
        </w:rPr>
        <w:t xml:space="preserve"> </w:t>
      </w:r>
      <w:r w:rsidR="00845A48" w:rsidRPr="00845A48">
        <w:rPr>
          <w:b/>
        </w:rPr>
        <w:t xml:space="preserve">All required application materials must be emailed to </w:t>
      </w:r>
      <w:hyperlink r:id="rId11" w:history="1">
        <w:r w:rsidR="00546B1E" w:rsidRPr="00174D08">
          <w:rPr>
            <w:rStyle w:val="Hyperlink"/>
          </w:rPr>
          <w:t>Shai.Hoffman@Illinois.gov</w:t>
        </w:r>
      </w:hyperlink>
      <w:r w:rsidR="000452F0">
        <w:rPr>
          <w:rStyle w:val="Hyperlink"/>
        </w:rPr>
        <w:t xml:space="preserve"> </w:t>
      </w:r>
      <w:r w:rsidR="00845A48" w:rsidRPr="00845A48">
        <w:rPr>
          <w:b/>
        </w:rPr>
        <w:t xml:space="preserve">by 11:59 p.m. on </w:t>
      </w:r>
      <w:r w:rsidR="006A4E18" w:rsidRPr="006A4E18">
        <w:rPr>
          <w:b/>
          <w:color w:val="auto"/>
        </w:rPr>
        <w:t>Tuesday, August 6, 2019</w:t>
      </w:r>
      <w:r w:rsidR="00845A48" w:rsidRPr="00845A48">
        <w:rPr>
          <w:b/>
        </w:rPr>
        <w:t xml:space="preserve">, to be considered for funding. Proposals will not be accepted by mail, fax, or in-person. Incomplete applications </w:t>
      </w:r>
      <w:r w:rsidR="00B91F92">
        <w:rPr>
          <w:b/>
        </w:rPr>
        <w:t xml:space="preserve">or those sent to another email address </w:t>
      </w:r>
      <w:r w:rsidR="00845A48" w:rsidRPr="00845A48">
        <w:rPr>
          <w:b/>
        </w:rPr>
        <w:t>will not be reviewed. Late submissions will not be reviewed.</w:t>
      </w:r>
      <w:r w:rsidR="00506B40" w:rsidRPr="00845A48">
        <w:rPr>
          <w:b/>
        </w:rPr>
        <w:t xml:space="preserve"> </w:t>
      </w:r>
    </w:p>
    <w:p w14:paraId="68E0CAE9" w14:textId="77777777" w:rsidR="00D830DA" w:rsidRDefault="00D830DA" w:rsidP="00E449BC">
      <w:pPr>
        <w:autoSpaceDE w:val="0"/>
        <w:autoSpaceDN w:val="0"/>
        <w:adjustRightInd w:val="0"/>
      </w:pPr>
    </w:p>
    <w:p w14:paraId="5262E616" w14:textId="1E09A0C0" w:rsidR="00845A48" w:rsidRDefault="00D27608" w:rsidP="00E449BC">
      <w:pPr>
        <w:autoSpaceDE w:val="0"/>
        <w:autoSpaceDN w:val="0"/>
        <w:adjustRightInd w:val="0"/>
      </w:pPr>
      <w:r>
        <w:t>(b)</w:t>
      </w:r>
      <w:r w:rsidR="00845A48">
        <w:t>. Applicants</w:t>
      </w:r>
      <w:r w:rsidR="00845A48" w:rsidRPr="00845A48">
        <w:t xml:space="preserve"> are encouraged to submit their applications 72 hours in advance of the deadline. Technical difficulties experienced at any point during the process should be reported immediately to ICJIA </w:t>
      </w:r>
      <w:bookmarkStart w:id="11" w:name="_Hlk534485718"/>
      <w:r w:rsidR="00845A48" w:rsidRPr="00845A48">
        <w:t xml:space="preserve">by calling </w:t>
      </w:r>
      <w:r w:rsidR="00A30AC4" w:rsidRPr="00ED3EE7">
        <w:rPr>
          <w:color w:val="auto"/>
        </w:rPr>
        <w:t>Shai Hoffman</w:t>
      </w:r>
      <w:r w:rsidR="00845A48" w:rsidRPr="00ED3EE7">
        <w:rPr>
          <w:color w:val="auto"/>
        </w:rPr>
        <w:t xml:space="preserve"> at</w:t>
      </w:r>
      <w:r w:rsidR="00A30AC4" w:rsidRPr="00ED3EE7">
        <w:rPr>
          <w:color w:val="auto"/>
        </w:rPr>
        <w:t xml:space="preserve"> 312.</w:t>
      </w:r>
      <w:r w:rsidR="00E72ECA" w:rsidRPr="00ED3EE7">
        <w:rPr>
          <w:color w:val="auto"/>
        </w:rPr>
        <w:t>814.0706</w:t>
      </w:r>
      <w:r w:rsidR="00845A48" w:rsidRPr="00ED3EE7">
        <w:rPr>
          <w:color w:val="auto"/>
        </w:rPr>
        <w:t xml:space="preserve">, </w:t>
      </w:r>
      <w:r w:rsidR="00845A48" w:rsidRPr="00845A48">
        <w:t xml:space="preserve">or </w:t>
      </w:r>
      <w:r w:rsidR="00757265">
        <w:t>emailing</w:t>
      </w:r>
      <w:bookmarkEnd w:id="11"/>
      <w:r w:rsidR="00757265">
        <w:t xml:space="preserve"> </w:t>
      </w:r>
      <w:hyperlink r:id="rId12" w:history="1">
        <w:r w:rsidR="00546B1E" w:rsidRPr="00174D08">
          <w:rPr>
            <w:rStyle w:val="Hyperlink"/>
          </w:rPr>
          <w:t xml:space="preserve"> Shai.Hoffman@Illinois.gov</w:t>
        </w:r>
      </w:hyperlink>
      <w:r w:rsidR="00845A48" w:rsidRPr="00845A48">
        <w:t>.</w:t>
      </w:r>
    </w:p>
    <w:p w14:paraId="719FB0EB" w14:textId="7F2A54EF" w:rsidR="00CC7B10" w:rsidRDefault="00CC7B10" w:rsidP="00CC7B10">
      <w:pPr>
        <w:autoSpaceDE w:val="0"/>
        <w:autoSpaceDN w:val="0"/>
        <w:adjustRightInd w:val="0"/>
        <w:ind w:left="0"/>
        <w:rPr>
          <w:color w:val="1F4E79" w:themeColor="accent1" w:themeShade="80"/>
        </w:rPr>
      </w:pPr>
    </w:p>
    <w:p w14:paraId="13DF208D" w14:textId="1F68E15B" w:rsidR="00CC7B10" w:rsidRPr="00E24A3D" w:rsidRDefault="00CC7B10" w:rsidP="00362A41">
      <w:pPr>
        <w:autoSpaceDE w:val="0"/>
        <w:autoSpaceDN w:val="0"/>
        <w:adjustRightInd w:val="0"/>
      </w:pPr>
      <w:r w:rsidRPr="00E24A3D">
        <w:lastRenderedPageBreak/>
        <w:t xml:space="preserve">Applicants will receive an automatic reply to their email submission. Applicants that do not receive an automatic reply to their submission email should immediately contact </w:t>
      </w:r>
      <w:r w:rsidR="00E72ECA" w:rsidRPr="00ED3EE7">
        <w:rPr>
          <w:color w:val="auto"/>
        </w:rPr>
        <w:t xml:space="preserve">Shai Hoffman </w:t>
      </w:r>
      <w:r w:rsidRPr="00ED3EE7">
        <w:rPr>
          <w:color w:val="auto"/>
        </w:rPr>
        <w:t xml:space="preserve">at </w:t>
      </w:r>
      <w:r w:rsidR="00E72ECA" w:rsidRPr="00ED3EE7">
        <w:rPr>
          <w:color w:val="auto"/>
        </w:rPr>
        <w:t>312.814.0706</w:t>
      </w:r>
      <w:r w:rsidR="001D1586" w:rsidRPr="00ED3EE7">
        <w:rPr>
          <w:color w:val="auto"/>
        </w:rPr>
        <w:t xml:space="preserve"> </w:t>
      </w:r>
      <w:r w:rsidRPr="00E24A3D">
        <w:t xml:space="preserve">or </w:t>
      </w:r>
      <w:hyperlink r:id="rId13" w:history="1">
        <w:r w:rsidR="00546B1E" w:rsidRPr="00174D08">
          <w:rPr>
            <w:rStyle w:val="Hyperlink"/>
          </w:rPr>
          <w:t xml:space="preserve"> Shai.Hoffman@Illinois.gov</w:t>
        </w:r>
      </w:hyperlink>
      <w:r w:rsidRPr="00E24A3D">
        <w:t>.</w:t>
      </w:r>
    </w:p>
    <w:p w14:paraId="71F06DA7" w14:textId="77777777" w:rsidR="00CC7B10" w:rsidRPr="00E24A3D" w:rsidRDefault="00CC7B10" w:rsidP="00CC7B10">
      <w:pPr>
        <w:autoSpaceDE w:val="0"/>
        <w:autoSpaceDN w:val="0"/>
        <w:adjustRightInd w:val="0"/>
        <w:ind w:left="360"/>
      </w:pPr>
    </w:p>
    <w:p w14:paraId="4B7EAB04" w14:textId="77777777" w:rsidR="001D1586" w:rsidRDefault="00E3661F" w:rsidP="00942873">
      <w:pPr>
        <w:autoSpaceDE w:val="0"/>
        <w:autoSpaceDN w:val="0"/>
        <w:adjustRightInd w:val="0"/>
        <w:ind w:left="360"/>
        <w:rPr>
          <w:b/>
        </w:rPr>
      </w:pPr>
      <w:r w:rsidRPr="002118AF">
        <w:rPr>
          <w:b/>
          <w:i/>
        </w:rPr>
        <w:t>5</w:t>
      </w:r>
      <w:r w:rsidR="005F1CC5" w:rsidRPr="002118AF">
        <w:rPr>
          <w:b/>
          <w:i/>
        </w:rPr>
        <w:t>.</w:t>
      </w:r>
      <w:r w:rsidR="005F1CC5" w:rsidRPr="003A150B">
        <w:rPr>
          <w:b/>
        </w:rPr>
        <w:t xml:space="preserve"> </w:t>
      </w:r>
      <w:r w:rsidR="00845A48" w:rsidRPr="00CC7B10">
        <w:rPr>
          <w:b/>
          <w:i/>
        </w:rPr>
        <w:t>Application Questions</w:t>
      </w:r>
      <w:r w:rsidR="00757265">
        <w:rPr>
          <w:b/>
        </w:rPr>
        <w:t xml:space="preserve"> </w:t>
      </w:r>
    </w:p>
    <w:p w14:paraId="50FBF3AC" w14:textId="77777777" w:rsidR="001D1586" w:rsidRDefault="001D1586" w:rsidP="00942873">
      <w:pPr>
        <w:autoSpaceDE w:val="0"/>
        <w:autoSpaceDN w:val="0"/>
        <w:adjustRightInd w:val="0"/>
        <w:ind w:left="360"/>
        <w:rPr>
          <w:b/>
        </w:rPr>
      </w:pPr>
    </w:p>
    <w:p w14:paraId="7C10046A" w14:textId="6498FDD7" w:rsidR="00757265" w:rsidRPr="00757265" w:rsidRDefault="00757265" w:rsidP="001D1586">
      <w:pPr>
        <w:autoSpaceDE w:val="0"/>
        <w:autoSpaceDN w:val="0"/>
        <w:adjustRightInd w:val="0"/>
      </w:pPr>
      <w:r w:rsidRPr="00757265">
        <w:t xml:space="preserve">Questions may be submitted via </w:t>
      </w:r>
      <w:r>
        <w:t xml:space="preserve">email at </w:t>
      </w:r>
      <w:hyperlink r:id="rId14" w:history="1">
        <w:r w:rsidR="004E21FA" w:rsidRPr="00174D08">
          <w:rPr>
            <w:rStyle w:val="Hyperlink"/>
          </w:rPr>
          <w:t xml:space="preserve"> Shai.Hoffman@Illinois.gov</w:t>
        </w:r>
      </w:hyperlink>
      <w:r>
        <w:t xml:space="preserve">. </w:t>
      </w:r>
    </w:p>
    <w:p w14:paraId="1EEDF944" w14:textId="77777777" w:rsidR="00845A48" w:rsidRPr="00757265" w:rsidRDefault="00845A48" w:rsidP="00E449BC">
      <w:pPr>
        <w:autoSpaceDE w:val="0"/>
        <w:autoSpaceDN w:val="0"/>
        <w:adjustRightInd w:val="0"/>
        <w:ind w:left="360"/>
      </w:pPr>
    </w:p>
    <w:p w14:paraId="24748070" w14:textId="05055956" w:rsidR="005F1CC5" w:rsidRDefault="00E3661F" w:rsidP="00E449BC">
      <w:pPr>
        <w:autoSpaceDE w:val="0"/>
        <w:autoSpaceDN w:val="0"/>
        <w:adjustRightInd w:val="0"/>
        <w:ind w:left="360"/>
      </w:pPr>
      <w:r w:rsidRPr="002118AF">
        <w:rPr>
          <w:b/>
          <w:i/>
        </w:rPr>
        <w:t>6</w:t>
      </w:r>
      <w:r w:rsidR="00757265" w:rsidRPr="002118AF">
        <w:rPr>
          <w:b/>
          <w:i/>
        </w:rPr>
        <w:t>.</w:t>
      </w:r>
      <w:r w:rsidR="00757265">
        <w:rPr>
          <w:b/>
        </w:rPr>
        <w:t xml:space="preserve"> </w:t>
      </w:r>
      <w:r w:rsidR="005F1CC5" w:rsidRPr="00A519BE">
        <w:rPr>
          <w:b/>
          <w:i/>
        </w:rPr>
        <w:t>Funding Restrictions</w:t>
      </w:r>
      <w:r w:rsidR="005F1CC5" w:rsidRPr="005F1CC5">
        <w:t xml:space="preserve"> </w:t>
      </w:r>
    </w:p>
    <w:p w14:paraId="4D5001DA" w14:textId="2A1E38EA" w:rsidR="00757265" w:rsidRDefault="00757265" w:rsidP="00E449BC">
      <w:pPr>
        <w:autoSpaceDE w:val="0"/>
        <w:autoSpaceDN w:val="0"/>
        <w:adjustRightInd w:val="0"/>
        <w:ind w:left="360"/>
      </w:pPr>
    </w:p>
    <w:p w14:paraId="394B967B" w14:textId="3940FE27" w:rsidR="00757265" w:rsidRDefault="00D27608" w:rsidP="00E449BC">
      <w:pPr>
        <w:autoSpaceDE w:val="0"/>
        <w:autoSpaceDN w:val="0"/>
        <w:adjustRightInd w:val="0"/>
      </w:pPr>
      <w:bookmarkStart w:id="12" w:name="_Hlk534485822"/>
      <w:r>
        <w:t>(a)</w:t>
      </w:r>
      <w:r w:rsidR="00757265">
        <w:t xml:space="preserve">. </w:t>
      </w:r>
      <w:r w:rsidR="00515C3E" w:rsidRPr="00515C3E">
        <w:rPr>
          <w:u w:val="single"/>
        </w:rPr>
        <w:t>Federal Financial Guide</w:t>
      </w:r>
      <w:r w:rsidR="00515C3E">
        <w:t xml:space="preserve"> Applicants must follow the current edition of the Department of Justice Grants</w:t>
      </w:r>
      <w:r w:rsidR="00757265">
        <w:t xml:space="preserve"> Financial Guide which details allowable and unallowable costs is available at</w:t>
      </w:r>
      <w:r w:rsidR="00515C3E">
        <w:t xml:space="preserve">: </w:t>
      </w:r>
      <w:hyperlink r:id="rId15" w:history="1">
        <w:r w:rsidR="00245EBB" w:rsidRPr="00F902DC">
          <w:rPr>
            <w:rStyle w:val="Hyperlink"/>
          </w:rPr>
          <w:t>https://ojp.gov/financialguide/doj/pdfs/DOJ_FinancialGuide.pdf</w:t>
        </w:r>
      </w:hyperlink>
      <w:r w:rsidR="00245EBB">
        <w:rPr>
          <w:color w:val="FF0000"/>
        </w:rPr>
        <w:t xml:space="preserve">. </w:t>
      </w:r>
      <w:r w:rsidR="00245EBB" w:rsidRPr="00245EBB">
        <w:rPr>
          <w:color w:val="FF0000"/>
        </w:rPr>
        <w:t xml:space="preserve"> </w:t>
      </w:r>
      <w:r w:rsidR="00515C3E">
        <w:t xml:space="preserve">Costs </w:t>
      </w:r>
      <w:r w:rsidR="00757265">
        <w:t>may be determined to be unallowable even if not expressly prohibited in the Federal Financial Guide.</w:t>
      </w:r>
    </w:p>
    <w:p w14:paraId="23D8B4B1" w14:textId="77777777" w:rsidR="00757265" w:rsidRDefault="00757265" w:rsidP="00E449BC">
      <w:pPr>
        <w:autoSpaceDE w:val="0"/>
        <w:autoSpaceDN w:val="0"/>
        <w:adjustRightInd w:val="0"/>
        <w:ind w:left="360"/>
      </w:pPr>
    </w:p>
    <w:p w14:paraId="25B17BBD" w14:textId="05BE2F77" w:rsidR="005F64A7" w:rsidRDefault="00D27608" w:rsidP="00A519BE">
      <w:pPr>
        <w:tabs>
          <w:tab w:val="left" w:pos="720"/>
        </w:tabs>
        <w:autoSpaceDE w:val="0"/>
        <w:autoSpaceDN w:val="0"/>
        <w:adjustRightInd w:val="0"/>
      </w:pPr>
      <w:r>
        <w:t>(b)</w:t>
      </w:r>
      <w:r w:rsidR="005F64A7">
        <w:t xml:space="preserve">. </w:t>
      </w:r>
      <w:r w:rsidR="00757265" w:rsidRPr="005F64A7">
        <w:rPr>
          <w:u w:val="single"/>
        </w:rPr>
        <w:t>Prohibited Uses</w:t>
      </w:r>
      <w:r w:rsidR="00AC5D7A">
        <w:rPr>
          <w:u w:val="single"/>
        </w:rPr>
        <w:t>:</w:t>
      </w:r>
      <w:r w:rsidR="005F64A7" w:rsidRPr="005F64A7">
        <w:t xml:space="preserve"> </w:t>
      </w:r>
      <w:r w:rsidR="0092190C">
        <w:t xml:space="preserve">The following is a non-exhaustive list of services, activities, goods, and other costs that cannot be supported through this </w:t>
      </w:r>
      <w:r w:rsidR="00AC5D7A">
        <w:t>funding opportunity</w:t>
      </w:r>
      <w:r w:rsidR="0092190C">
        <w:t>:</w:t>
      </w:r>
    </w:p>
    <w:p w14:paraId="74C62285" w14:textId="77777777" w:rsidR="005F64A7" w:rsidRDefault="005F64A7" w:rsidP="00E449BC">
      <w:pPr>
        <w:autoSpaceDE w:val="0"/>
        <w:autoSpaceDN w:val="0"/>
        <w:adjustRightInd w:val="0"/>
      </w:pPr>
    </w:p>
    <w:p w14:paraId="6A4993DE" w14:textId="6935ED8F" w:rsidR="005F64A7" w:rsidRDefault="004820B2" w:rsidP="009E04DE">
      <w:pPr>
        <w:pStyle w:val="ListParagraph"/>
        <w:numPr>
          <w:ilvl w:val="2"/>
          <w:numId w:val="11"/>
        </w:numPr>
        <w:autoSpaceDE w:val="0"/>
        <w:autoSpaceDN w:val="0"/>
        <w:adjustRightInd w:val="0"/>
        <w:ind w:left="1440"/>
      </w:pPr>
      <w:r>
        <w:t>L</w:t>
      </w:r>
      <w:r w:rsidR="00757265">
        <w:t>and acquisition</w:t>
      </w:r>
      <w:r w:rsidR="005F64A7">
        <w:t xml:space="preserve"> </w:t>
      </w:r>
    </w:p>
    <w:p w14:paraId="0D545907" w14:textId="4E9AF2F9" w:rsidR="005F64A7" w:rsidRDefault="004820B2" w:rsidP="009E04DE">
      <w:pPr>
        <w:pStyle w:val="ListParagraph"/>
        <w:numPr>
          <w:ilvl w:val="2"/>
          <w:numId w:val="11"/>
        </w:numPr>
        <w:autoSpaceDE w:val="0"/>
        <w:autoSpaceDN w:val="0"/>
        <w:adjustRightInd w:val="0"/>
        <w:ind w:left="1440"/>
      </w:pPr>
      <w:r>
        <w:t>N</w:t>
      </w:r>
      <w:r w:rsidR="005F64A7">
        <w:t xml:space="preserve">ew </w:t>
      </w:r>
      <w:r w:rsidR="00757265">
        <w:t>construction</w:t>
      </w:r>
      <w:r w:rsidR="005F64A7">
        <w:t xml:space="preserve"> </w:t>
      </w:r>
    </w:p>
    <w:p w14:paraId="1F869AB7" w14:textId="18F9581F" w:rsidR="005F64A7" w:rsidRDefault="004820B2" w:rsidP="009E04DE">
      <w:pPr>
        <w:pStyle w:val="ListParagraph"/>
        <w:numPr>
          <w:ilvl w:val="2"/>
          <w:numId w:val="11"/>
        </w:numPr>
        <w:autoSpaceDE w:val="0"/>
        <w:autoSpaceDN w:val="0"/>
        <w:adjustRightInd w:val="0"/>
        <w:ind w:left="1440"/>
      </w:pPr>
      <w:r>
        <w:t>A</w:t>
      </w:r>
      <w:r w:rsidR="005F64A7" w:rsidRPr="005F64A7">
        <w:t xml:space="preserve"> renovation, lease, or any other proposed use of a building or facility that will either (a) result in a change in its basic prior use or (b) significantly change its size</w:t>
      </w:r>
      <w:r w:rsidR="005F64A7">
        <w:t xml:space="preserve"> </w:t>
      </w:r>
    </w:p>
    <w:p w14:paraId="346A74F0" w14:textId="5D63D2E8" w:rsidR="005F64A7" w:rsidRDefault="004820B2" w:rsidP="009E04DE">
      <w:pPr>
        <w:pStyle w:val="ListParagraph"/>
        <w:numPr>
          <w:ilvl w:val="2"/>
          <w:numId w:val="11"/>
        </w:numPr>
        <w:autoSpaceDE w:val="0"/>
        <w:autoSpaceDN w:val="0"/>
        <w:adjustRightInd w:val="0"/>
        <w:ind w:left="1440"/>
      </w:pPr>
      <w:r>
        <w:t>M</w:t>
      </w:r>
      <w:r w:rsidR="005F64A7" w:rsidRPr="005F64A7">
        <w:t>inor renovation or remodeling of a property either (a) listed or eligible for listing on the National Register of Historic Places or (b) locate</w:t>
      </w:r>
      <w:r w:rsidR="005F64A7">
        <w:t>d within a 100-year flood plain</w:t>
      </w:r>
      <w:r w:rsidR="000D78B3">
        <w:t xml:space="preserve"> </w:t>
      </w:r>
    </w:p>
    <w:p w14:paraId="2C377038" w14:textId="534A5FF3" w:rsidR="00153987" w:rsidRDefault="004820B2" w:rsidP="009E04DE">
      <w:pPr>
        <w:pStyle w:val="ListParagraph"/>
        <w:numPr>
          <w:ilvl w:val="2"/>
          <w:numId w:val="11"/>
        </w:numPr>
        <w:autoSpaceDE w:val="0"/>
        <w:autoSpaceDN w:val="0"/>
        <w:adjustRightInd w:val="0"/>
        <w:ind w:left="1440"/>
      </w:pPr>
      <w:r>
        <w:t>I</w:t>
      </w:r>
      <w:r w:rsidR="005F64A7" w:rsidRPr="005F64A7">
        <w:t>mplementation of a new program involving the use of chemicals</w:t>
      </w:r>
      <w:r w:rsidR="005F64A7">
        <w:t xml:space="preserve"> </w:t>
      </w:r>
    </w:p>
    <w:p w14:paraId="0E749582" w14:textId="78FB8E10" w:rsidR="00A519BE" w:rsidRDefault="004820B2" w:rsidP="009E04DE">
      <w:pPr>
        <w:pStyle w:val="ListParagraph"/>
        <w:numPr>
          <w:ilvl w:val="2"/>
          <w:numId w:val="11"/>
        </w:numPr>
        <w:autoSpaceDE w:val="0"/>
        <w:autoSpaceDN w:val="0"/>
        <w:adjustRightInd w:val="0"/>
        <w:ind w:left="1440"/>
      </w:pPr>
      <w:r>
        <w:t>C</w:t>
      </w:r>
      <w:r w:rsidR="00757265">
        <w:t>apital expenditures</w:t>
      </w:r>
      <w:r w:rsidR="00153987">
        <w:t xml:space="preserve"> </w:t>
      </w:r>
    </w:p>
    <w:p w14:paraId="67FAAE54" w14:textId="5C64C257" w:rsidR="00153987" w:rsidRDefault="004820B2" w:rsidP="009E04DE">
      <w:pPr>
        <w:pStyle w:val="ListParagraph"/>
        <w:numPr>
          <w:ilvl w:val="2"/>
          <w:numId w:val="11"/>
        </w:numPr>
        <w:autoSpaceDE w:val="0"/>
        <w:autoSpaceDN w:val="0"/>
        <w:adjustRightInd w:val="0"/>
        <w:ind w:left="1440"/>
      </w:pPr>
      <w:r>
        <w:t>F</w:t>
      </w:r>
      <w:r w:rsidR="00153987">
        <w:t>undraising activities</w:t>
      </w:r>
    </w:p>
    <w:p w14:paraId="7FD45112" w14:textId="7842C7EF" w:rsidR="00153987" w:rsidRDefault="004820B2" w:rsidP="009E04DE">
      <w:pPr>
        <w:pStyle w:val="ListParagraph"/>
        <w:numPr>
          <w:ilvl w:val="2"/>
          <w:numId w:val="11"/>
        </w:numPr>
        <w:autoSpaceDE w:val="0"/>
        <w:autoSpaceDN w:val="0"/>
        <w:adjustRightInd w:val="0"/>
        <w:ind w:left="1440"/>
      </w:pPr>
      <w:r>
        <w:t>M</w:t>
      </w:r>
      <w:r w:rsidR="00153987">
        <w:t>ost food and beverage costs</w:t>
      </w:r>
    </w:p>
    <w:p w14:paraId="7E89E839" w14:textId="7F78A6CC" w:rsidR="004820B2" w:rsidRDefault="004820B2" w:rsidP="009E04DE">
      <w:pPr>
        <w:pStyle w:val="ListParagraph"/>
        <w:numPr>
          <w:ilvl w:val="2"/>
          <w:numId w:val="11"/>
        </w:numPr>
        <w:autoSpaceDE w:val="0"/>
        <w:autoSpaceDN w:val="0"/>
        <w:adjustRightInd w:val="0"/>
        <w:ind w:left="1440"/>
      </w:pPr>
      <w:r>
        <w:t>L</w:t>
      </w:r>
      <w:r w:rsidR="00153987">
        <w:t>obbying</w:t>
      </w:r>
    </w:p>
    <w:p w14:paraId="2F1151C2" w14:textId="7477C5EC" w:rsidR="0092190C" w:rsidRDefault="0092190C" w:rsidP="00706B43">
      <w:pPr>
        <w:autoSpaceDE w:val="0"/>
        <w:autoSpaceDN w:val="0"/>
        <w:adjustRightInd w:val="0"/>
        <w:ind w:left="0"/>
      </w:pPr>
    </w:p>
    <w:p w14:paraId="467A4BAE" w14:textId="77057C7D" w:rsidR="0092190C" w:rsidRDefault="0092190C" w:rsidP="0092190C">
      <w:pPr>
        <w:autoSpaceDE w:val="0"/>
        <w:autoSpaceDN w:val="0"/>
        <w:adjustRightInd w:val="0"/>
      </w:pPr>
      <w:r>
        <w:t>(</w:t>
      </w:r>
      <w:r w:rsidR="00B91F92">
        <w:t>c</w:t>
      </w:r>
      <w:r>
        <w:t xml:space="preserve">). </w:t>
      </w:r>
      <w:r w:rsidRPr="00706B43">
        <w:rPr>
          <w:u w:val="single"/>
        </w:rPr>
        <w:t xml:space="preserve">Allowable </w:t>
      </w:r>
      <w:r w:rsidR="00AC5D7A">
        <w:rPr>
          <w:u w:val="single"/>
        </w:rPr>
        <w:t>E</w:t>
      </w:r>
      <w:r w:rsidR="00B91F92" w:rsidRPr="00706B43">
        <w:rPr>
          <w:u w:val="single"/>
        </w:rPr>
        <w:t>xpenses</w:t>
      </w:r>
      <w:r w:rsidR="00AC5D7A">
        <w:rPr>
          <w:u w:val="single"/>
        </w:rPr>
        <w:t>:</w:t>
      </w:r>
      <w:r>
        <w:t xml:space="preserve"> </w:t>
      </w:r>
      <w:r w:rsidR="00706B43">
        <w:t xml:space="preserve">The following is a non-exhaustive list of services, activities, goods, and other costs that can be supported through this </w:t>
      </w:r>
      <w:r w:rsidR="00AC5D7A">
        <w:t xml:space="preserve">funding </w:t>
      </w:r>
      <w:r w:rsidR="00214C5C">
        <w:t>opportunity</w:t>
      </w:r>
      <w:r w:rsidR="00706B43">
        <w:t>:</w:t>
      </w:r>
    </w:p>
    <w:p w14:paraId="7FAE0D0D" w14:textId="77777777" w:rsidR="00E33ECA" w:rsidRPr="00D30FCA" w:rsidRDefault="00E33ECA" w:rsidP="00E33ECA">
      <w:pPr>
        <w:widowControl w:val="0"/>
        <w:ind w:left="0"/>
      </w:pPr>
    </w:p>
    <w:p w14:paraId="5337BAAF" w14:textId="77777777" w:rsidR="00E33ECA" w:rsidRPr="00D30FCA" w:rsidRDefault="00E33ECA" w:rsidP="00AB1D34">
      <w:pPr>
        <w:pStyle w:val="ListParagraph"/>
        <w:widowControl w:val="0"/>
        <w:numPr>
          <w:ilvl w:val="0"/>
          <w:numId w:val="28"/>
        </w:numPr>
      </w:pPr>
      <w:r w:rsidRPr="00D30FCA">
        <w:t>Staffing costs, staff supervision and coordination of approved program activities.</w:t>
      </w:r>
    </w:p>
    <w:p w14:paraId="1C01BB4B" w14:textId="77777777" w:rsidR="00E33ECA" w:rsidRPr="00D30FCA" w:rsidRDefault="00E33ECA" w:rsidP="00AB1D34">
      <w:pPr>
        <w:pStyle w:val="ListParagraph"/>
        <w:widowControl w:val="0"/>
        <w:numPr>
          <w:ilvl w:val="0"/>
          <w:numId w:val="28"/>
        </w:numPr>
      </w:pPr>
      <w:r w:rsidRPr="00D30FCA">
        <w:t>Staff coordination and participation on the community coalition.</w:t>
      </w:r>
    </w:p>
    <w:p w14:paraId="097AFF6C" w14:textId="77777777" w:rsidR="00E33ECA" w:rsidRPr="00D30FCA" w:rsidRDefault="00E33ECA" w:rsidP="00AB1D34">
      <w:pPr>
        <w:pStyle w:val="ListParagraph"/>
        <w:widowControl w:val="0"/>
        <w:numPr>
          <w:ilvl w:val="0"/>
          <w:numId w:val="28"/>
        </w:numPr>
      </w:pPr>
      <w:r w:rsidRPr="00D30FCA">
        <w:t>Development and production of program materials, public presentations and awareness events to share program services</w:t>
      </w:r>
    </w:p>
    <w:p w14:paraId="4EA5772C" w14:textId="77777777" w:rsidR="00E33ECA" w:rsidRPr="00D30FCA" w:rsidRDefault="00E33ECA" w:rsidP="00AB1D34">
      <w:pPr>
        <w:pStyle w:val="ListParagraph"/>
        <w:widowControl w:val="0"/>
        <w:numPr>
          <w:ilvl w:val="0"/>
          <w:numId w:val="28"/>
        </w:numPr>
      </w:pPr>
      <w:r>
        <w:t>Program-specific c</w:t>
      </w:r>
      <w:r w:rsidRPr="00D30FCA">
        <w:t>lient engagement activities such as safe recreational time, family school and/or community based activities and events that foster social connectedness and positive environment</w:t>
      </w:r>
    </w:p>
    <w:p w14:paraId="3CD9C1E1" w14:textId="77777777" w:rsidR="00E33ECA" w:rsidRPr="00D30FCA" w:rsidRDefault="00E33ECA" w:rsidP="00AB1D34">
      <w:pPr>
        <w:pStyle w:val="ListParagraph"/>
        <w:widowControl w:val="0"/>
        <w:numPr>
          <w:ilvl w:val="0"/>
          <w:numId w:val="28"/>
        </w:numPr>
      </w:pPr>
      <w:r w:rsidRPr="00D30FCA">
        <w:lastRenderedPageBreak/>
        <w:t xml:space="preserve">Local transportation costs for service providers and for clients to receive services. However, direct payments of funds to clients for transportation costs are not allowed. </w:t>
      </w:r>
    </w:p>
    <w:p w14:paraId="08EFA7FD" w14:textId="77777777" w:rsidR="00E33ECA" w:rsidRPr="00D30FCA" w:rsidRDefault="00E33ECA" w:rsidP="00AB1D34">
      <w:pPr>
        <w:pStyle w:val="ListParagraph"/>
        <w:widowControl w:val="0"/>
        <w:numPr>
          <w:ilvl w:val="0"/>
          <w:numId w:val="28"/>
        </w:numPr>
      </w:pPr>
      <w:r w:rsidRPr="00D30FCA">
        <w:t>Staff training costs of service providers which includes required training under this funding opportunity as well as additional training that would assist staff in serving clients.</w:t>
      </w:r>
    </w:p>
    <w:p w14:paraId="6D0C40D1" w14:textId="3258DD18" w:rsidR="00E33ECA" w:rsidRPr="00D30FCA" w:rsidRDefault="00A80774" w:rsidP="00AB1D34">
      <w:pPr>
        <w:pStyle w:val="ListParagraph"/>
        <w:widowControl w:val="0"/>
        <w:numPr>
          <w:ilvl w:val="0"/>
          <w:numId w:val="28"/>
        </w:numPr>
      </w:pPr>
      <w:r>
        <w:t>R</w:t>
      </w:r>
      <w:r w:rsidR="00E33ECA" w:rsidRPr="00D30FCA">
        <w:t>easonable and necessary technology costs for staff.</w:t>
      </w:r>
    </w:p>
    <w:p w14:paraId="107838EE" w14:textId="77777777" w:rsidR="00E33ECA" w:rsidRDefault="00E33ECA" w:rsidP="00E33ECA">
      <w:pPr>
        <w:widowControl w:val="0"/>
        <w:ind w:left="0"/>
        <w:rPr>
          <w:i/>
        </w:rPr>
      </w:pPr>
    </w:p>
    <w:p w14:paraId="555A7D15" w14:textId="77777777" w:rsidR="00706B43" w:rsidRDefault="00706B43" w:rsidP="00706B43">
      <w:pPr>
        <w:autoSpaceDE w:val="0"/>
        <w:autoSpaceDN w:val="0"/>
        <w:adjustRightInd w:val="0"/>
        <w:ind w:left="1080"/>
      </w:pPr>
    </w:p>
    <w:p w14:paraId="46F83D6F" w14:textId="45FA3830" w:rsidR="00757265" w:rsidRPr="00333CD8" w:rsidRDefault="00D27608" w:rsidP="0092190C">
      <w:pPr>
        <w:autoSpaceDE w:val="0"/>
        <w:autoSpaceDN w:val="0"/>
        <w:adjustRightInd w:val="0"/>
        <w:rPr>
          <w:color w:val="FF0000"/>
        </w:rPr>
      </w:pPr>
      <w:r>
        <w:t>(</w:t>
      </w:r>
      <w:r w:rsidR="00B91F92">
        <w:t>d</w:t>
      </w:r>
      <w:r>
        <w:t>)</w:t>
      </w:r>
      <w:r w:rsidR="005F64A7">
        <w:t xml:space="preserve">. </w:t>
      </w:r>
      <w:r w:rsidR="00757265" w:rsidRPr="005F64A7">
        <w:rPr>
          <w:u w:val="single"/>
        </w:rPr>
        <w:t>Pre-Award Costs</w:t>
      </w:r>
      <w:r w:rsidR="00AC5D7A">
        <w:rPr>
          <w:u w:val="single"/>
        </w:rPr>
        <w:t>:</w:t>
      </w:r>
      <w:r w:rsidR="008B19AF" w:rsidRPr="008B19AF">
        <w:t xml:space="preserve"> </w:t>
      </w:r>
      <w:r w:rsidR="00757265" w:rsidRPr="00BB482E">
        <w:rPr>
          <w:b/>
          <w:color w:val="auto"/>
        </w:rPr>
        <w:t xml:space="preserve">No costs incurred before the start date of the </w:t>
      </w:r>
      <w:r w:rsidR="005F64A7" w:rsidRPr="00BB482E">
        <w:rPr>
          <w:b/>
          <w:color w:val="auto"/>
        </w:rPr>
        <w:t xml:space="preserve">grant </w:t>
      </w:r>
      <w:r w:rsidR="00757265" w:rsidRPr="00BB482E">
        <w:rPr>
          <w:b/>
          <w:color w:val="auto"/>
        </w:rPr>
        <w:t>agreement may be charged to awards resulting from this funding opportunity.</w:t>
      </w:r>
    </w:p>
    <w:p w14:paraId="3C59B20D" w14:textId="77777777" w:rsidR="00757265" w:rsidRDefault="00757265" w:rsidP="00E449BC">
      <w:pPr>
        <w:autoSpaceDE w:val="0"/>
        <w:autoSpaceDN w:val="0"/>
        <w:adjustRightInd w:val="0"/>
        <w:ind w:left="360"/>
      </w:pPr>
    </w:p>
    <w:p w14:paraId="5DDA284B" w14:textId="4B6F50D9" w:rsidR="00757265" w:rsidRDefault="00D27608" w:rsidP="00E449BC">
      <w:pPr>
        <w:autoSpaceDE w:val="0"/>
        <w:autoSpaceDN w:val="0"/>
        <w:adjustRightInd w:val="0"/>
      </w:pPr>
      <w:r>
        <w:t>(</w:t>
      </w:r>
      <w:r w:rsidR="00B91F92">
        <w:t>e</w:t>
      </w:r>
      <w:r>
        <w:t>)</w:t>
      </w:r>
      <w:r w:rsidR="005F64A7">
        <w:t xml:space="preserve">. </w:t>
      </w:r>
      <w:r w:rsidR="00757265" w:rsidRPr="005F64A7">
        <w:rPr>
          <w:u w:val="single"/>
        </w:rPr>
        <w:t>Pre-approvals</w:t>
      </w:r>
      <w:r w:rsidR="00AC5D7A">
        <w:rPr>
          <w:u w:val="single"/>
        </w:rPr>
        <w:t>:</w:t>
      </w:r>
      <w:r w:rsidR="005F64A7">
        <w:t xml:space="preserve"> Prior approvals may affect project timelines. </w:t>
      </w:r>
      <w:r w:rsidR="00757265">
        <w:t>In efforts to ensure the reasonableness, necessity</w:t>
      </w:r>
      <w:r w:rsidR="00AC5D7A">
        <w:t>,</w:t>
      </w:r>
      <w:r w:rsidR="00757265">
        <w:t xml:space="preserve"> and allowability of proposed uses of funds, ICJIA</w:t>
      </w:r>
      <w:r w:rsidR="005F64A7">
        <w:t xml:space="preserve"> </w:t>
      </w:r>
      <w:r w:rsidR="00B16464">
        <w:t>may require</w:t>
      </w:r>
      <w:r w:rsidR="005F64A7">
        <w:t xml:space="preserve"> prior approval of the following</w:t>
      </w:r>
      <w:r w:rsidR="002D63B8">
        <w:t>, among other things</w:t>
      </w:r>
      <w:r w:rsidR="00757265">
        <w:t>:</w:t>
      </w:r>
    </w:p>
    <w:p w14:paraId="1548BF75" w14:textId="77777777" w:rsidR="00757265" w:rsidRDefault="00757265" w:rsidP="00E449BC">
      <w:pPr>
        <w:autoSpaceDE w:val="0"/>
        <w:autoSpaceDN w:val="0"/>
        <w:adjustRightInd w:val="0"/>
        <w:ind w:left="360"/>
      </w:pPr>
    </w:p>
    <w:p w14:paraId="22E5A8CC" w14:textId="71F79A29" w:rsidR="00757265" w:rsidRDefault="000D78B3" w:rsidP="00E449BC">
      <w:pPr>
        <w:autoSpaceDE w:val="0"/>
        <w:autoSpaceDN w:val="0"/>
        <w:adjustRightInd w:val="0"/>
        <w:ind w:left="1080"/>
      </w:pPr>
      <w:r>
        <w:t>i.</w:t>
      </w:r>
      <w:r>
        <w:tab/>
      </w:r>
      <w:r w:rsidR="004820B2">
        <w:t>O</w:t>
      </w:r>
      <w:r w:rsidR="00757265">
        <w:t xml:space="preserve">ut-of-state travel </w:t>
      </w:r>
    </w:p>
    <w:p w14:paraId="5F8963EA" w14:textId="76A58B83" w:rsidR="00757265" w:rsidRDefault="000D78B3" w:rsidP="00E449BC">
      <w:pPr>
        <w:autoSpaceDE w:val="0"/>
        <w:autoSpaceDN w:val="0"/>
        <w:adjustRightInd w:val="0"/>
        <w:ind w:left="1080"/>
      </w:pPr>
      <w:r>
        <w:t>ii.</w:t>
      </w:r>
      <w:r>
        <w:tab/>
      </w:r>
      <w:r w:rsidR="004820B2">
        <w:t>E</w:t>
      </w:r>
      <w:r w:rsidR="00757265">
        <w:t>qui</w:t>
      </w:r>
      <w:r w:rsidR="005F64A7">
        <w:t>pment over $5,000</w:t>
      </w:r>
    </w:p>
    <w:p w14:paraId="34CADEA0" w14:textId="62AFFBA0" w:rsidR="00757265" w:rsidRDefault="000D78B3" w:rsidP="00E449BC">
      <w:pPr>
        <w:autoSpaceDE w:val="0"/>
        <w:autoSpaceDN w:val="0"/>
        <w:adjustRightInd w:val="0"/>
        <w:ind w:left="1080"/>
      </w:pPr>
      <w:r>
        <w:t>iii.</w:t>
      </w:r>
      <w:r>
        <w:tab/>
      </w:r>
      <w:r w:rsidR="004820B2">
        <w:t>C</w:t>
      </w:r>
      <w:r w:rsidR="005F64A7">
        <w:t xml:space="preserve">ertain </w:t>
      </w:r>
      <w:r w:rsidR="00757265">
        <w:t>Requests for Proposals and sub</w:t>
      </w:r>
      <w:r w:rsidR="005F64A7">
        <w:t>-</w:t>
      </w:r>
      <w:r w:rsidR="00757265">
        <w:t>contracts</w:t>
      </w:r>
      <w:r w:rsidR="002D63B8">
        <w:t xml:space="preserve"> </w:t>
      </w:r>
    </w:p>
    <w:p w14:paraId="65CB7910" w14:textId="5B4C005E" w:rsidR="00757265" w:rsidRDefault="000D78B3" w:rsidP="00E449BC">
      <w:pPr>
        <w:autoSpaceDE w:val="0"/>
        <w:autoSpaceDN w:val="0"/>
        <w:adjustRightInd w:val="0"/>
        <w:ind w:left="1080"/>
      </w:pPr>
      <w:r>
        <w:t>iv.</w:t>
      </w:r>
      <w:r>
        <w:tab/>
      </w:r>
      <w:r w:rsidR="004820B2">
        <w:t>C</w:t>
      </w:r>
      <w:r w:rsidR="00757265">
        <w:t xml:space="preserve">onference, meeting, and training costs for grant recipients </w:t>
      </w:r>
    </w:p>
    <w:p w14:paraId="49F04BF4" w14:textId="77777777" w:rsidR="00757265" w:rsidRDefault="00757265" w:rsidP="00E449BC">
      <w:pPr>
        <w:autoSpaceDE w:val="0"/>
        <w:autoSpaceDN w:val="0"/>
        <w:adjustRightInd w:val="0"/>
        <w:ind w:left="360"/>
      </w:pPr>
    </w:p>
    <w:p w14:paraId="229EB41F" w14:textId="5ED21B4C" w:rsidR="00757265" w:rsidRDefault="00757265" w:rsidP="00E449BC">
      <w:pPr>
        <w:autoSpaceDE w:val="0"/>
        <w:autoSpaceDN w:val="0"/>
        <w:adjustRightInd w:val="0"/>
      </w:pPr>
      <w:r>
        <w:t>Submission of m</w:t>
      </w:r>
      <w:r w:rsidR="002D63B8">
        <w:t xml:space="preserve">aterials for ICJIA approval </w:t>
      </w:r>
      <w:r>
        <w:t>should be incorporated into the application Implementation Schedules.</w:t>
      </w:r>
    </w:p>
    <w:p w14:paraId="3D70D2FE" w14:textId="77777777" w:rsidR="00757265" w:rsidRDefault="00757265" w:rsidP="00E449BC">
      <w:pPr>
        <w:autoSpaceDE w:val="0"/>
        <w:autoSpaceDN w:val="0"/>
        <w:adjustRightInd w:val="0"/>
        <w:ind w:left="360"/>
      </w:pPr>
    </w:p>
    <w:p w14:paraId="5C249F83" w14:textId="5AFF1568" w:rsidR="00757265" w:rsidRDefault="00D27608" w:rsidP="00E449BC">
      <w:pPr>
        <w:autoSpaceDE w:val="0"/>
        <w:autoSpaceDN w:val="0"/>
        <w:adjustRightInd w:val="0"/>
      </w:pPr>
      <w:r>
        <w:t>(</w:t>
      </w:r>
      <w:r w:rsidR="00B91F92">
        <w:t>f</w:t>
      </w:r>
      <w:r>
        <w:t>)</w:t>
      </w:r>
      <w:r w:rsidR="002D63B8">
        <w:t xml:space="preserve">. </w:t>
      </w:r>
      <w:r w:rsidR="00757265" w:rsidRPr="002D63B8">
        <w:rPr>
          <w:u w:val="single"/>
        </w:rPr>
        <w:t>State Travel Guidelines</w:t>
      </w:r>
      <w:r w:rsidR="002D63B8" w:rsidRPr="002D63B8">
        <w:t xml:space="preserve"> </w:t>
      </w:r>
      <w:r w:rsidR="00757265">
        <w:t xml:space="preserve">travel costs charged to ICJIA must conform to State Travel Guidelines, found here: </w:t>
      </w:r>
    </w:p>
    <w:p w14:paraId="647A3189" w14:textId="114FDCF3" w:rsidR="00757265" w:rsidRDefault="002B470A" w:rsidP="00153987">
      <w:pPr>
        <w:autoSpaceDE w:val="0"/>
        <w:autoSpaceDN w:val="0"/>
        <w:adjustRightInd w:val="0"/>
      </w:pPr>
      <w:hyperlink r:id="rId16" w:history="1">
        <w:r w:rsidR="002D63B8" w:rsidRPr="004769B6">
          <w:rPr>
            <w:rStyle w:val="Hyperlink"/>
          </w:rPr>
          <w:t>https://www2.illinois.gov/cms/Employees/travel/Pages/TravelReimbursement.aspx</w:t>
        </w:r>
      </w:hyperlink>
      <w:r w:rsidR="002D63B8">
        <w:t>.</w:t>
      </w:r>
      <w:r w:rsidR="00153987">
        <w:t xml:space="preserve"> </w:t>
      </w:r>
      <w:r w:rsidR="00776D1C">
        <w:t xml:space="preserve">Out-of-state hotel rates are based on the </w:t>
      </w:r>
      <w:r w:rsidR="00776D1C" w:rsidRPr="002A0D72">
        <w:t>General Service Administration (GSA) guidelines found here:</w:t>
      </w:r>
      <w:r w:rsidR="00776D1C">
        <w:rPr>
          <w:rStyle w:val="Hyperlink"/>
        </w:rPr>
        <w:t xml:space="preserve"> </w:t>
      </w:r>
      <w:hyperlink r:id="rId17" w:history="1">
        <w:r w:rsidR="00776D1C" w:rsidRPr="004769B6">
          <w:rPr>
            <w:rStyle w:val="Hyperlink"/>
          </w:rPr>
          <w:t>https://www.gsa.gov/travel/plan-book/per-diem-rates</w:t>
        </w:r>
      </w:hyperlink>
      <w:r w:rsidR="00776D1C">
        <w:rPr>
          <w:rStyle w:val="Hyperlink"/>
        </w:rPr>
        <w:t>.</w:t>
      </w:r>
      <w:r w:rsidR="00153987">
        <w:rPr>
          <w:rStyle w:val="Hyperlink"/>
        </w:rPr>
        <w:t xml:space="preserve"> </w:t>
      </w:r>
      <w:r w:rsidR="00757265">
        <w:t xml:space="preserve">Applicant agencies with lower cost travel guidelines </w:t>
      </w:r>
      <w:r w:rsidR="002D63B8">
        <w:t xml:space="preserve">than the State of Illinois </w:t>
      </w:r>
      <w:r w:rsidR="00757265">
        <w:t>must use those lower rates.</w:t>
      </w:r>
    </w:p>
    <w:bookmarkEnd w:id="12"/>
    <w:p w14:paraId="4E7CB97C" w14:textId="22BFAFA8" w:rsidR="00C544FA" w:rsidRDefault="00C544FA" w:rsidP="00E449BC">
      <w:pPr>
        <w:autoSpaceDE w:val="0"/>
        <w:autoSpaceDN w:val="0"/>
        <w:adjustRightInd w:val="0"/>
      </w:pPr>
    </w:p>
    <w:p w14:paraId="1D963E23" w14:textId="099D251B" w:rsidR="008F1113" w:rsidRPr="006A4E18" w:rsidRDefault="00D27608" w:rsidP="008F1113">
      <w:pPr>
        <w:autoSpaceDE w:val="0"/>
        <w:autoSpaceDN w:val="0"/>
        <w:adjustRightInd w:val="0"/>
      </w:pPr>
      <w:r w:rsidRPr="006A4E18">
        <w:t>(</w:t>
      </w:r>
      <w:r w:rsidR="00B91F92" w:rsidRPr="006A4E18">
        <w:t>g</w:t>
      </w:r>
      <w:r w:rsidRPr="006A4E18">
        <w:t>)</w:t>
      </w:r>
      <w:r w:rsidR="005F64A7" w:rsidRPr="006A4E18">
        <w:t xml:space="preserve">. </w:t>
      </w:r>
      <w:r w:rsidR="005F64A7" w:rsidRPr="006A4E18">
        <w:rPr>
          <w:u w:val="single"/>
        </w:rPr>
        <w:t>Supplanting</w:t>
      </w:r>
      <w:r w:rsidR="00B91F92" w:rsidRPr="006A4E18">
        <w:t xml:space="preserve"> </w:t>
      </w:r>
      <w:r w:rsidR="008F1113" w:rsidRPr="006A4E18">
        <w:t xml:space="preserve">Grant funds must be used to supplement existing funds for program activities and must not replace those funds that have been appropriated for the same purpose. If grant funds will be used for the expansion of an existing program, applicants must explain how proposed activities will supplement, not supplant, current program activities and staff positions. Agencies may not deliberately reduce local, federal, </w:t>
      </w:r>
      <w:r w:rsidR="001227CD" w:rsidRPr="006A4E18">
        <w:t xml:space="preserve">or </w:t>
      </w:r>
      <w:r w:rsidR="008F1113" w:rsidRPr="006A4E18">
        <w:t xml:space="preserve">state funds because of the existence of these grant funds. A written certification may be requested by ICJIA stating that these funds will not be used to supplant other state, local, </w:t>
      </w:r>
      <w:r w:rsidR="001227CD" w:rsidRPr="006A4E18">
        <w:t xml:space="preserve">or </w:t>
      </w:r>
      <w:r w:rsidR="008F1113" w:rsidRPr="006A4E18">
        <w:t xml:space="preserve">federal. </w:t>
      </w:r>
    </w:p>
    <w:p w14:paraId="27DA8DEC" w14:textId="77777777" w:rsidR="008F1113" w:rsidRPr="006A4E18" w:rsidRDefault="008F1113" w:rsidP="008F1113">
      <w:pPr>
        <w:autoSpaceDE w:val="0"/>
        <w:autoSpaceDN w:val="0"/>
        <w:adjustRightInd w:val="0"/>
        <w:ind w:left="0"/>
      </w:pPr>
    </w:p>
    <w:p w14:paraId="06835BF9" w14:textId="77777777" w:rsidR="008F1113" w:rsidRPr="006A4E18" w:rsidRDefault="008F1113" w:rsidP="008F1113">
      <w:pPr>
        <w:autoSpaceDE w:val="0"/>
        <w:autoSpaceDN w:val="0"/>
        <w:adjustRightInd w:val="0"/>
      </w:pPr>
      <w:r w:rsidRPr="006A4E18">
        <w:t xml:space="preserve">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w:t>
      </w:r>
    </w:p>
    <w:p w14:paraId="382AA3A8" w14:textId="4E5B3F3F" w:rsidR="00706B43" w:rsidRPr="006A4E18" w:rsidRDefault="00706B43" w:rsidP="00E449BC">
      <w:pPr>
        <w:tabs>
          <w:tab w:val="left" w:pos="720"/>
        </w:tabs>
        <w:autoSpaceDE w:val="0"/>
        <w:autoSpaceDN w:val="0"/>
        <w:adjustRightInd w:val="0"/>
        <w:rPr>
          <w:u w:val="single"/>
        </w:rPr>
      </w:pPr>
    </w:p>
    <w:p w14:paraId="29A7254F" w14:textId="209B28D2" w:rsidR="002260AB" w:rsidRDefault="002260AB" w:rsidP="002260AB">
      <w:pPr>
        <w:autoSpaceDE w:val="0"/>
        <w:autoSpaceDN w:val="0"/>
        <w:adjustRightInd w:val="0"/>
      </w:pPr>
      <w:r w:rsidRPr="006A4E18">
        <w:t xml:space="preserve">(h) </w:t>
      </w:r>
      <w:r w:rsidRPr="006A4E18">
        <w:rPr>
          <w:u w:val="single"/>
        </w:rPr>
        <w:t>Proposed Subawards and Subcontracts</w:t>
      </w:r>
      <w:r w:rsidRPr="006A4E18">
        <w:t xml:space="preserve"> Applicants may propose to enter into</w:t>
      </w:r>
      <w:r>
        <w:t xml:space="preserve"> </w:t>
      </w:r>
      <w:r>
        <w:t xml:space="preserve">subawards or subcontracts under this award, each of which involve different rules and applicant responsibilities. A subaward carries out a portion of the grant agreement while a contract is often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0C4F20F1" w14:textId="77777777" w:rsidR="002260AB" w:rsidRDefault="002260AB" w:rsidP="002260AB">
      <w:pPr>
        <w:autoSpaceDE w:val="0"/>
        <w:autoSpaceDN w:val="0"/>
        <w:adjustRightInd w:val="0"/>
      </w:pPr>
    </w:p>
    <w:p w14:paraId="52AF7DD7" w14:textId="135E55EE" w:rsidR="002260AB" w:rsidRDefault="002260AB" w:rsidP="002260AB">
      <w:pPr>
        <w:autoSpaceDE w:val="0"/>
        <w:autoSpaceDN w:val="0"/>
        <w:adjustRightInd w:val="0"/>
      </w:pPr>
      <w:r>
        <w:t xml:space="preserve">Applicants must classify each expense in the contractual budget as a subaward or subcontract. The substance of the agreement, not the title or structure of the agreement, will determine whether it is a subaward of a subcontract. Applicants are advised to use the “Checklist for Contractor/Subrecipient Determinations” available at the GATA Resource Library for guidance: </w:t>
      </w:r>
      <w:hyperlink r:id="rId18" w:history="1">
        <w:r w:rsidR="00EC42C4" w:rsidRPr="00174D08">
          <w:rPr>
            <w:rStyle w:val="Hyperlink"/>
          </w:rPr>
          <w:t>https://www.illinois.gov/sites/gata/pages/resourcelibrary.aspx</w:t>
        </w:r>
      </w:hyperlink>
      <w:r>
        <w:t>.</w:t>
      </w:r>
    </w:p>
    <w:p w14:paraId="317B751A" w14:textId="77777777" w:rsidR="002260AB" w:rsidRDefault="002260AB" w:rsidP="002260AB">
      <w:pPr>
        <w:autoSpaceDE w:val="0"/>
        <w:autoSpaceDN w:val="0"/>
        <w:adjustRightInd w:val="0"/>
      </w:pPr>
    </w:p>
    <w:p w14:paraId="684831AC" w14:textId="77777777" w:rsidR="002260AB" w:rsidRDefault="002260AB" w:rsidP="002260AB">
      <w:pPr>
        <w:autoSpaceDE w:val="0"/>
        <w:autoSpaceDN w:val="0"/>
        <w:adjustRightInd w:val="0"/>
      </w:pPr>
      <w:r>
        <w:t>Applicants are required to justify their use of subawards and explain their capacity to serve as “pass-through” entities in the program narrative.  Applicants will monitor subaward compliance with grant terms, applicable federal and state law including the Uniform Administrative Requirements, Cost Principles, and Audit Requirements for Federal Award, 2 C.F.R. Part 200, the Grant Accountability and Transparency Act, 44 Ill. Admin. Code 7000, and ICJIA policies. Proposed subawards must be identified, if possible, and their roles described in both the program and budget narratives.</w:t>
      </w:r>
    </w:p>
    <w:p w14:paraId="34A67B69" w14:textId="77777777" w:rsidR="002260AB" w:rsidRDefault="002260AB" w:rsidP="002260AB">
      <w:pPr>
        <w:autoSpaceDE w:val="0"/>
        <w:autoSpaceDN w:val="0"/>
        <w:adjustRightInd w:val="0"/>
      </w:pPr>
    </w:p>
    <w:p w14:paraId="71D94282" w14:textId="23C3A385" w:rsidR="002260AB" w:rsidRDefault="002260AB" w:rsidP="002260AB">
      <w:pPr>
        <w:autoSpaceDE w:val="0"/>
        <w:autoSpaceDN w:val="0"/>
        <w:adjustRightInd w:val="0"/>
      </w:pPr>
      <w:r>
        <w:t>For procurement contracts, applicants are encouraged to promote free and open competition in awarding contracts. All subcontracts must comply with federal and state requirements as well as</w:t>
      </w:r>
      <w:r w:rsidR="00845093">
        <w:t xml:space="preserve"> the ICJIA Subcontract Policy. </w:t>
      </w:r>
      <w:r>
        <w:t xml:space="preserve">Some agreements may be entered into through a “sole source” process, however, other agreements must be competitively bid through a “Request for Proposal” process. </w:t>
      </w:r>
    </w:p>
    <w:p w14:paraId="36D96D7D" w14:textId="77777777" w:rsidR="002260AB" w:rsidRDefault="002260AB" w:rsidP="002260AB">
      <w:pPr>
        <w:autoSpaceDE w:val="0"/>
        <w:autoSpaceDN w:val="0"/>
        <w:adjustRightInd w:val="0"/>
      </w:pPr>
    </w:p>
    <w:p w14:paraId="4B73F3D3" w14:textId="043F6757" w:rsidR="005F64A7" w:rsidRDefault="002260AB" w:rsidP="002260AB">
      <w:pPr>
        <w:autoSpaceDE w:val="0"/>
        <w:autoSpaceDN w:val="0"/>
        <w:adjustRightInd w:val="0"/>
      </w:pPr>
      <w:r>
        <w:t xml:space="preserve">ICJIA </w:t>
      </w:r>
      <w:r w:rsidR="001227CD">
        <w:t xml:space="preserve">may </w:t>
      </w:r>
      <w:r>
        <w:t xml:space="preserve">make the final determination whether a proposed agreement constitutes a subaward or a subcontract. </w:t>
      </w:r>
    </w:p>
    <w:p w14:paraId="2909FA61" w14:textId="6708D62D" w:rsidR="00E3661F" w:rsidRPr="00E26E7F" w:rsidRDefault="00E3661F" w:rsidP="00E449BC">
      <w:pPr>
        <w:autoSpaceDE w:val="0"/>
        <w:autoSpaceDN w:val="0"/>
        <w:adjustRightInd w:val="0"/>
        <w:ind w:left="360"/>
        <w:rPr>
          <w:color w:val="2F5496" w:themeColor="accent5" w:themeShade="BF"/>
        </w:rPr>
      </w:pPr>
    </w:p>
    <w:p w14:paraId="3AB0AFA9" w14:textId="77777777" w:rsidR="00E3661F" w:rsidRPr="00E26E7F" w:rsidRDefault="00E3661F" w:rsidP="00E3661F">
      <w:pPr>
        <w:autoSpaceDE w:val="0"/>
        <w:autoSpaceDN w:val="0"/>
        <w:adjustRightInd w:val="0"/>
        <w:ind w:left="360"/>
        <w:rPr>
          <w:b/>
          <w:color w:val="2F5496" w:themeColor="accent5" w:themeShade="BF"/>
        </w:rPr>
      </w:pPr>
    </w:p>
    <w:p w14:paraId="6566FFD3" w14:textId="756E9CB6" w:rsidR="005F1CC5" w:rsidRPr="00BC61BD" w:rsidRDefault="005F1CC5" w:rsidP="00E449BC">
      <w:pPr>
        <w:autoSpaceDE w:val="0"/>
        <w:autoSpaceDN w:val="0"/>
        <w:adjustRightInd w:val="0"/>
        <w:ind w:left="0"/>
        <w:rPr>
          <w:b/>
          <w:sz w:val="28"/>
          <w:szCs w:val="28"/>
        </w:rPr>
      </w:pPr>
      <w:r w:rsidRPr="00BC61BD">
        <w:rPr>
          <w:b/>
          <w:sz w:val="28"/>
          <w:szCs w:val="28"/>
        </w:rPr>
        <w:t>E. Application Review Information</w:t>
      </w:r>
    </w:p>
    <w:p w14:paraId="2F7EEA3B" w14:textId="6B82D9F7" w:rsidR="005F1CC5" w:rsidRDefault="005F1CC5" w:rsidP="00E449BC">
      <w:pPr>
        <w:autoSpaceDE w:val="0"/>
        <w:autoSpaceDN w:val="0"/>
        <w:adjustRightInd w:val="0"/>
        <w:ind w:left="0"/>
      </w:pPr>
    </w:p>
    <w:p w14:paraId="4E75DEDA" w14:textId="7A726EC3" w:rsidR="005F1CC5" w:rsidRPr="00E26E7F" w:rsidRDefault="005F1CC5" w:rsidP="00E449BC">
      <w:pPr>
        <w:autoSpaceDE w:val="0"/>
        <w:autoSpaceDN w:val="0"/>
        <w:adjustRightInd w:val="0"/>
        <w:ind w:left="360"/>
        <w:rPr>
          <w:color w:val="2F5496" w:themeColor="accent5" w:themeShade="BF"/>
        </w:rPr>
      </w:pPr>
      <w:r w:rsidRPr="002118AF">
        <w:rPr>
          <w:b/>
          <w:i/>
        </w:rPr>
        <w:t>1. Criteri</w:t>
      </w:r>
      <w:r w:rsidR="008B19AF">
        <w:rPr>
          <w:b/>
          <w:i/>
        </w:rPr>
        <w:t>a</w:t>
      </w:r>
      <w:r w:rsidRPr="005F1CC5">
        <w:t xml:space="preserve"> </w:t>
      </w:r>
    </w:p>
    <w:p w14:paraId="2A6D00A2" w14:textId="72345968" w:rsidR="00D63BCE" w:rsidRPr="00E26E7F" w:rsidRDefault="00D63BCE" w:rsidP="00E449BC">
      <w:pPr>
        <w:autoSpaceDE w:val="0"/>
        <w:autoSpaceDN w:val="0"/>
        <w:adjustRightInd w:val="0"/>
        <w:ind w:left="360"/>
        <w:rPr>
          <w:color w:val="2F5496" w:themeColor="accent5" w:themeShade="BF"/>
        </w:rPr>
      </w:pPr>
    </w:p>
    <w:p w14:paraId="4C1ED85A" w14:textId="65CB9ED0" w:rsidR="000864BB" w:rsidRPr="002D71F1" w:rsidRDefault="00D63BCE" w:rsidP="00D27608">
      <w:pPr>
        <w:widowControl w:val="0"/>
        <w:ind w:left="360"/>
        <w:jc w:val="both"/>
        <w:rPr>
          <w:color w:val="auto"/>
        </w:rPr>
      </w:pPr>
      <w:r w:rsidRPr="002D71F1">
        <w:rPr>
          <w:color w:val="auto"/>
        </w:rPr>
        <w:t xml:space="preserve">Application materials must address all components of this </w:t>
      </w:r>
      <w:r w:rsidR="00AC5D7A" w:rsidRPr="002D71F1">
        <w:rPr>
          <w:color w:val="auto"/>
        </w:rPr>
        <w:t xml:space="preserve">notice of funding opportunity </w:t>
      </w:r>
      <w:r w:rsidRPr="002D71F1">
        <w:rPr>
          <w:color w:val="auto"/>
        </w:rPr>
        <w:t xml:space="preserve">and demonstrate both a need for the program and an ability to successfully implement the program. </w:t>
      </w:r>
      <w:r w:rsidR="000864BB" w:rsidRPr="002D71F1">
        <w:rPr>
          <w:color w:val="auto"/>
        </w:rPr>
        <w:t xml:space="preserve">Evaluation criteria must include at a minimum the following criteria categories: </w:t>
      </w:r>
    </w:p>
    <w:p w14:paraId="7C577B26" w14:textId="38335E2C" w:rsidR="00460338" w:rsidRPr="002D71F1" w:rsidRDefault="00460338" w:rsidP="002D71F1">
      <w:pPr>
        <w:widowControl w:val="0"/>
        <w:tabs>
          <w:tab w:val="left" w:pos="-1440"/>
        </w:tabs>
        <w:ind w:left="0"/>
        <w:rPr>
          <w:color w:val="auto"/>
        </w:rPr>
      </w:pPr>
    </w:p>
    <w:p w14:paraId="431C6A13" w14:textId="18F40FC8" w:rsidR="00460338" w:rsidRPr="00771CB4" w:rsidRDefault="00460338" w:rsidP="00460338">
      <w:pPr>
        <w:widowControl w:val="0"/>
        <w:tabs>
          <w:tab w:val="left" w:pos="-1440"/>
        </w:tabs>
        <w:ind w:left="360"/>
      </w:pPr>
      <w:r w:rsidRPr="005C53E5">
        <w:rPr>
          <w:b/>
        </w:rPr>
        <w:t xml:space="preserve">Description of Problem </w:t>
      </w:r>
      <w:r w:rsidRPr="00771CB4">
        <w:rPr>
          <w:b/>
        </w:rPr>
        <w:t>(10 points).</w:t>
      </w:r>
      <w:r w:rsidRPr="00771CB4">
        <w:t xml:space="preserve"> Section demonstrates a clear understanding of the need</w:t>
      </w:r>
      <w:r>
        <w:t xml:space="preserve"> in</w:t>
      </w:r>
      <w:r w:rsidRPr="00771CB4">
        <w:t xml:space="preserve"> service area. The community characteristics </w:t>
      </w:r>
      <w:r>
        <w:t xml:space="preserve">chart is complete. The risk and </w:t>
      </w:r>
      <w:r>
        <w:lastRenderedPageBreak/>
        <w:t xml:space="preserve">protective factors relate to the proposed program. </w:t>
      </w:r>
    </w:p>
    <w:p w14:paraId="341E2BC0" w14:textId="77777777" w:rsidR="00460338" w:rsidRPr="00771CB4" w:rsidRDefault="00460338" w:rsidP="00460338">
      <w:pPr>
        <w:widowControl w:val="0"/>
        <w:tabs>
          <w:tab w:val="left" w:pos="-1440"/>
        </w:tabs>
        <w:ind w:left="360"/>
        <w:rPr>
          <w:b/>
        </w:rPr>
      </w:pPr>
    </w:p>
    <w:p w14:paraId="04813E38" w14:textId="5627232C" w:rsidR="00460338" w:rsidRDefault="00460338" w:rsidP="00460338">
      <w:pPr>
        <w:widowControl w:val="0"/>
        <w:tabs>
          <w:tab w:val="left" w:pos="-1440"/>
        </w:tabs>
        <w:ind w:left="360"/>
      </w:pPr>
      <w:r w:rsidRPr="00771CB4">
        <w:rPr>
          <w:b/>
        </w:rPr>
        <w:t>Agency Capacity and Experience (15 points)</w:t>
      </w:r>
      <w:r w:rsidRPr="005C53E5">
        <w:rPr>
          <w:b/>
        </w:rPr>
        <w:t>.</w:t>
      </w:r>
      <w:r w:rsidRPr="005C53E5">
        <w:t xml:space="preserve"> Application provides a clear history of the applicant’s history of providing </w:t>
      </w:r>
      <w:r w:rsidR="006C4D64">
        <w:t xml:space="preserve">violence prevention and </w:t>
      </w:r>
      <w:r w:rsidR="007E637B">
        <w:t>street</w:t>
      </w:r>
      <w:r w:rsidRPr="005C53E5">
        <w:t xml:space="preserve"> intervention services, including quantitative and qualitative descriptions. The applicant demonstrates an ability to adjust service provision based on past lessons learned. The applicant describes their fiscal experience including other funding sources and both quantitative and qualitative descriptions. </w:t>
      </w:r>
    </w:p>
    <w:p w14:paraId="6D3C992C" w14:textId="77777777" w:rsidR="00460338" w:rsidRDefault="00460338" w:rsidP="00460338">
      <w:pPr>
        <w:widowControl w:val="0"/>
        <w:tabs>
          <w:tab w:val="left" w:pos="-1440"/>
        </w:tabs>
        <w:ind w:left="360"/>
      </w:pPr>
    </w:p>
    <w:p w14:paraId="1A016EC7" w14:textId="77777777" w:rsidR="00033CC8" w:rsidRDefault="00460338" w:rsidP="00460338">
      <w:pPr>
        <w:widowControl w:val="0"/>
        <w:tabs>
          <w:tab w:val="left" w:pos="-1440"/>
        </w:tabs>
        <w:ind w:left="360"/>
      </w:pPr>
      <w:r w:rsidRPr="005C53E5">
        <w:rPr>
          <w:b/>
        </w:rPr>
        <w:t>Proposed Program (</w:t>
      </w:r>
      <w:r>
        <w:rPr>
          <w:b/>
        </w:rPr>
        <w:t>40</w:t>
      </w:r>
      <w:r w:rsidRPr="005C53E5">
        <w:rPr>
          <w:b/>
        </w:rPr>
        <w:t xml:space="preserve"> points).</w:t>
      </w:r>
      <w:r w:rsidRPr="005C53E5">
        <w:t xml:space="preserve"> The response clearly describes all proposed program elements. </w:t>
      </w:r>
    </w:p>
    <w:p w14:paraId="663D9AB3" w14:textId="08283E0D" w:rsidR="00033CC8" w:rsidRDefault="00460338" w:rsidP="00460338">
      <w:pPr>
        <w:widowControl w:val="0"/>
        <w:tabs>
          <w:tab w:val="left" w:pos="-1440"/>
        </w:tabs>
        <w:ind w:left="360"/>
      </w:pPr>
      <w:r w:rsidRPr="005C53E5">
        <w:t xml:space="preserve">(1) Applicant adequately demonstrates either a strong background in leading community coalitions, or demonstrates </w:t>
      </w:r>
      <w:r w:rsidR="00033CC8">
        <w:t>they can</w:t>
      </w:r>
      <w:r w:rsidRPr="005C53E5">
        <w:t xml:space="preserve"> build capacity to lead a coalition. The response requires the applicant to demonstrate a strong understanding of successful coalition building. The applicant sufficiently describes the coalition’s actual or anticipated makeup and activities and outlines the benefits of the collaboration to the proposed service model(s). </w:t>
      </w:r>
    </w:p>
    <w:p w14:paraId="6F4F2FF5" w14:textId="77777777" w:rsidR="00033CC8" w:rsidRDefault="00033CC8" w:rsidP="00460338">
      <w:pPr>
        <w:widowControl w:val="0"/>
        <w:tabs>
          <w:tab w:val="left" w:pos="-1440"/>
        </w:tabs>
        <w:ind w:left="360"/>
      </w:pPr>
    </w:p>
    <w:p w14:paraId="2BC0C5BA" w14:textId="77777777" w:rsidR="00033CC8" w:rsidRDefault="00460338" w:rsidP="00460338">
      <w:pPr>
        <w:widowControl w:val="0"/>
        <w:tabs>
          <w:tab w:val="left" w:pos="-1440"/>
        </w:tabs>
        <w:ind w:left="360"/>
      </w:pPr>
      <w:r w:rsidRPr="005C53E5">
        <w:t xml:space="preserve">(2) Applicant sufficiently describes anticipated public awareness activities that will promote the service being described. </w:t>
      </w:r>
    </w:p>
    <w:p w14:paraId="3A9C753C" w14:textId="77777777" w:rsidR="00033CC8" w:rsidRDefault="00033CC8" w:rsidP="00460338">
      <w:pPr>
        <w:widowControl w:val="0"/>
        <w:tabs>
          <w:tab w:val="left" w:pos="-1440"/>
        </w:tabs>
        <w:ind w:left="360"/>
      </w:pPr>
    </w:p>
    <w:p w14:paraId="5B4CC1CC" w14:textId="77777777" w:rsidR="00214C5C" w:rsidRDefault="00460338" w:rsidP="00460338">
      <w:pPr>
        <w:widowControl w:val="0"/>
        <w:tabs>
          <w:tab w:val="left" w:pos="-1440"/>
        </w:tabs>
        <w:ind w:left="360"/>
      </w:pPr>
      <w:r w:rsidRPr="005C53E5">
        <w:t xml:space="preserve">(3) Applicant describes the anticipated number of recipients of the direct service(s) being proposed. </w:t>
      </w:r>
    </w:p>
    <w:p w14:paraId="659BD0C5" w14:textId="77777777" w:rsidR="00214C5C" w:rsidRDefault="00214C5C" w:rsidP="00460338">
      <w:pPr>
        <w:widowControl w:val="0"/>
        <w:tabs>
          <w:tab w:val="left" w:pos="-1440"/>
        </w:tabs>
        <w:ind w:left="360"/>
      </w:pPr>
    </w:p>
    <w:p w14:paraId="48CD1AFB" w14:textId="7694FE11" w:rsidR="00460338" w:rsidRDefault="00460338" w:rsidP="00460338">
      <w:pPr>
        <w:widowControl w:val="0"/>
        <w:tabs>
          <w:tab w:val="left" w:pos="-1440"/>
        </w:tabs>
        <w:ind w:left="360"/>
        <w:rPr>
          <w:rFonts w:eastAsia="Calibri"/>
        </w:rPr>
      </w:pPr>
      <w:r w:rsidRPr="005C53E5">
        <w:t xml:space="preserve">The response clearly addresses </w:t>
      </w:r>
      <w:r w:rsidRPr="005C53E5">
        <w:rPr>
          <w:rFonts w:eastAsia="Calibri"/>
        </w:rPr>
        <w:t>all aspects of the Direct Services Program Design outlined in th</w:t>
      </w:r>
      <w:r w:rsidR="00033CC8">
        <w:rPr>
          <w:rFonts w:eastAsia="Calibri"/>
        </w:rPr>
        <w:t>is</w:t>
      </w:r>
      <w:r w:rsidRPr="005C53E5">
        <w:rPr>
          <w:rFonts w:eastAsia="Calibri"/>
        </w:rPr>
        <w:t xml:space="preserve"> </w:t>
      </w:r>
      <w:r w:rsidR="00033CC8" w:rsidRPr="005C53E5">
        <w:rPr>
          <w:rFonts w:eastAsia="Calibri"/>
        </w:rPr>
        <w:t>notice of funding opportunity</w:t>
      </w:r>
      <w:r w:rsidRPr="005C53E5">
        <w:rPr>
          <w:rFonts w:eastAsia="Calibri"/>
        </w:rPr>
        <w:t>. The applicant must demonstrate a strong un</w:t>
      </w:r>
      <w:r w:rsidR="00E83140">
        <w:rPr>
          <w:rFonts w:eastAsia="Calibri"/>
        </w:rPr>
        <w:t xml:space="preserve">derstanding of the </w:t>
      </w:r>
      <w:r w:rsidRPr="005C53E5">
        <w:rPr>
          <w:rFonts w:eastAsia="Calibri"/>
        </w:rPr>
        <w:t>service</w:t>
      </w:r>
      <w:r w:rsidR="00E83140">
        <w:rPr>
          <w:rFonts w:eastAsia="Calibri"/>
        </w:rPr>
        <w:t>s</w:t>
      </w:r>
      <w:r w:rsidRPr="005C53E5">
        <w:rPr>
          <w:rFonts w:eastAsia="Calibri"/>
        </w:rPr>
        <w:t xml:space="preserve"> being proposed. The applicant must either adequately demonstrate the agency’s experience providing the service, or demonstrate they are able to build capacity to provide the service. The applicant must describe the proposed target population and describe the various ways that clients will be referred for the service(s) being offered. The applicant must provide an adequate description of the agency’s client intake process and</w:t>
      </w:r>
      <w:r w:rsidR="00214C5C">
        <w:rPr>
          <w:rFonts w:eastAsia="Calibri"/>
        </w:rPr>
        <w:t>,</w:t>
      </w:r>
      <w:r w:rsidRPr="005C53E5">
        <w:rPr>
          <w:rFonts w:eastAsia="Calibri"/>
        </w:rPr>
        <w:t xml:space="preserve"> at a minimum</w:t>
      </w:r>
      <w:r w:rsidR="00214C5C">
        <w:rPr>
          <w:rFonts w:eastAsia="Calibri"/>
        </w:rPr>
        <w:t>,</w:t>
      </w:r>
      <w:r w:rsidRPr="005C53E5">
        <w:rPr>
          <w:rFonts w:eastAsia="Calibri"/>
        </w:rPr>
        <w:t xml:space="preserve"> must include intake questions and criteria for acceptance. In addition, the applicant must provide at least one example of potential client challenges </w:t>
      </w:r>
      <w:r w:rsidR="00FA2627">
        <w:rPr>
          <w:rFonts w:eastAsia="Calibri"/>
        </w:rPr>
        <w:t>at</w:t>
      </w:r>
      <w:r w:rsidRPr="005C53E5">
        <w:rPr>
          <w:rFonts w:eastAsia="Calibri"/>
        </w:rPr>
        <w:t xml:space="preserve"> the individual, family, and community level and describe how the program will address </w:t>
      </w:r>
      <w:r w:rsidR="00FA2627">
        <w:rPr>
          <w:rFonts w:eastAsia="Calibri"/>
        </w:rPr>
        <w:t xml:space="preserve">all three of </w:t>
      </w:r>
      <w:r w:rsidRPr="005C53E5">
        <w:rPr>
          <w:rFonts w:eastAsia="Calibri"/>
        </w:rPr>
        <w:t xml:space="preserve">those challenges. </w:t>
      </w:r>
    </w:p>
    <w:p w14:paraId="7F90DB88" w14:textId="51F71EFC" w:rsidR="00460338" w:rsidRPr="004C70BE" w:rsidRDefault="00460338" w:rsidP="00460338">
      <w:pPr>
        <w:rPr>
          <w:rFonts w:eastAsia="Calibri"/>
        </w:rPr>
      </w:pPr>
    </w:p>
    <w:p w14:paraId="7342F421" w14:textId="77777777" w:rsidR="00460338" w:rsidRPr="005C53E5" w:rsidRDefault="00460338" w:rsidP="00460338">
      <w:pPr>
        <w:widowControl w:val="0"/>
        <w:spacing w:line="259" w:lineRule="auto"/>
        <w:ind w:left="360"/>
      </w:pPr>
      <w:r w:rsidRPr="005C53E5">
        <w:rPr>
          <w:b/>
        </w:rPr>
        <w:t>Staffing (15 points).</w:t>
      </w:r>
      <w:r w:rsidRPr="005C53E5">
        <w:t xml:space="preserve"> This section includes a clear staffing plan that matches the program design and includes at minimum position titles, reporting structure, roles and responsibilities, and reporting and supervision structure. The response describes how cases are assigned to staff and supervised within the agency. The applicant demonstrates that staff receive trauma skills training and ongoing consultation to enhance the trauma-informed response to clients. </w:t>
      </w:r>
    </w:p>
    <w:p w14:paraId="6A9C7C6A" w14:textId="77777777" w:rsidR="00460338" w:rsidRPr="005C53E5" w:rsidRDefault="00460338" w:rsidP="00460338">
      <w:pPr>
        <w:widowControl w:val="0"/>
        <w:spacing w:line="259" w:lineRule="auto"/>
        <w:ind w:left="360"/>
      </w:pPr>
    </w:p>
    <w:p w14:paraId="105DD40A" w14:textId="77777777" w:rsidR="00460338" w:rsidRPr="005C53E5" w:rsidRDefault="00460338" w:rsidP="00460338">
      <w:pPr>
        <w:widowControl w:val="0"/>
        <w:spacing w:line="259" w:lineRule="auto"/>
        <w:ind w:left="360"/>
      </w:pPr>
      <w:r w:rsidRPr="005C53E5">
        <w:rPr>
          <w:b/>
        </w:rPr>
        <w:t>Implementation Schedule (5 points).</w:t>
      </w:r>
      <w:r w:rsidRPr="005C53E5">
        <w:t xml:space="preserve"> Applicant must complete an implementation schedule that is reflective of the major steps necessary to ensure successful program implementation. </w:t>
      </w:r>
    </w:p>
    <w:p w14:paraId="7A9C3BD3" w14:textId="77777777" w:rsidR="00460338" w:rsidRPr="005C53E5" w:rsidRDefault="00460338" w:rsidP="00460338">
      <w:pPr>
        <w:widowControl w:val="0"/>
        <w:tabs>
          <w:tab w:val="left" w:pos="-1440"/>
        </w:tabs>
        <w:ind w:left="360"/>
      </w:pPr>
    </w:p>
    <w:p w14:paraId="56B016B2" w14:textId="1E6FFC6E" w:rsidR="00460338" w:rsidRPr="005C53E5" w:rsidRDefault="00460338" w:rsidP="00460338">
      <w:pPr>
        <w:widowControl w:val="0"/>
        <w:ind w:left="360"/>
      </w:pPr>
      <w:r w:rsidRPr="005C53E5">
        <w:rPr>
          <w:b/>
        </w:rPr>
        <w:t>Goals/Objec</w:t>
      </w:r>
      <w:r w:rsidR="00D930F5">
        <w:rPr>
          <w:b/>
        </w:rPr>
        <w:t>tives/Performance Indicators (5</w:t>
      </w:r>
      <w:r w:rsidRPr="005C53E5">
        <w:rPr>
          <w:b/>
        </w:rPr>
        <w:t xml:space="preserve"> points).</w:t>
      </w:r>
      <w:r w:rsidRPr="005C53E5">
        <w:t xml:space="preserve"> Applicants clearly document all process and outcome objectives and indicate a measurable indicator of success for each objective. These measurables should include ambitious yet realistic numbers for each objective based on the proposed program. Additional objectives and measurable performance indicators for </w:t>
      </w:r>
      <w:r w:rsidR="00797333">
        <w:t xml:space="preserve">street intervention that reflects the proposed program </w:t>
      </w:r>
      <w:r w:rsidRPr="005C53E5">
        <w:t xml:space="preserve">must be added into the appropriate table. </w:t>
      </w:r>
    </w:p>
    <w:p w14:paraId="3C638D0C" w14:textId="77777777" w:rsidR="00460338" w:rsidRPr="005C53E5" w:rsidRDefault="00460338" w:rsidP="00460338">
      <w:pPr>
        <w:widowControl w:val="0"/>
        <w:tabs>
          <w:tab w:val="left" w:pos="-1440"/>
        </w:tabs>
        <w:ind w:left="360"/>
      </w:pPr>
    </w:p>
    <w:p w14:paraId="5226CBCB" w14:textId="77777777" w:rsidR="00460338" w:rsidRPr="005C53E5" w:rsidRDefault="00460338" w:rsidP="00460338">
      <w:pPr>
        <w:widowControl w:val="0"/>
        <w:tabs>
          <w:tab w:val="left" w:pos="-1440"/>
        </w:tabs>
        <w:ind w:left="360"/>
      </w:pPr>
      <w:r w:rsidRPr="005C53E5">
        <w:rPr>
          <w:b/>
        </w:rPr>
        <w:t>Adequacy of Cost Estimates (10 points total)</w:t>
      </w:r>
      <w:r w:rsidRPr="005C53E5">
        <w:t xml:space="preserve">. The proposed budget will </w:t>
      </w:r>
      <w:r>
        <w:t xml:space="preserve">be </w:t>
      </w:r>
      <w:r w:rsidRPr="005C53E5">
        <w:t xml:space="preserve">reviewed to ensure costs are adequately aligned with the program narrative. In addition, the budget table and budget narrative must demonstrate that items and amounts are </w:t>
      </w:r>
      <w:r>
        <w:t xml:space="preserve">allowable, </w:t>
      </w:r>
      <w:r w:rsidRPr="005C53E5">
        <w:t>reasonable</w:t>
      </w:r>
      <w:r>
        <w:t>,</w:t>
      </w:r>
      <w:r w:rsidRPr="005C53E5">
        <w:t xml:space="preserve"> and necessary for the program.</w:t>
      </w:r>
    </w:p>
    <w:p w14:paraId="0975F5E8" w14:textId="77777777" w:rsidR="00460338" w:rsidRDefault="00460338" w:rsidP="00CB5771">
      <w:pPr>
        <w:widowControl w:val="0"/>
        <w:ind w:left="360"/>
        <w:jc w:val="both"/>
      </w:pPr>
    </w:p>
    <w:p w14:paraId="68B1128A" w14:textId="092D12F9" w:rsidR="003214BE" w:rsidRDefault="003214BE" w:rsidP="00CB5771">
      <w:pPr>
        <w:widowControl w:val="0"/>
        <w:ind w:left="360"/>
        <w:jc w:val="both"/>
      </w:pPr>
      <w:r>
        <w:t xml:space="preserve">Application materials must address all components of </w:t>
      </w:r>
      <w:r w:rsidR="00214C5C">
        <w:t xml:space="preserve">this notice of funding opportunity </w:t>
      </w:r>
      <w:r>
        <w:t>and demonstrate both a need for the program and an ability to successfully implement the program.</w:t>
      </w:r>
      <w:r w:rsidR="00353057">
        <w:t xml:space="preserve"> </w:t>
      </w:r>
      <w:r>
        <w:t xml:space="preserve">Reviewers will </w:t>
      </w:r>
      <w:r w:rsidR="00353057">
        <w:t xml:space="preserve">determine eligibility and </w:t>
      </w:r>
      <w:r>
        <w:t>score applications based on completeness, clear and detailed responses to program narrative questions, and inclusion of all mandatory program elements</w:t>
      </w:r>
      <w:r w:rsidR="00003737">
        <w:t xml:space="preserve"> as well as consideration of</w:t>
      </w:r>
      <w:r w:rsidR="00003737" w:rsidRPr="00402B57">
        <w:t xml:space="preserve"> past performance history and/o</w:t>
      </w:r>
      <w:r w:rsidR="00003737">
        <w:t>r financial standing with ICJIA</w:t>
      </w:r>
      <w:r>
        <w:t xml:space="preserve">. The applicant must demonstrate that costs are reasonable, necessary, and allowable. </w:t>
      </w:r>
    </w:p>
    <w:p w14:paraId="6C212A9F" w14:textId="77777777" w:rsidR="003214BE" w:rsidRDefault="003214BE" w:rsidP="003214BE">
      <w:pPr>
        <w:widowControl w:val="0"/>
        <w:jc w:val="both"/>
      </w:pPr>
    </w:p>
    <w:p w14:paraId="0C9ABB81" w14:textId="296F0DC4" w:rsidR="0046678E" w:rsidRDefault="00D63BCE" w:rsidP="00CB5771">
      <w:pPr>
        <w:widowControl w:val="0"/>
        <w:ind w:left="360"/>
        <w:jc w:val="both"/>
        <w:rPr>
          <w:color w:val="2F5496" w:themeColor="accent5" w:themeShade="BF"/>
        </w:rPr>
      </w:pPr>
      <w:r w:rsidRPr="004E4384">
        <w:t xml:space="preserve">The total number of points available is </w:t>
      </w:r>
      <w:r w:rsidRPr="0067180F">
        <w:t>100</w:t>
      </w:r>
      <w:r w:rsidR="00706B43">
        <w:t>.</w:t>
      </w:r>
      <w:r w:rsidR="003214BE" w:rsidRPr="00706B43">
        <w:rPr>
          <w:color w:val="538135" w:themeColor="accent6" w:themeShade="BF"/>
        </w:rPr>
        <w:t xml:space="preserve"> </w:t>
      </w:r>
    </w:p>
    <w:p w14:paraId="71996186" w14:textId="77777777" w:rsidR="00D63BCE" w:rsidRPr="004E4384" w:rsidRDefault="00D63BCE" w:rsidP="00D63BCE">
      <w:pPr>
        <w:widowControl w:val="0"/>
        <w:jc w:val="both"/>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1"/>
        <w:gridCol w:w="1763"/>
      </w:tblGrid>
      <w:tr w:rsidR="00F60395" w:rsidRPr="002945C7" w14:paraId="561653C5" w14:textId="77777777" w:rsidTr="0062387E">
        <w:tc>
          <w:tcPr>
            <w:tcW w:w="749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2C7A19BF" w14:textId="06A41C19" w:rsidR="00F60395" w:rsidRPr="002945C7" w:rsidRDefault="00F60395" w:rsidP="00EF02A2">
            <w:pPr>
              <w:widowControl w:val="0"/>
              <w:jc w:val="center"/>
              <w:rPr>
                <w:b/>
                <w:snapToGrid w:val="0"/>
                <w:color w:val="auto"/>
              </w:rPr>
            </w:pPr>
            <w:r w:rsidRPr="002945C7">
              <w:rPr>
                <w:b/>
                <w:i/>
                <w:snapToGrid w:val="0"/>
                <w:color w:val="auto"/>
              </w:rPr>
              <w:br w:type="page"/>
            </w:r>
            <w:r w:rsidRPr="002945C7">
              <w:rPr>
                <w:b/>
                <w:snapToGrid w:val="0"/>
                <w:color w:val="auto"/>
              </w:rPr>
              <w:t>Scoring Criteria</w:t>
            </w:r>
          </w:p>
        </w:tc>
        <w:tc>
          <w:tcPr>
            <w:tcW w:w="1763"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3227DCA1" w14:textId="352189D7" w:rsidR="00F60395" w:rsidRDefault="00F60395" w:rsidP="00F60395">
            <w:pPr>
              <w:widowControl w:val="0"/>
              <w:ind w:left="0"/>
              <w:jc w:val="center"/>
              <w:rPr>
                <w:b/>
                <w:snapToGrid w:val="0"/>
                <w:color w:val="auto"/>
              </w:rPr>
            </w:pPr>
            <w:r w:rsidRPr="002945C7">
              <w:rPr>
                <w:b/>
                <w:snapToGrid w:val="0"/>
                <w:color w:val="auto"/>
              </w:rPr>
              <w:t>Possible</w:t>
            </w:r>
          </w:p>
          <w:p w14:paraId="633A7E90" w14:textId="4DA0F019" w:rsidR="00F60395" w:rsidRPr="002945C7" w:rsidRDefault="00F60395" w:rsidP="00F60395">
            <w:pPr>
              <w:widowControl w:val="0"/>
              <w:ind w:left="0"/>
              <w:jc w:val="center"/>
              <w:rPr>
                <w:b/>
                <w:snapToGrid w:val="0"/>
                <w:color w:val="auto"/>
              </w:rPr>
            </w:pPr>
            <w:r w:rsidRPr="002945C7">
              <w:rPr>
                <w:b/>
                <w:snapToGrid w:val="0"/>
                <w:color w:val="auto"/>
              </w:rPr>
              <w:t>Points</w:t>
            </w:r>
          </w:p>
        </w:tc>
      </w:tr>
      <w:tr w:rsidR="00D63BCE" w:rsidRPr="002945C7" w14:paraId="1D4BEDEF" w14:textId="77777777" w:rsidTr="00245C6F">
        <w:tc>
          <w:tcPr>
            <w:tcW w:w="7491" w:type="dxa"/>
            <w:tcBorders>
              <w:top w:val="thinThickLargeGap" w:sz="24" w:space="0" w:color="auto"/>
            </w:tcBorders>
            <w:shd w:val="clear" w:color="auto" w:fill="auto"/>
          </w:tcPr>
          <w:p w14:paraId="31989744" w14:textId="0DA182B7" w:rsidR="00D63BCE" w:rsidRPr="002945C7" w:rsidRDefault="00D63BCE" w:rsidP="009C2DF5">
            <w:pPr>
              <w:widowControl w:val="0"/>
              <w:ind w:left="0"/>
              <w:rPr>
                <w:snapToGrid w:val="0"/>
                <w:color w:val="auto"/>
              </w:rPr>
            </w:pPr>
            <w:r w:rsidRPr="002945C7">
              <w:rPr>
                <w:b/>
                <w:snapToGrid w:val="0"/>
                <w:color w:val="auto"/>
              </w:rPr>
              <w:t>S</w:t>
            </w:r>
            <w:r w:rsidR="00254C99">
              <w:rPr>
                <w:b/>
                <w:snapToGrid w:val="0"/>
                <w:color w:val="auto"/>
              </w:rPr>
              <w:t>tatement</w:t>
            </w:r>
            <w:r w:rsidRPr="002945C7">
              <w:rPr>
                <w:b/>
                <w:snapToGrid w:val="0"/>
                <w:color w:val="auto"/>
              </w:rPr>
              <w:t xml:space="preserve"> of the Program:</w:t>
            </w:r>
            <w:r w:rsidRPr="002945C7">
              <w:rPr>
                <w:snapToGrid w:val="0"/>
                <w:color w:val="auto"/>
              </w:rPr>
              <w:t xml:space="preserve"> </w:t>
            </w:r>
          </w:p>
        </w:tc>
        <w:tc>
          <w:tcPr>
            <w:tcW w:w="1763" w:type="dxa"/>
            <w:tcBorders>
              <w:top w:val="thinThickLargeGap" w:sz="24" w:space="0" w:color="auto"/>
            </w:tcBorders>
          </w:tcPr>
          <w:p w14:paraId="45EFD85B" w14:textId="2BBAAF21" w:rsidR="00D63BCE" w:rsidRPr="002945C7" w:rsidRDefault="00D46630" w:rsidP="001F0DEB">
            <w:pPr>
              <w:widowControl w:val="0"/>
              <w:rPr>
                <w:b/>
                <w:snapToGrid w:val="0"/>
                <w:color w:val="auto"/>
              </w:rPr>
            </w:pPr>
            <w:r>
              <w:rPr>
                <w:b/>
                <w:snapToGrid w:val="0"/>
                <w:color w:val="auto"/>
              </w:rPr>
              <w:t>10</w:t>
            </w:r>
          </w:p>
        </w:tc>
      </w:tr>
      <w:tr w:rsidR="009C2DF5" w:rsidRPr="002945C7" w14:paraId="52318B27" w14:textId="77777777" w:rsidTr="0062387E">
        <w:tc>
          <w:tcPr>
            <w:tcW w:w="7491" w:type="dxa"/>
            <w:tcBorders>
              <w:top w:val="thinThickLargeGap" w:sz="24" w:space="0" w:color="auto"/>
            </w:tcBorders>
            <w:shd w:val="clear" w:color="auto" w:fill="auto"/>
          </w:tcPr>
          <w:p w14:paraId="104B2BA2" w14:textId="4BFF2D0A" w:rsidR="009C2DF5" w:rsidRPr="002A7E29" w:rsidRDefault="009C2DF5" w:rsidP="002A7E29">
            <w:pPr>
              <w:pStyle w:val="ListParagraph"/>
              <w:widowControl w:val="0"/>
              <w:numPr>
                <w:ilvl w:val="0"/>
                <w:numId w:val="32"/>
              </w:numPr>
              <w:ind w:left="915"/>
              <w:rPr>
                <w:snapToGrid w:val="0"/>
                <w:color w:val="auto"/>
              </w:rPr>
            </w:pPr>
            <w:r w:rsidRPr="00771CB4">
              <w:t>Section demonstrates a clear understanding of the need</w:t>
            </w:r>
            <w:r>
              <w:t xml:space="preserve"> in</w:t>
            </w:r>
            <w:r w:rsidRPr="00771CB4">
              <w:t xml:space="preserve"> service area. The community characteristics </w:t>
            </w:r>
            <w:r>
              <w:t>chart is complete. The risk and protective factors relate to the proposed program.</w:t>
            </w:r>
          </w:p>
        </w:tc>
        <w:tc>
          <w:tcPr>
            <w:tcW w:w="1763" w:type="dxa"/>
            <w:tcBorders>
              <w:top w:val="thinThickLargeGap" w:sz="24" w:space="0" w:color="auto"/>
            </w:tcBorders>
            <w:shd w:val="clear" w:color="auto" w:fill="F2F2F2" w:themeFill="background1" w:themeFillShade="F2"/>
          </w:tcPr>
          <w:p w14:paraId="2ED5913D" w14:textId="4F4605F6" w:rsidR="009C2DF5" w:rsidRPr="00D46630" w:rsidRDefault="009C2DF5" w:rsidP="001F0DEB">
            <w:pPr>
              <w:widowControl w:val="0"/>
              <w:rPr>
                <w:snapToGrid w:val="0"/>
                <w:color w:val="auto"/>
              </w:rPr>
            </w:pPr>
            <w:r w:rsidRPr="00D46630">
              <w:rPr>
                <w:snapToGrid w:val="0"/>
                <w:color w:val="auto"/>
              </w:rPr>
              <w:t>5</w:t>
            </w:r>
          </w:p>
        </w:tc>
      </w:tr>
      <w:tr w:rsidR="009C2DF5" w:rsidRPr="002945C7" w14:paraId="15A85DE1" w14:textId="77777777" w:rsidTr="0062387E">
        <w:tc>
          <w:tcPr>
            <w:tcW w:w="7491" w:type="dxa"/>
            <w:shd w:val="clear" w:color="auto" w:fill="auto"/>
          </w:tcPr>
          <w:p w14:paraId="0C2D0458" w14:textId="69E0EEDD"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Describes strengths and weaknesses of the community to be served</w:t>
            </w:r>
          </w:p>
        </w:tc>
        <w:tc>
          <w:tcPr>
            <w:tcW w:w="1763" w:type="dxa"/>
          </w:tcPr>
          <w:p w14:paraId="360C6C6D" w14:textId="62E2C626" w:rsidR="009C2DF5" w:rsidRPr="00D46630" w:rsidRDefault="009C2DF5" w:rsidP="001F0DEB">
            <w:pPr>
              <w:widowControl w:val="0"/>
              <w:rPr>
                <w:snapToGrid w:val="0"/>
                <w:color w:val="auto"/>
              </w:rPr>
            </w:pPr>
            <w:r w:rsidRPr="00D46630">
              <w:rPr>
                <w:snapToGrid w:val="0"/>
                <w:color w:val="auto"/>
              </w:rPr>
              <w:t>5</w:t>
            </w:r>
          </w:p>
        </w:tc>
      </w:tr>
      <w:tr w:rsidR="00D63BCE" w:rsidRPr="002945C7" w14:paraId="4EC22016" w14:textId="77777777" w:rsidTr="00245C6F">
        <w:tc>
          <w:tcPr>
            <w:tcW w:w="7491" w:type="dxa"/>
            <w:shd w:val="clear" w:color="auto" w:fill="auto"/>
          </w:tcPr>
          <w:p w14:paraId="772630C4" w14:textId="2C609870" w:rsidR="00D63BCE" w:rsidRPr="002945C7" w:rsidRDefault="00254C99" w:rsidP="009C2DF5">
            <w:pPr>
              <w:widowControl w:val="0"/>
              <w:ind w:left="0"/>
              <w:rPr>
                <w:b/>
                <w:snapToGrid w:val="0"/>
                <w:color w:val="auto"/>
              </w:rPr>
            </w:pPr>
            <w:r>
              <w:rPr>
                <w:b/>
                <w:snapToGrid w:val="0"/>
                <w:color w:val="auto"/>
              </w:rPr>
              <w:t xml:space="preserve">Agency Capacity and </w:t>
            </w:r>
            <w:r w:rsidR="00637F5E">
              <w:rPr>
                <w:b/>
                <w:snapToGrid w:val="0"/>
                <w:color w:val="auto"/>
              </w:rPr>
              <w:t>Experience</w:t>
            </w:r>
            <w:r w:rsidR="00637F5E" w:rsidRPr="002945C7">
              <w:rPr>
                <w:b/>
                <w:snapToGrid w:val="0"/>
                <w:color w:val="auto"/>
              </w:rPr>
              <w:t>:</w:t>
            </w:r>
          </w:p>
        </w:tc>
        <w:tc>
          <w:tcPr>
            <w:tcW w:w="1763" w:type="dxa"/>
          </w:tcPr>
          <w:p w14:paraId="0F29B99B" w14:textId="3282743C" w:rsidR="00D63BCE" w:rsidRPr="002945C7" w:rsidRDefault="00162420" w:rsidP="001F0DEB">
            <w:pPr>
              <w:widowControl w:val="0"/>
              <w:rPr>
                <w:b/>
                <w:snapToGrid w:val="0"/>
                <w:color w:val="auto"/>
              </w:rPr>
            </w:pPr>
            <w:r>
              <w:rPr>
                <w:b/>
                <w:snapToGrid w:val="0"/>
                <w:color w:val="auto"/>
              </w:rPr>
              <w:t>15</w:t>
            </w:r>
          </w:p>
        </w:tc>
      </w:tr>
      <w:tr w:rsidR="009C2DF5" w:rsidRPr="002945C7" w14:paraId="2FD34A83" w14:textId="77777777" w:rsidTr="0062387E">
        <w:tc>
          <w:tcPr>
            <w:tcW w:w="7491" w:type="dxa"/>
            <w:shd w:val="clear" w:color="auto" w:fill="auto"/>
          </w:tcPr>
          <w:p w14:paraId="5F005DA0" w14:textId="48665A82"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 xml:space="preserve">Application provides a clear history of the applicant’s history of providing violence prevention and street intervention services, including quantitative and qualitative descriptions. </w:t>
            </w:r>
          </w:p>
        </w:tc>
        <w:tc>
          <w:tcPr>
            <w:tcW w:w="1763" w:type="dxa"/>
            <w:shd w:val="clear" w:color="auto" w:fill="F2F2F2" w:themeFill="background1" w:themeFillShade="F2"/>
          </w:tcPr>
          <w:p w14:paraId="2C14AA3A" w14:textId="04CAAEA0" w:rsidR="009C2DF5" w:rsidRPr="002945C7" w:rsidRDefault="00630456" w:rsidP="001F0DEB">
            <w:pPr>
              <w:widowControl w:val="0"/>
              <w:rPr>
                <w:snapToGrid w:val="0"/>
                <w:color w:val="auto"/>
              </w:rPr>
            </w:pPr>
            <w:r>
              <w:rPr>
                <w:snapToGrid w:val="0"/>
                <w:color w:val="auto"/>
              </w:rPr>
              <w:t>5</w:t>
            </w:r>
          </w:p>
        </w:tc>
      </w:tr>
      <w:tr w:rsidR="00383060" w:rsidRPr="002945C7" w14:paraId="05DEE13A" w14:textId="77777777" w:rsidTr="0062387E">
        <w:tc>
          <w:tcPr>
            <w:tcW w:w="7491" w:type="dxa"/>
            <w:shd w:val="clear" w:color="auto" w:fill="auto"/>
          </w:tcPr>
          <w:p w14:paraId="2B4A6A4B" w14:textId="3ACB8352" w:rsidR="00383060" w:rsidRPr="002A7E29" w:rsidRDefault="00630456" w:rsidP="002A7E29">
            <w:pPr>
              <w:pStyle w:val="ListParagraph"/>
              <w:widowControl w:val="0"/>
              <w:numPr>
                <w:ilvl w:val="0"/>
                <w:numId w:val="32"/>
              </w:numPr>
              <w:ind w:left="915"/>
              <w:rPr>
                <w:snapToGrid w:val="0"/>
                <w:color w:val="auto"/>
              </w:rPr>
            </w:pPr>
            <w:r w:rsidRPr="002A7E29">
              <w:rPr>
                <w:snapToGrid w:val="0"/>
                <w:color w:val="auto"/>
              </w:rPr>
              <w:t>The applicant demonstrates an ability to adjust service provision based on past lessons learned.</w:t>
            </w:r>
          </w:p>
        </w:tc>
        <w:tc>
          <w:tcPr>
            <w:tcW w:w="1763" w:type="dxa"/>
            <w:shd w:val="clear" w:color="auto" w:fill="F2F2F2" w:themeFill="background1" w:themeFillShade="F2"/>
          </w:tcPr>
          <w:p w14:paraId="60DC7E1C" w14:textId="0EAA50D9" w:rsidR="00383060" w:rsidRDefault="00630456" w:rsidP="001F0DEB">
            <w:pPr>
              <w:widowControl w:val="0"/>
              <w:rPr>
                <w:snapToGrid w:val="0"/>
                <w:color w:val="auto"/>
              </w:rPr>
            </w:pPr>
            <w:r>
              <w:rPr>
                <w:snapToGrid w:val="0"/>
                <w:color w:val="auto"/>
              </w:rPr>
              <w:t>5</w:t>
            </w:r>
          </w:p>
        </w:tc>
      </w:tr>
      <w:tr w:rsidR="009C2DF5" w:rsidRPr="002945C7" w14:paraId="454CEC1D" w14:textId="77777777" w:rsidTr="0062387E">
        <w:tc>
          <w:tcPr>
            <w:tcW w:w="7491" w:type="dxa"/>
            <w:shd w:val="clear" w:color="auto" w:fill="auto"/>
          </w:tcPr>
          <w:p w14:paraId="088DB851" w14:textId="6B58C71F"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The applicant describes their fiscal experience including other funding sources and both quantitative and qualitative descriptions. Adequately describes why entity must serve as pass-through for other organizations and includes information on special qualifications and area of expertise. Adequately explains how subawards will be monitored for compliance.</w:t>
            </w:r>
          </w:p>
        </w:tc>
        <w:tc>
          <w:tcPr>
            <w:tcW w:w="1763" w:type="dxa"/>
            <w:shd w:val="clear" w:color="auto" w:fill="F2F2F2" w:themeFill="background1" w:themeFillShade="F2"/>
          </w:tcPr>
          <w:p w14:paraId="3FE4BDAA" w14:textId="0CE10CBE" w:rsidR="009C2DF5" w:rsidRPr="002945C7" w:rsidRDefault="009C2DF5" w:rsidP="001F0DEB">
            <w:pPr>
              <w:widowControl w:val="0"/>
              <w:rPr>
                <w:snapToGrid w:val="0"/>
                <w:color w:val="auto"/>
              </w:rPr>
            </w:pPr>
            <w:r>
              <w:rPr>
                <w:snapToGrid w:val="0"/>
                <w:color w:val="auto"/>
              </w:rPr>
              <w:t>5</w:t>
            </w:r>
          </w:p>
        </w:tc>
      </w:tr>
      <w:tr w:rsidR="00D63BCE" w:rsidRPr="002945C7" w14:paraId="4D336B1F" w14:textId="77777777" w:rsidTr="00245C6F">
        <w:tc>
          <w:tcPr>
            <w:tcW w:w="7491" w:type="dxa"/>
            <w:tcBorders>
              <w:bottom w:val="single" w:sz="4" w:space="0" w:color="auto"/>
            </w:tcBorders>
            <w:shd w:val="clear" w:color="auto" w:fill="auto"/>
          </w:tcPr>
          <w:p w14:paraId="7174F6C7" w14:textId="46A0902C" w:rsidR="00D63BCE" w:rsidRPr="002945C7" w:rsidRDefault="00637F5E" w:rsidP="009C2DF5">
            <w:pPr>
              <w:widowControl w:val="0"/>
              <w:ind w:left="0"/>
              <w:rPr>
                <w:snapToGrid w:val="0"/>
                <w:color w:val="auto"/>
              </w:rPr>
            </w:pPr>
            <w:r>
              <w:rPr>
                <w:b/>
                <w:snapToGrid w:val="0"/>
                <w:color w:val="auto"/>
              </w:rPr>
              <w:t>Proposed Program:</w:t>
            </w:r>
          </w:p>
        </w:tc>
        <w:tc>
          <w:tcPr>
            <w:tcW w:w="1763" w:type="dxa"/>
            <w:tcBorders>
              <w:bottom w:val="single" w:sz="4" w:space="0" w:color="auto"/>
            </w:tcBorders>
          </w:tcPr>
          <w:p w14:paraId="2F2C2FD3" w14:textId="10CFFFB1" w:rsidR="00D63BCE" w:rsidRPr="002945C7" w:rsidRDefault="00734C2F" w:rsidP="001F0DEB">
            <w:pPr>
              <w:widowControl w:val="0"/>
              <w:rPr>
                <w:b/>
                <w:snapToGrid w:val="0"/>
                <w:color w:val="auto"/>
              </w:rPr>
            </w:pPr>
            <w:r>
              <w:rPr>
                <w:b/>
                <w:snapToGrid w:val="0"/>
                <w:color w:val="auto"/>
              </w:rPr>
              <w:t>40</w:t>
            </w:r>
          </w:p>
        </w:tc>
      </w:tr>
      <w:tr w:rsidR="009C2DF5" w:rsidRPr="002945C7" w14:paraId="0827D28A" w14:textId="77777777" w:rsidTr="0062387E">
        <w:tc>
          <w:tcPr>
            <w:tcW w:w="7491" w:type="dxa"/>
            <w:tcBorders>
              <w:bottom w:val="single" w:sz="4" w:space="0" w:color="auto"/>
            </w:tcBorders>
            <w:shd w:val="clear" w:color="auto" w:fill="auto"/>
          </w:tcPr>
          <w:p w14:paraId="6D8507EA" w14:textId="63998C8D"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Adequately describe the coalition that will work towards inter-</w:t>
            </w:r>
            <w:r w:rsidRPr="002A7E29">
              <w:rPr>
                <w:snapToGrid w:val="0"/>
                <w:color w:val="auto"/>
              </w:rPr>
              <w:lastRenderedPageBreak/>
              <w:t>agency collaboration for efficient and effective services; includes a list of the proposed members’ agencies, frequency of meetings, and the group’s activities. Response adequately describes if this is an existing group and if the group’s previous activities, accomplishments and how the proposed program needs will be incorporated into the existing group.</w:t>
            </w:r>
          </w:p>
        </w:tc>
        <w:tc>
          <w:tcPr>
            <w:tcW w:w="1763" w:type="dxa"/>
            <w:tcBorders>
              <w:bottom w:val="single" w:sz="4" w:space="0" w:color="auto"/>
            </w:tcBorders>
            <w:shd w:val="clear" w:color="auto" w:fill="F2F2F2" w:themeFill="background1" w:themeFillShade="F2"/>
          </w:tcPr>
          <w:p w14:paraId="238D8B5A" w14:textId="0DF37203" w:rsidR="009C2DF5" w:rsidRPr="002945C7" w:rsidRDefault="00825240" w:rsidP="001F0DEB">
            <w:pPr>
              <w:widowControl w:val="0"/>
              <w:rPr>
                <w:snapToGrid w:val="0"/>
                <w:color w:val="auto"/>
              </w:rPr>
            </w:pPr>
            <w:r>
              <w:rPr>
                <w:snapToGrid w:val="0"/>
                <w:color w:val="auto"/>
              </w:rPr>
              <w:lastRenderedPageBreak/>
              <w:t>5</w:t>
            </w:r>
          </w:p>
        </w:tc>
      </w:tr>
      <w:tr w:rsidR="009C2DF5" w:rsidRPr="002945C7" w14:paraId="200B514D" w14:textId="77777777" w:rsidTr="0062387E">
        <w:tc>
          <w:tcPr>
            <w:tcW w:w="7491" w:type="dxa"/>
            <w:tcBorders>
              <w:bottom w:val="single" w:sz="4" w:space="0" w:color="auto"/>
            </w:tcBorders>
            <w:shd w:val="clear" w:color="auto" w:fill="auto"/>
          </w:tcPr>
          <w:p w14:paraId="60B5147A" w14:textId="35909DD0"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Adequately describes the public awareness activities proposed which at minimum, include method, language(s), venues and past experience in this activity</w:t>
            </w:r>
          </w:p>
        </w:tc>
        <w:tc>
          <w:tcPr>
            <w:tcW w:w="1763" w:type="dxa"/>
            <w:tcBorders>
              <w:bottom w:val="single" w:sz="4" w:space="0" w:color="auto"/>
            </w:tcBorders>
            <w:shd w:val="clear" w:color="auto" w:fill="F2F2F2" w:themeFill="background1" w:themeFillShade="F2"/>
          </w:tcPr>
          <w:p w14:paraId="1DDF7153" w14:textId="6562B3DD" w:rsidR="009C2DF5" w:rsidRPr="002945C7" w:rsidRDefault="00825240" w:rsidP="001F0DEB">
            <w:pPr>
              <w:widowControl w:val="0"/>
              <w:rPr>
                <w:snapToGrid w:val="0"/>
                <w:color w:val="auto"/>
              </w:rPr>
            </w:pPr>
            <w:r>
              <w:rPr>
                <w:snapToGrid w:val="0"/>
                <w:color w:val="auto"/>
              </w:rPr>
              <w:t>5</w:t>
            </w:r>
          </w:p>
        </w:tc>
      </w:tr>
      <w:tr w:rsidR="009C2DF5" w:rsidRPr="002945C7" w14:paraId="505317AE" w14:textId="77777777" w:rsidTr="0062387E">
        <w:tc>
          <w:tcPr>
            <w:tcW w:w="7491" w:type="dxa"/>
            <w:tcBorders>
              <w:bottom w:val="single" w:sz="4" w:space="0" w:color="auto"/>
            </w:tcBorders>
            <w:shd w:val="clear" w:color="auto" w:fill="auto"/>
          </w:tcPr>
          <w:p w14:paraId="63E956B6" w14:textId="465A8373"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Adequately describes the proposed service, including but not limited to service model goals, associated research findings (if present), identified risk and protective factors addressed, anticipated service length, and related details.</w:t>
            </w:r>
          </w:p>
        </w:tc>
        <w:tc>
          <w:tcPr>
            <w:tcW w:w="1763" w:type="dxa"/>
            <w:tcBorders>
              <w:bottom w:val="single" w:sz="4" w:space="0" w:color="auto"/>
            </w:tcBorders>
            <w:shd w:val="clear" w:color="auto" w:fill="F2F2F2" w:themeFill="background1" w:themeFillShade="F2"/>
          </w:tcPr>
          <w:p w14:paraId="09B06D05" w14:textId="0D2B1283" w:rsidR="009C2DF5" w:rsidRPr="002945C7" w:rsidRDefault="009C2DF5" w:rsidP="001F0DEB">
            <w:pPr>
              <w:widowControl w:val="0"/>
              <w:rPr>
                <w:snapToGrid w:val="0"/>
                <w:color w:val="auto"/>
              </w:rPr>
            </w:pPr>
            <w:r>
              <w:rPr>
                <w:snapToGrid w:val="0"/>
                <w:color w:val="auto"/>
              </w:rPr>
              <w:t>10</w:t>
            </w:r>
          </w:p>
        </w:tc>
      </w:tr>
      <w:tr w:rsidR="009C2DF5" w:rsidRPr="002945C7" w14:paraId="47370095" w14:textId="77777777" w:rsidTr="0062387E">
        <w:tc>
          <w:tcPr>
            <w:tcW w:w="7491" w:type="dxa"/>
            <w:tcBorders>
              <w:bottom w:val="single" w:sz="4" w:space="0" w:color="auto"/>
            </w:tcBorders>
            <w:shd w:val="clear" w:color="auto" w:fill="auto"/>
          </w:tcPr>
          <w:p w14:paraId="3706A4C7" w14:textId="5BB357C1"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Adequately describes the proposed target population, including risk and protective factors most commonly observed.</w:t>
            </w:r>
          </w:p>
        </w:tc>
        <w:tc>
          <w:tcPr>
            <w:tcW w:w="1763" w:type="dxa"/>
            <w:tcBorders>
              <w:bottom w:val="single" w:sz="4" w:space="0" w:color="auto"/>
            </w:tcBorders>
            <w:shd w:val="clear" w:color="auto" w:fill="F2F2F2" w:themeFill="background1" w:themeFillShade="F2"/>
          </w:tcPr>
          <w:p w14:paraId="14EC459B" w14:textId="32D31D12" w:rsidR="009C2DF5" w:rsidRPr="002945C7" w:rsidRDefault="009C2DF5" w:rsidP="001F0DEB">
            <w:pPr>
              <w:widowControl w:val="0"/>
              <w:rPr>
                <w:snapToGrid w:val="0"/>
                <w:color w:val="auto"/>
              </w:rPr>
            </w:pPr>
            <w:r>
              <w:rPr>
                <w:snapToGrid w:val="0"/>
                <w:color w:val="auto"/>
              </w:rPr>
              <w:t>5</w:t>
            </w:r>
          </w:p>
        </w:tc>
      </w:tr>
      <w:tr w:rsidR="009C2DF5" w:rsidRPr="002945C7" w14:paraId="4B64C25D" w14:textId="77777777" w:rsidTr="0062387E">
        <w:tc>
          <w:tcPr>
            <w:tcW w:w="7491" w:type="dxa"/>
            <w:tcBorders>
              <w:bottom w:val="single" w:sz="4" w:space="0" w:color="auto"/>
            </w:tcBorders>
            <w:shd w:val="clear" w:color="auto" w:fill="auto"/>
          </w:tcPr>
          <w:p w14:paraId="4D9C09CD" w14:textId="5DF6897A"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Adequately describes how clients will be referred for services offered and includes the referral sources.</w:t>
            </w:r>
          </w:p>
        </w:tc>
        <w:tc>
          <w:tcPr>
            <w:tcW w:w="1763" w:type="dxa"/>
            <w:tcBorders>
              <w:bottom w:val="single" w:sz="4" w:space="0" w:color="auto"/>
            </w:tcBorders>
            <w:shd w:val="clear" w:color="auto" w:fill="F2F2F2" w:themeFill="background1" w:themeFillShade="F2"/>
          </w:tcPr>
          <w:p w14:paraId="7630DB94" w14:textId="2AFCD26A" w:rsidR="009C2DF5" w:rsidRPr="002945C7" w:rsidRDefault="009C2DF5" w:rsidP="001F0DEB">
            <w:pPr>
              <w:widowControl w:val="0"/>
              <w:rPr>
                <w:snapToGrid w:val="0"/>
                <w:color w:val="auto"/>
              </w:rPr>
            </w:pPr>
            <w:r>
              <w:rPr>
                <w:snapToGrid w:val="0"/>
                <w:color w:val="auto"/>
              </w:rPr>
              <w:t>5</w:t>
            </w:r>
          </w:p>
        </w:tc>
      </w:tr>
      <w:tr w:rsidR="009C2DF5" w:rsidRPr="002945C7" w14:paraId="33DD7329" w14:textId="77777777" w:rsidTr="0062387E">
        <w:tc>
          <w:tcPr>
            <w:tcW w:w="7491" w:type="dxa"/>
            <w:tcBorders>
              <w:bottom w:val="single" w:sz="4" w:space="0" w:color="auto"/>
            </w:tcBorders>
            <w:shd w:val="clear" w:color="auto" w:fill="auto"/>
          </w:tcPr>
          <w:p w14:paraId="73786809" w14:textId="410C0C88"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Adequately describes the client intake process, including but not limited to intake questions and criteria for acceptance.</w:t>
            </w:r>
          </w:p>
        </w:tc>
        <w:tc>
          <w:tcPr>
            <w:tcW w:w="1763" w:type="dxa"/>
            <w:tcBorders>
              <w:bottom w:val="single" w:sz="4" w:space="0" w:color="auto"/>
            </w:tcBorders>
            <w:shd w:val="clear" w:color="auto" w:fill="F2F2F2" w:themeFill="background1" w:themeFillShade="F2"/>
          </w:tcPr>
          <w:p w14:paraId="6D3C0D77" w14:textId="490366C8" w:rsidR="009C2DF5" w:rsidRPr="002945C7" w:rsidRDefault="009C2DF5" w:rsidP="001F0DEB">
            <w:pPr>
              <w:widowControl w:val="0"/>
              <w:rPr>
                <w:snapToGrid w:val="0"/>
                <w:color w:val="auto"/>
              </w:rPr>
            </w:pPr>
            <w:r>
              <w:rPr>
                <w:snapToGrid w:val="0"/>
                <w:color w:val="auto"/>
              </w:rPr>
              <w:t>5</w:t>
            </w:r>
          </w:p>
        </w:tc>
      </w:tr>
      <w:tr w:rsidR="009C2DF5" w:rsidRPr="002945C7" w14:paraId="1AE5BFD7" w14:textId="77777777" w:rsidTr="0062387E">
        <w:tc>
          <w:tcPr>
            <w:tcW w:w="7491" w:type="dxa"/>
            <w:tcBorders>
              <w:bottom w:val="single" w:sz="4" w:space="0" w:color="auto"/>
            </w:tcBorders>
            <w:shd w:val="clear" w:color="auto" w:fill="auto"/>
          </w:tcPr>
          <w:p w14:paraId="5DCFAAC6" w14:textId="3247B53D"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 xml:space="preserve">Adequately describes partnerships with other organizations that are essential to ensuring clients’ immediate needs are being addressed as part of the service plan. </w:t>
            </w:r>
          </w:p>
        </w:tc>
        <w:tc>
          <w:tcPr>
            <w:tcW w:w="1763" w:type="dxa"/>
            <w:tcBorders>
              <w:bottom w:val="single" w:sz="4" w:space="0" w:color="auto"/>
            </w:tcBorders>
            <w:shd w:val="clear" w:color="auto" w:fill="F2F2F2" w:themeFill="background1" w:themeFillShade="F2"/>
          </w:tcPr>
          <w:p w14:paraId="02D75BB4" w14:textId="22091620" w:rsidR="009C2DF5" w:rsidRPr="002945C7" w:rsidRDefault="009C2DF5" w:rsidP="001F0DEB">
            <w:pPr>
              <w:widowControl w:val="0"/>
              <w:rPr>
                <w:snapToGrid w:val="0"/>
                <w:color w:val="auto"/>
              </w:rPr>
            </w:pPr>
            <w:r>
              <w:rPr>
                <w:snapToGrid w:val="0"/>
                <w:color w:val="auto"/>
              </w:rPr>
              <w:t>5</w:t>
            </w:r>
          </w:p>
        </w:tc>
      </w:tr>
      <w:tr w:rsidR="00D63BCE" w:rsidRPr="002945C7" w14:paraId="395BFDA8" w14:textId="77777777" w:rsidTr="00245C6F">
        <w:tc>
          <w:tcPr>
            <w:tcW w:w="7491" w:type="dxa"/>
            <w:tcBorders>
              <w:bottom w:val="single" w:sz="4" w:space="0" w:color="auto"/>
            </w:tcBorders>
            <w:shd w:val="clear" w:color="auto" w:fill="auto"/>
          </w:tcPr>
          <w:p w14:paraId="29BE0B31" w14:textId="4F6222C9" w:rsidR="00D63BCE" w:rsidRPr="002945C7" w:rsidRDefault="00637F5E" w:rsidP="009C2DF5">
            <w:pPr>
              <w:widowControl w:val="0"/>
              <w:ind w:left="0"/>
              <w:rPr>
                <w:b/>
                <w:snapToGrid w:val="0"/>
                <w:color w:val="auto"/>
              </w:rPr>
            </w:pPr>
            <w:r>
              <w:rPr>
                <w:b/>
                <w:snapToGrid w:val="0"/>
                <w:color w:val="auto"/>
              </w:rPr>
              <w:t>Staffing Plan:</w:t>
            </w:r>
          </w:p>
        </w:tc>
        <w:tc>
          <w:tcPr>
            <w:tcW w:w="1763" w:type="dxa"/>
            <w:tcBorders>
              <w:bottom w:val="single" w:sz="4" w:space="0" w:color="auto"/>
            </w:tcBorders>
          </w:tcPr>
          <w:p w14:paraId="7AC02BC4" w14:textId="0269C34D" w:rsidR="00D63BCE" w:rsidRPr="002945C7" w:rsidRDefault="00814647" w:rsidP="001F0DEB">
            <w:pPr>
              <w:widowControl w:val="0"/>
              <w:rPr>
                <w:b/>
                <w:snapToGrid w:val="0"/>
                <w:color w:val="auto"/>
              </w:rPr>
            </w:pPr>
            <w:r>
              <w:rPr>
                <w:b/>
                <w:snapToGrid w:val="0"/>
                <w:color w:val="auto"/>
              </w:rPr>
              <w:t>15</w:t>
            </w:r>
          </w:p>
        </w:tc>
      </w:tr>
      <w:tr w:rsidR="009C2DF5" w:rsidRPr="002945C7" w14:paraId="79CEC01D" w14:textId="77777777" w:rsidTr="0062387E">
        <w:tc>
          <w:tcPr>
            <w:tcW w:w="7491" w:type="dxa"/>
            <w:tcBorders>
              <w:bottom w:val="single" w:sz="4" w:space="0" w:color="auto"/>
            </w:tcBorders>
            <w:shd w:val="clear" w:color="auto" w:fill="auto"/>
          </w:tcPr>
          <w:p w14:paraId="52BCD17E" w14:textId="631C01B2" w:rsidR="009C2DF5" w:rsidRPr="002A7E29" w:rsidRDefault="009C2DF5" w:rsidP="002A7E29">
            <w:pPr>
              <w:pStyle w:val="ListParagraph"/>
              <w:widowControl w:val="0"/>
              <w:numPr>
                <w:ilvl w:val="0"/>
                <w:numId w:val="32"/>
              </w:numPr>
              <w:ind w:left="915"/>
              <w:rPr>
                <w:b/>
                <w:snapToGrid w:val="0"/>
                <w:color w:val="auto"/>
              </w:rPr>
            </w:pPr>
            <w:r w:rsidRPr="002A7E29">
              <w:rPr>
                <w:snapToGrid w:val="0"/>
                <w:color w:val="auto"/>
              </w:rPr>
              <w:t>Response lists and adequately describes all staff positions assigned to the proposed program. Include at minimum the response includes: name of position; roles and responsibilities; reporting and supervision structure.</w:t>
            </w:r>
          </w:p>
        </w:tc>
        <w:tc>
          <w:tcPr>
            <w:tcW w:w="1763" w:type="dxa"/>
            <w:tcBorders>
              <w:bottom w:val="single" w:sz="4" w:space="0" w:color="auto"/>
            </w:tcBorders>
            <w:shd w:val="clear" w:color="auto" w:fill="F2F2F2" w:themeFill="background1" w:themeFillShade="F2"/>
          </w:tcPr>
          <w:p w14:paraId="30BDBB7F" w14:textId="0B29E13A" w:rsidR="009C2DF5" w:rsidRPr="002945C7" w:rsidRDefault="009C2DF5" w:rsidP="001F0DEB">
            <w:pPr>
              <w:widowControl w:val="0"/>
              <w:rPr>
                <w:b/>
                <w:snapToGrid w:val="0"/>
                <w:color w:val="auto"/>
              </w:rPr>
            </w:pPr>
            <w:r>
              <w:rPr>
                <w:b/>
                <w:snapToGrid w:val="0"/>
                <w:color w:val="auto"/>
              </w:rPr>
              <w:t>5</w:t>
            </w:r>
          </w:p>
        </w:tc>
      </w:tr>
      <w:tr w:rsidR="009C2DF5" w:rsidRPr="002945C7" w14:paraId="17473718" w14:textId="77777777" w:rsidTr="0062387E">
        <w:tc>
          <w:tcPr>
            <w:tcW w:w="7491" w:type="dxa"/>
            <w:tcBorders>
              <w:bottom w:val="single" w:sz="4" w:space="0" w:color="auto"/>
            </w:tcBorders>
            <w:shd w:val="clear" w:color="auto" w:fill="auto"/>
          </w:tcPr>
          <w:p w14:paraId="07CE2FD8" w14:textId="20411B35" w:rsidR="009C2DF5" w:rsidRPr="002A7E29" w:rsidRDefault="009C2DF5" w:rsidP="002A7E29">
            <w:pPr>
              <w:pStyle w:val="ListParagraph"/>
              <w:widowControl w:val="0"/>
              <w:numPr>
                <w:ilvl w:val="0"/>
                <w:numId w:val="32"/>
              </w:numPr>
              <w:ind w:left="915"/>
              <w:rPr>
                <w:b/>
                <w:snapToGrid w:val="0"/>
                <w:color w:val="auto"/>
              </w:rPr>
            </w:pPr>
            <w:r w:rsidRPr="002A7E29">
              <w:rPr>
                <w:snapToGrid w:val="0"/>
                <w:color w:val="auto"/>
              </w:rPr>
              <w:t>Adequately describes how cases are assigned to direct service staff and supervised within the agency.</w:t>
            </w:r>
          </w:p>
        </w:tc>
        <w:tc>
          <w:tcPr>
            <w:tcW w:w="1763" w:type="dxa"/>
            <w:tcBorders>
              <w:bottom w:val="single" w:sz="4" w:space="0" w:color="auto"/>
            </w:tcBorders>
            <w:shd w:val="clear" w:color="auto" w:fill="F2F2F2" w:themeFill="background1" w:themeFillShade="F2"/>
          </w:tcPr>
          <w:p w14:paraId="0C0E2FAA" w14:textId="634E059F" w:rsidR="009C2DF5" w:rsidRPr="002945C7" w:rsidRDefault="009C2DF5" w:rsidP="001F0DEB">
            <w:pPr>
              <w:widowControl w:val="0"/>
              <w:rPr>
                <w:b/>
                <w:snapToGrid w:val="0"/>
                <w:color w:val="auto"/>
              </w:rPr>
            </w:pPr>
            <w:r>
              <w:rPr>
                <w:b/>
                <w:snapToGrid w:val="0"/>
                <w:color w:val="auto"/>
              </w:rPr>
              <w:t>3</w:t>
            </w:r>
          </w:p>
        </w:tc>
      </w:tr>
      <w:tr w:rsidR="009C2DF5" w:rsidRPr="002945C7" w14:paraId="499548A7" w14:textId="77777777" w:rsidTr="0062387E">
        <w:tc>
          <w:tcPr>
            <w:tcW w:w="7491" w:type="dxa"/>
            <w:tcBorders>
              <w:bottom w:val="single" w:sz="4" w:space="0" w:color="auto"/>
            </w:tcBorders>
            <w:shd w:val="clear" w:color="auto" w:fill="auto"/>
          </w:tcPr>
          <w:p w14:paraId="5277E8E2" w14:textId="5F445400" w:rsidR="009C2DF5" w:rsidRPr="002A7E29" w:rsidRDefault="009C2DF5" w:rsidP="002A7E29">
            <w:pPr>
              <w:pStyle w:val="ListParagraph"/>
              <w:widowControl w:val="0"/>
              <w:numPr>
                <w:ilvl w:val="0"/>
                <w:numId w:val="32"/>
              </w:numPr>
              <w:ind w:left="915"/>
              <w:rPr>
                <w:b/>
                <w:snapToGrid w:val="0"/>
                <w:color w:val="auto"/>
              </w:rPr>
            </w:pPr>
            <w:r w:rsidRPr="002A7E29">
              <w:rPr>
                <w:snapToGrid w:val="0"/>
                <w:color w:val="auto"/>
              </w:rPr>
              <w:t>Adequately describes how the proposed program will include staff trauma skills training and ongoing consultation to improve trauma informed response to clients.</w:t>
            </w:r>
          </w:p>
        </w:tc>
        <w:tc>
          <w:tcPr>
            <w:tcW w:w="1763" w:type="dxa"/>
            <w:tcBorders>
              <w:bottom w:val="single" w:sz="4" w:space="0" w:color="auto"/>
            </w:tcBorders>
            <w:shd w:val="clear" w:color="auto" w:fill="F2F2F2" w:themeFill="background1" w:themeFillShade="F2"/>
          </w:tcPr>
          <w:p w14:paraId="5D2E057C" w14:textId="591D1BC0" w:rsidR="009C2DF5" w:rsidRPr="002945C7" w:rsidRDefault="009C2DF5" w:rsidP="001F0DEB">
            <w:pPr>
              <w:widowControl w:val="0"/>
              <w:rPr>
                <w:b/>
                <w:snapToGrid w:val="0"/>
                <w:color w:val="auto"/>
              </w:rPr>
            </w:pPr>
            <w:r>
              <w:rPr>
                <w:b/>
                <w:snapToGrid w:val="0"/>
                <w:color w:val="auto"/>
              </w:rPr>
              <w:t>2</w:t>
            </w:r>
          </w:p>
        </w:tc>
      </w:tr>
      <w:tr w:rsidR="009C2DF5" w:rsidRPr="002945C7" w14:paraId="170E5E4F" w14:textId="77777777" w:rsidTr="0062387E">
        <w:tc>
          <w:tcPr>
            <w:tcW w:w="7491" w:type="dxa"/>
            <w:tcBorders>
              <w:bottom w:val="single" w:sz="4" w:space="0" w:color="auto"/>
            </w:tcBorders>
            <w:shd w:val="clear" w:color="auto" w:fill="auto"/>
          </w:tcPr>
          <w:p w14:paraId="3ED826F4" w14:textId="415C4E9C" w:rsidR="009C2DF5" w:rsidRPr="002A7E29" w:rsidRDefault="009C2DF5" w:rsidP="002A7E29">
            <w:pPr>
              <w:pStyle w:val="ListParagraph"/>
              <w:widowControl w:val="0"/>
              <w:numPr>
                <w:ilvl w:val="0"/>
                <w:numId w:val="32"/>
              </w:numPr>
              <w:ind w:left="915"/>
              <w:rPr>
                <w:b/>
                <w:snapToGrid w:val="0"/>
                <w:color w:val="auto"/>
              </w:rPr>
            </w:pPr>
            <w:r w:rsidRPr="002A7E29">
              <w:rPr>
                <w:snapToGrid w:val="0"/>
                <w:color w:val="auto"/>
              </w:rPr>
              <w:t>Adequately describes the hiring and administrative policies and procedures that ensure a physically safe environment for clients and their families immediately before services, during services and immediately after services.</w:t>
            </w:r>
          </w:p>
        </w:tc>
        <w:tc>
          <w:tcPr>
            <w:tcW w:w="1763" w:type="dxa"/>
            <w:tcBorders>
              <w:bottom w:val="single" w:sz="4" w:space="0" w:color="auto"/>
            </w:tcBorders>
            <w:shd w:val="clear" w:color="auto" w:fill="F2F2F2" w:themeFill="background1" w:themeFillShade="F2"/>
          </w:tcPr>
          <w:p w14:paraId="055B3509" w14:textId="1B7CB119" w:rsidR="009C2DF5" w:rsidRPr="002945C7" w:rsidRDefault="009C2DF5" w:rsidP="001F0DEB">
            <w:pPr>
              <w:widowControl w:val="0"/>
              <w:rPr>
                <w:b/>
                <w:snapToGrid w:val="0"/>
                <w:color w:val="auto"/>
              </w:rPr>
            </w:pPr>
            <w:r>
              <w:rPr>
                <w:b/>
                <w:snapToGrid w:val="0"/>
                <w:color w:val="auto"/>
              </w:rPr>
              <w:t>5</w:t>
            </w:r>
          </w:p>
        </w:tc>
      </w:tr>
      <w:tr w:rsidR="00AA58C4" w:rsidRPr="002945C7" w14:paraId="5029D16C" w14:textId="77777777" w:rsidTr="00D17923">
        <w:tc>
          <w:tcPr>
            <w:tcW w:w="7491" w:type="dxa"/>
            <w:tcBorders>
              <w:bottom w:val="single" w:sz="4" w:space="0" w:color="auto"/>
            </w:tcBorders>
            <w:shd w:val="clear" w:color="auto" w:fill="auto"/>
          </w:tcPr>
          <w:p w14:paraId="337CDF2C" w14:textId="47753994" w:rsidR="00AA58C4" w:rsidRPr="00AA58C4" w:rsidRDefault="00AA58C4" w:rsidP="009C2DF5">
            <w:pPr>
              <w:widowControl w:val="0"/>
              <w:ind w:left="0"/>
              <w:rPr>
                <w:b/>
                <w:snapToGrid w:val="0"/>
                <w:color w:val="auto"/>
              </w:rPr>
            </w:pPr>
            <w:r w:rsidRPr="00AA58C4">
              <w:rPr>
                <w:b/>
                <w:snapToGrid w:val="0"/>
                <w:color w:val="auto"/>
              </w:rPr>
              <w:t xml:space="preserve">Implementation Schedule </w:t>
            </w:r>
          </w:p>
        </w:tc>
        <w:tc>
          <w:tcPr>
            <w:tcW w:w="1763" w:type="dxa"/>
            <w:tcBorders>
              <w:bottom w:val="single" w:sz="4" w:space="0" w:color="auto"/>
            </w:tcBorders>
            <w:shd w:val="clear" w:color="auto" w:fill="F2F2F2" w:themeFill="background1" w:themeFillShade="F2"/>
          </w:tcPr>
          <w:p w14:paraId="588A63F7" w14:textId="5FF5DC69" w:rsidR="00AA58C4" w:rsidRDefault="00AA58C4" w:rsidP="001F0DEB">
            <w:pPr>
              <w:widowControl w:val="0"/>
              <w:rPr>
                <w:b/>
                <w:snapToGrid w:val="0"/>
                <w:color w:val="auto"/>
              </w:rPr>
            </w:pPr>
            <w:r>
              <w:rPr>
                <w:b/>
                <w:snapToGrid w:val="0"/>
                <w:color w:val="auto"/>
              </w:rPr>
              <w:t>5</w:t>
            </w:r>
          </w:p>
        </w:tc>
      </w:tr>
      <w:tr w:rsidR="009C2DF5" w:rsidRPr="002945C7" w14:paraId="6F6AA0AA" w14:textId="77777777" w:rsidTr="0062387E">
        <w:tc>
          <w:tcPr>
            <w:tcW w:w="7491" w:type="dxa"/>
            <w:tcBorders>
              <w:bottom w:val="single" w:sz="4" w:space="0" w:color="auto"/>
            </w:tcBorders>
            <w:shd w:val="clear" w:color="auto" w:fill="auto"/>
          </w:tcPr>
          <w:p w14:paraId="0A2221D8" w14:textId="01F33A04" w:rsidR="009C2DF5" w:rsidRPr="002A7E29" w:rsidRDefault="009C2DF5" w:rsidP="002A7E29">
            <w:pPr>
              <w:pStyle w:val="ListParagraph"/>
              <w:widowControl w:val="0"/>
              <w:numPr>
                <w:ilvl w:val="0"/>
                <w:numId w:val="32"/>
              </w:numPr>
              <w:ind w:left="915"/>
              <w:rPr>
                <w:b/>
                <w:snapToGrid w:val="0"/>
                <w:color w:val="auto"/>
              </w:rPr>
            </w:pPr>
            <w:r w:rsidRPr="002A7E29">
              <w:rPr>
                <w:snapToGrid w:val="0"/>
                <w:color w:val="auto"/>
              </w:rPr>
              <w:t>Completes the implementation table, defining each step in the implementation and operation of the proposed program and detailing the staff position responsible for each task and a target date for completion.</w:t>
            </w:r>
          </w:p>
        </w:tc>
        <w:tc>
          <w:tcPr>
            <w:tcW w:w="1763" w:type="dxa"/>
            <w:tcBorders>
              <w:bottom w:val="single" w:sz="4" w:space="0" w:color="auto"/>
            </w:tcBorders>
            <w:shd w:val="clear" w:color="auto" w:fill="F2F2F2" w:themeFill="background1" w:themeFillShade="F2"/>
          </w:tcPr>
          <w:p w14:paraId="5A7902BB" w14:textId="1FBCF47E" w:rsidR="009C2DF5" w:rsidRPr="002945C7" w:rsidRDefault="009C2DF5" w:rsidP="001F0DEB">
            <w:pPr>
              <w:widowControl w:val="0"/>
              <w:rPr>
                <w:b/>
                <w:snapToGrid w:val="0"/>
                <w:color w:val="auto"/>
              </w:rPr>
            </w:pPr>
          </w:p>
        </w:tc>
      </w:tr>
      <w:tr w:rsidR="00D63BCE" w:rsidRPr="002945C7" w14:paraId="01097EDE" w14:textId="77777777" w:rsidTr="00245C6F">
        <w:tc>
          <w:tcPr>
            <w:tcW w:w="7491" w:type="dxa"/>
            <w:tcBorders>
              <w:bottom w:val="single" w:sz="4" w:space="0" w:color="auto"/>
            </w:tcBorders>
            <w:shd w:val="clear" w:color="auto" w:fill="auto"/>
          </w:tcPr>
          <w:p w14:paraId="68A286B4" w14:textId="7E5F7771" w:rsidR="00D63BCE" w:rsidRPr="002945C7" w:rsidRDefault="00637F5E" w:rsidP="009C2DF5">
            <w:pPr>
              <w:widowControl w:val="0"/>
              <w:ind w:left="0"/>
              <w:rPr>
                <w:snapToGrid w:val="0"/>
                <w:color w:val="auto"/>
              </w:rPr>
            </w:pPr>
            <w:r w:rsidRPr="002945C7">
              <w:rPr>
                <w:b/>
                <w:snapToGrid w:val="0"/>
                <w:color w:val="auto"/>
              </w:rPr>
              <w:t>Goals, Objectives and Performance Indicators:</w:t>
            </w:r>
          </w:p>
        </w:tc>
        <w:tc>
          <w:tcPr>
            <w:tcW w:w="1763" w:type="dxa"/>
            <w:tcBorders>
              <w:bottom w:val="single" w:sz="4" w:space="0" w:color="auto"/>
            </w:tcBorders>
          </w:tcPr>
          <w:p w14:paraId="3E16856D" w14:textId="0567301C" w:rsidR="00D63BCE" w:rsidRPr="002945C7" w:rsidRDefault="003A3E4A" w:rsidP="001F0DEB">
            <w:pPr>
              <w:widowControl w:val="0"/>
              <w:rPr>
                <w:b/>
                <w:snapToGrid w:val="0"/>
                <w:color w:val="auto"/>
              </w:rPr>
            </w:pPr>
            <w:r>
              <w:rPr>
                <w:b/>
                <w:snapToGrid w:val="0"/>
                <w:color w:val="auto"/>
              </w:rPr>
              <w:t>5</w:t>
            </w:r>
          </w:p>
        </w:tc>
      </w:tr>
      <w:tr w:rsidR="009C2DF5" w:rsidRPr="002945C7" w14:paraId="08495B9A" w14:textId="77777777" w:rsidTr="0062387E">
        <w:tc>
          <w:tcPr>
            <w:tcW w:w="7491" w:type="dxa"/>
            <w:tcBorders>
              <w:bottom w:val="single" w:sz="4" w:space="0" w:color="auto"/>
            </w:tcBorders>
            <w:shd w:val="clear" w:color="auto" w:fill="auto"/>
          </w:tcPr>
          <w:p w14:paraId="21E6651C" w14:textId="141B23A9"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Response includes completed metrics</w:t>
            </w:r>
          </w:p>
        </w:tc>
        <w:tc>
          <w:tcPr>
            <w:tcW w:w="1763" w:type="dxa"/>
            <w:tcBorders>
              <w:bottom w:val="single" w:sz="4" w:space="0" w:color="auto"/>
            </w:tcBorders>
            <w:shd w:val="clear" w:color="auto" w:fill="F2F2F2" w:themeFill="background1" w:themeFillShade="F2"/>
          </w:tcPr>
          <w:p w14:paraId="1EC1B4FF" w14:textId="77777777" w:rsidR="009C2DF5" w:rsidRPr="002945C7" w:rsidRDefault="009C2DF5" w:rsidP="001F0DEB">
            <w:pPr>
              <w:widowControl w:val="0"/>
              <w:rPr>
                <w:snapToGrid w:val="0"/>
                <w:color w:val="auto"/>
              </w:rPr>
            </w:pPr>
          </w:p>
        </w:tc>
      </w:tr>
      <w:tr w:rsidR="009C2DF5" w:rsidRPr="002945C7" w14:paraId="15D23942" w14:textId="77777777" w:rsidTr="0062387E">
        <w:tc>
          <w:tcPr>
            <w:tcW w:w="7491" w:type="dxa"/>
            <w:tcBorders>
              <w:bottom w:val="single" w:sz="4" w:space="0" w:color="auto"/>
            </w:tcBorders>
            <w:shd w:val="clear" w:color="auto" w:fill="auto"/>
          </w:tcPr>
          <w:p w14:paraId="5833BEF6" w14:textId="054AAC8D" w:rsidR="009C2DF5" w:rsidRPr="002A7E29" w:rsidRDefault="009C2DF5" w:rsidP="002A7E29">
            <w:pPr>
              <w:pStyle w:val="ListParagraph"/>
              <w:widowControl w:val="0"/>
              <w:numPr>
                <w:ilvl w:val="0"/>
                <w:numId w:val="32"/>
              </w:numPr>
              <w:ind w:left="915"/>
              <w:rPr>
                <w:snapToGrid w:val="0"/>
                <w:color w:val="auto"/>
              </w:rPr>
            </w:pPr>
            <w:r w:rsidRPr="002A7E29">
              <w:rPr>
                <w:snapToGrid w:val="0"/>
                <w:color w:val="auto"/>
              </w:rPr>
              <w:t xml:space="preserve">Metrics are ambitious yet realistic. </w:t>
            </w:r>
          </w:p>
        </w:tc>
        <w:tc>
          <w:tcPr>
            <w:tcW w:w="1763" w:type="dxa"/>
            <w:tcBorders>
              <w:bottom w:val="single" w:sz="4" w:space="0" w:color="auto"/>
            </w:tcBorders>
            <w:shd w:val="clear" w:color="auto" w:fill="F2F2F2" w:themeFill="background1" w:themeFillShade="F2"/>
          </w:tcPr>
          <w:p w14:paraId="5431CEAA" w14:textId="77777777" w:rsidR="009C2DF5" w:rsidRPr="002945C7" w:rsidRDefault="009C2DF5" w:rsidP="001F0DEB">
            <w:pPr>
              <w:widowControl w:val="0"/>
              <w:rPr>
                <w:snapToGrid w:val="0"/>
                <w:color w:val="auto"/>
              </w:rPr>
            </w:pPr>
          </w:p>
        </w:tc>
      </w:tr>
      <w:tr w:rsidR="00D63BCE" w:rsidRPr="002945C7" w14:paraId="1A300DF8" w14:textId="77777777" w:rsidTr="00245C6F">
        <w:tc>
          <w:tcPr>
            <w:tcW w:w="7491" w:type="dxa"/>
            <w:shd w:val="clear" w:color="auto" w:fill="auto"/>
          </w:tcPr>
          <w:p w14:paraId="3CEB693A" w14:textId="77777777" w:rsidR="00D63BCE" w:rsidRPr="002945C7" w:rsidRDefault="00D63BCE" w:rsidP="009C2DF5">
            <w:pPr>
              <w:widowControl w:val="0"/>
              <w:ind w:left="0"/>
              <w:rPr>
                <w:b/>
                <w:snapToGrid w:val="0"/>
                <w:color w:val="auto"/>
              </w:rPr>
            </w:pPr>
            <w:r w:rsidRPr="002945C7">
              <w:rPr>
                <w:b/>
                <w:snapToGrid w:val="0"/>
                <w:color w:val="auto"/>
              </w:rPr>
              <w:t>Budget Detail:</w:t>
            </w:r>
            <w:r w:rsidRPr="002945C7">
              <w:rPr>
                <w:snapToGrid w:val="0"/>
                <w:color w:val="auto"/>
              </w:rPr>
              <w:t xml:space="preserve"> </w:t>
            </w:r>
          </w:p>
        </w:tc>
        <w:tc>
          <w:tcPr>
            <w:tcW w:w="1763" w:type="dxa"/>
          </w:tcPr>
          <w:p w14:paraId="2E309E27" w14:textId="62820482" w:rsidR="00D63BCE" w:rsidRPr="002945C7" w:rsidRDefault="00734C2F" w:rsidP="001F0DEB">
            <w:pPr>
              <w:widowControl w:val="0"/>
              <w:rPr>
                <w:b/>
                <w:snapToGrid w:val="0"/>
                <w:color w:val="auto"/>
              </w:rPr>
            </w:pPr>
            <w:r>
              <w:rPr>
                <w:b/>
                <w:snapToGrid w:val="0"/>
                <w:color w:val="auto"/>
              </w:rPr>
              <w:t>5</w:t>
            </w:r>
          </w:p>
        </w:tc>
      </w:tr>
      <w:tr w:rsidR="009C2DF5" w:rsidRPr="002945C7" w14:paraId="144FFAE3" w14:textId="77777777" w:rsidTr="0062387E">
        <w:tc>
          <w:tcPr>
            <w:tcW w:w="7491" w:type="dxa"/>
            <w:shd w:val="clear" w:color="auto" w:fill="auto"/>
          </w:tcPr>
          <w:p w14:paraId="21F37319" w14:textId="48EA05DD" w:rsidR="009C2DF5" w:rsidRPr="002A7E29" w:rsidRDefault="009C2DF5" w:rsidP="002A7E29">
            <w:pPr>
              <w:pStyle w:val="ListParagraph"/>
              <w:widowControl w:val="0"/>
              <w:numPr>
                <w:ilvl w:val="0"/>
                <w:numId w:val="33"/>
              </w:numPr>
              <w:ind w:left="915"/>
              <w:rPr>
                <w:snapToGrid w:val="0"/>
                <w:color w:val="auto"/>
              </w:rPr>
            </w:pPr>
            <w:r w:rsidRPr="002A7E29">
              <w:rPr>
                <w:snapToGrid w:val="0"/>
                <w:color w:val="auto"/>
              </w:rPr>
              <w:lastRenderedPageBreak/>
              <w:t>Budget is complete.</w:t>
            </w:r>
          </w:p>
        </w:tc>
        <w:tc>
          <w:tcPr>
            <w:tcW w:w="1763" w:type="dxa"/>
            <w:shd w:val="clear" w:color="auto" w:fill="F2F2F2" w:themeFill="background1" w:themeFillShade="F2"/>
          </w:tcPr>
          <w:p w14:paraId="13934879" w14:textId="77777777" w:rsidR="009C2DF5" w:rsidRPr="002945C7" w:rsidRDefault="009C2DF5" w:rsidP="001F0DEB">
            <w:pPr>
              <w:widowControl w:val="0"/>
              <w:rPr>
                <w:snapToGrid w:val="0"/>
                <w:color w:val="auto"/>
              </w:rPr>
            </w:pPr>
          </w:p>
        </w:tc>
      </w:tr>
      <w:tr w:rsidR="009C2DF5" w:rsidRPr="002945C7" w14:paraId="68170E15" w14:textId="77777777" w:rsidTr="0062387E">
        <w:tc>
          <w:tcPr>
            <w:tcW w:w="7491" w:type="dxa"/>
            <w:shd w:val="clear" w:color="auto" w:fill="auto"/>
          </w:tcPr>
          <w:p w14:paraId="33424877" w14:textId="5A581C43" w:rsidR="009C2DF5" w:rsidRPr="002A7E29" w:rsidRDefault="009C2DF5" w:rsidP="002A7E29">
            <w:pPr>
              <w:pStyle w:val="ListParagraph"/>
              <w:widowControl w:val="0"/>
              <w:numPr>
                <w:ilvl w:val="0"/>
                <w:numId w:val="33"/>
              </w:numPr>
              <w:ind w:left="915"/>
              <w:rPr>
                <w:snapToGrid w:val="0"/>
                <w:color w:val="auto"/>
              </w:rPr>
            </w:pPr>
            <w:r w:rsidRPr="002A7E29">
              <w:rPr>
                <w:snapToGrid w:val="0"/>
                <w:color w:val="auto"/>
              </w:rPr>
              <w:t>Budgeted items are cost-effective in relation to the proposed activities.</w:t>
            </w:r>
          </w:p>
        </w:tc>
        <w:tc>
          <w:tcPr>
            <w:tcW w:w="1763" w:type="dxa"/>
            <w:shd w:val="clear" w:color="auto" w:fill="F2F2F2" w:themeFill="background1" w:themeFillShade="F2"/>
          </w:tcPr>
          <w:p w14:paraId="10E2CE75" w14:textId="77777777" w:rsidR="009C2DF5" w:rsidRPr="002945C7" w:rsidRDefault="009C2DF5" w:rsidP="001F0DEB">
            <w:pPr>
              <w:widowControl w:val="0"/>
              <w:rPr>
                <w:snapToGrid w:val="0"/>
                <w:color w:val="auto"/>
              </w:rPr>
            </w:pPr>
          </w:p>
        </w:tc>
      </w:tr>
      <w:tr w:rsidR="00D63BCE" w:rsidRPr="002945C7" w14:paraId="4F0D62F5" w14:textId="77777777" w:rsidTr="00245C6F">
        <w:tc>
          <w:tcPr>
            <w:tcW w:w="7491" w:type="dxa"/>
            <w:tcBorders>
              <w:bottom w:val="thinThickLargeGap" w:sz="24" w:space="0" w:color="auto"/>
            </w:tcBorders>
            <w:shd w:val="clear" w:color="auto" w:fill="auto"/>
          </w:tcPr>
          <w:p w14:paraId="57842294" w14:textId="77777777" w:rsidR="00D63BCE" w:rsidRPr="002945C7" w:rsidRDefault="00D63BCE" w:rsidP="009C2DF5">
            <w:pPr>
              <w:widowControl w:val="0"/>
              <w:ind w:left="0"/>
              <w:rPr>
                <w:snapToGrid w:val="0"/>
                <w:color w:val="auto"/>
              </w:rPr>
            </w:pPr>
            <w:r w:rsidRPr="002945C7">
              <w:rPr>
                <w:b/>
                <w:snapToGrid w:val="0"/>
                <w:color w:val="auto"/>
              </w:rPr>
              <w:t>Budget Narrative:</w:t>
            </w:r>
            <w:r w:rsidRPr="002945C7">
              <w:rPr>
                <w:snapToGrid w:val="0"/>
                <w:color w:val="auto"/>
              </w:rPr>
              <w:t xml:space="preserve"> </w:t>
            </w:r>
          </w:p>
        </w:tc>
        <w:tc>
          <w:tcPr>
            <w:tcW w:w="1763" w:type="dxa"/>
            <w:tcBorders>
              <w:bottom w:val="thinThickLargeGap" w:sz="24" w:space="0" w:color="auto"/>
            </w:tcBorders>
          </w:tcPr>
          <w:p w14:paraId="032F77A3" w14:textId="1DDFAE78" w:rsidR="00D63BCE" w:rsidRPr="002945C7" w:rsidRDefault="00734C2F" w:rsidP="001F0DEB">
            <w:pPr>
              <w:widowControl w:val="0"/>
              <w:rPr>
                <w:b/>
                <w:snapToGrid w:val="0"/>
                <w:color w:val="auto"/>
              </w:rPr>
            </w:pPr>
            <w:r>
              <w:rPr>
                <w:b/>
                <w:snapToGrid w:val="0"/>
                <w:color w:val="auto"/>
              </w:rPr>
              <w:t>5</w:t>
            </w:r>
          </w:p>
        </w:tc>
      </w:tr>
      <w:tr w:rsidR="009C2DF5" w:rsidRPr="002945C7" w14:paraId="3222F86E" w14:textId="77777777" w:rsidTr="0062387E">
        <w:tc>
          <w:tcPr>
            <w:tcW w:w="7491" w:type="dxa"/>
            <w:shd w:val="clear" w:color="auto" w:fill="auto"/>
          </w:tcPr>
          <w:p w14:paraId="6AC06E3E" w14:textId="10587A7A" w:rsidR="009C2DF5" w:rsidRPr="002A7E29" w:rsidRDefault="009C2DF5" w:rsidP="002A7E29">
            <w:pPr>
              <w:pStyle w:val="ListParagraph"/>
              <w:widowControl w:val="0"/>
              <w:numPr>
                <w:ilvl w:val="0"/>
                <w:numId w:val="34"/>
              </w:numPr>
              <w:ind w:left="915"/>
              <w:rPr>
                <w:snapToGrid w:val="0"/>
                <w:color w:val="auto"/>
              </w:rPr>
            </w:pPr>
            <w:r w:rsidRPr="002A7E29">
              <w:rPr>
                <w:snapToGrid w:val="0"/>
                <w:color w:val="auto"/>
              </w:rPr>
              <w:t xml:space="preserve">Narrative is complete for all line items, clearly detailing how the applicant arrived at and calculated the budget amounts. </w:t>
            </w:r>
          </w:p>
        </w:tc>
        <w:tc>
          <w:tcPr>
            <w:tcW w:w="1763" w:type="dxa"/>
            <w:tcBorders>
              <w:bottom w:val="thinThickLargeGap" w:sz="24" w:space="0" w:color="auto"/>
            </w:tcBorders>
            <w:shd w:val="clear" w:color="auto" w:fill="F2F2F2" w:themeFill="background1" w:themeFillShade="F2"/>
          </w:tcPr>
          <w:p w14:paraId="73522A05" w14:textId="77777777" w:rsidR="009C2DF5" w:rsidRPr="002945C7" w:rsidRDefault="009C2DF5" w:rsidP="001F0DEB">
            <w:pPr>
              <w:widowControl w:val="0"/>
              <w:jc w:val="center"/>
              <w:rPr>
                <w:snapToGrid w:val="0"/>
                <w:color w:val="auto"/>
              </w:rPr>
            </w:pPr>
          </w:p>
        </w:tc>
      </w:tr>
      <w:tr w:rsidR="00D63BCE" w:rsidRPr="002945C7" w14:paraId="01ED6968" w14:textId="77777777" w:rsidTr="00245C6F">
        <w:tc>
          <w:tcPr>
            <w:tcW w:w="749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7897FF43" w14:textId="77777777" w:rsidR="00D63BCE" w:rsidRPr="002945C7" w:rsidRDefault="00D63BCE" w:rsidP="00EF02A2">
            <w:pPr>
              <w:widowControl w:val="0"/>
              <w:jc w:val="right"/>
              <w:rPr>
                <w:b/>
                <w:snapToGrid w:val="0"/>
                <w:color w:val="auto"/>
              </w:rPr>
            </w:pPr>
            <w:r w:rsidRPr="002945C7">
              <w:rPr>
                <w:b/>
                <w:snapToGrid w:val="0"/>
                <w:color w:val="auto"/>
              </w:rPr>
              <w:t xml:space="preserve">Total Possible Points </w:t>
            </w:r>
          </w:p>
        </w:tc>
        <w:tc>
          <w:tcPr>
            <w:tcW w:w="1763" w:type="dxa"/>
            <w:tcBorders>
              <w:top w:val="thinThickLargeGap" w:sz="24" w:space="0" w:color="auto"/>
              <w:left w:val="thinThickLargeGap" w:sz="24" w:space="0" w:color="auto"/>
              <w:bottom w:val="thinThickLargeGap" w:sz="24" w:space="0" w:color="auto"/>
              <w:right w:val="thinThickLargeGap" w:sz="24" w:space="0" w:color="auto"/>
            </w:tcBorders>
          </w:tcPr>
          <w:p w14:paraId="7A28951D" w14:textId="77777777" w:rsidR="00D63BCE" w:rsidRPr="002945C7" w:rsidRDefault="00D63BCE" w:rsidP="001F0DEB">
            <w:pPr>
              <w:widowControl w:val="0"/>
              <w:rPr>
                <w:b/>
                <w:snapToGrid w:val="0"/>
                <w:color w:val="auto"/>
              </w:rPr>
            </w:pPr>
            <w:r w:rsidRPr="002945C7">
              <w:rPr>
                <w:b/>
                <w:snapToGrid w:val="0"/>
                <w:color w:val="auto"/>
              </w:rPr>
              <w:t>100</w:t>
            </w:r>
          </w:p>
        </w:tc>
      </w:tr>
    </w:tbl>
    <w:p w14:paraId="5D56EC68" w14:textId="77777777" w:rsidR="00D63BCE" w:rsidRPr="002945C7" w:rsidRDefault="00D63BCE" w:rsidP="005F1CC5">
      <w:pPr>
        <w:autoSpaceDE w:val="0"/>
        <w:autoSpaceDN w:val="0"/>
        <w:adjustRightInd w:val="0"/>
        <w:ind w:left="360"/>
        <w:rPr>
          <w:color w:val="auto"/>
        </w:rPr>
      </w:pPr>
    </w:p>
    <w:p w14:paraId="6C39A80F" w14:textId="630BD679" w:rsidR="005F1CC5" w:rsidRPr="002945C7" w:rsidRDefault="005F1CC5" w:rsidP="005F1CC5">
      <w:pPr>
        <w:autoSpaceDE w:val="0"/>
        <w:autoSpaceDN w:val="0"/>
        <w:adjustRightInd w:val="0"/>
        <w:ind w:left="360"/>
        <w:rPr>
          <w:color w:val="auto"/>
        </w:rPr>
      </w:pPr>
    </w:p>
    <w:p w14:paraId="582FBB4B" w14:textId="760DBC52" w:rsidR="005F1CC5" w:rsidRPr="002118AF" w:rsidRDefault="005F1CC5" w:rsidP="005F1CC5">
      <w:pPr>
        <w:autoSpaceDE w:val="0"/>
        <w:autoSpaceDN w:val="0"/>
        <w:adjustRightInd w:val="0"/>
        <w:ind w:left="360"/>
        <w:rPr>
          <w:b/>
          <w:i/>
        </w:rPr>
      </w:pPr>
      <w:r w:rsidRPr="002118AF">
        <w:rPr>
          <w:b/>
          <w:i/>
        </w:rPr>
        <w:t>2. Review and Selection Process</w:t>
      </w:r>
    </w:p>
    <w:p w14:paraId="3FC0B534" w14:textId="77777777" w:rsidR="008B6BE8" w:rsidRDefault="008B6BE8" w:rsidP="00D27608">
      <w:pPr>
        <w:autoSpaceDE w:val="0"/>
        <w:autoSpaceDN w:val="0"/>
        <w:adjustRightInd w:val="0"/>
        <w:ind w:left="360"/>
      </w:pPr>
    </w:p>
    <w:p w14:paraId="54D03F2A" w14:textId="7E1E43F8" w:rsidR="00F1767D" w:rsidRDefault="00F1767D" w:rsidP="008E429F">
      <w:pPr>
        <w:ind w:left="360"/>
        <w:contextualSpacing/>
      </w:pPr>
      <w:r w:rsidRPr="005C53E5">
        <w:t>Proposals will be revi</w:t>
      </w:r>
      <w:r>
        <w:t xml:space="preserve">ewed by a panel of ICJIA staff. </w:t>
      </w:r>
    </w:p>
    <w:p w14:paraId="56161A8A" w14:textId="77777777" w:rsidR="00F1767D" w:rsidRDefault="00F1767D" w:rsidP="008E429F">
      <w:pPr>
        <w:ind w:left="360"/>
        <w:contextualSpacing/>
      </w:pPr>
    </w:p>
    <w:p w14:paraId="7A339D47" w14:textId="76BE4B74" w:rsidR="008D0C09" w:rsidRDefault="00245C6F" w:rsidP="00F1767D">
      <w:pPr>
        <w:ind w:left="360"/>
        <w:contextualSpacing/>
      </w:pPr>
      <w:r>
        <w:t xml:space="preserve">All applications will be screened for completeness and GATA ICQ submission for the current </w:t>
      </w:r>
      <w:r w:rsidR="004A4DFD">
        <w:t>state fiscal year</w:t>
      </w:r>
      <w:r>
        <w:t xml:space="preserve">. Applications from agencies do not have a current ICQ submitted by the date of application will not be reviewed.  </w:t>
      </w:r>
    </w:p>
    <w:p w14:paraId="63414D4F" w14:textId="77777777" w:rsidR="00245C6F" w:rsidRDefault="00245C6F" w:rsidP="00A519BE">
      <w:pPr>
        <w:ind w:left="0"/>
        <w:contextualSpacing/>
      </w:pPr>
    </w:p>
    <w:p w14:paraId="1BD3BA3C" w14:textId="76296FF0" w:rsidR="00245C6F" w:rsidRDefault="00245C6F" w:rsidP="00741BF9">
      <w:pPr>
        <w:ind w:left="360"/>
        <w:contextualSpacing/>
        <w:rPr>
          <w:color w:val="auto"/>
        </w:rPr>
      </w:pPr>
      <w:r>
        <w:t xml:space="preserve">ICJIA reserves the right to reject any or all incomplete proposals, proposals including unallowable activities, proposals that fail to meet eligibility or program requirements, or proposals that are otherwise deemed to be unsatisfactory. ICJIA also reserves the right to invite applicants to </w:t>
      </w:r>
      <w:r w:rsidR="00741BF9">
        <w:t>answer clarifying questions and</w:t>
      </w:r>
      <w:r>
        <w:t xml:space="preserve"> modify budgets that include unallowable or unreasonable costs. </w:t>
      </w:r>
    </w:p>
    <w:p w14:paraId="1752E0EE" w14:textId="77777777" w:rsidR="004C2782" w:rsidRDefault="004C2782" w:rsidP="00D27608">
      <w:pPr>
        <w:contextualSpacing/>
      </w:pPr>
    </w:p>
    <w:p w14:paraId="7F5993F9" w14:textId="04245F30" w:rsidR="008B6BE8" w:rsidRPr="002D71F1" w:rsidRDefault="008B6BE8" w:rsidP="00741BF9">
      <w:pPr>
        <w:ind w:left="360"/>
        <w:contextualSpacing/>
        <w:rPr>
          <w:color w:val="auto"/>
        </w:rPr>
      </w:pPr>
      <w:r w:rsidRPr="00F31004">
        <w:t xml:space="preserve">Successful applicants whose applications contained unallowable or unreasonable costs will have their award reduced by the total amount of </w:t>
      </w:r>
      <w:r>
        <w:t xml:space="preserve">those </w:t>
      </w:r>
      <w:r w:rsidRPr="00F31004">
        <w:t xml:space="preserve">costs. Upon applicant acceptance of the grant award, announcement of the grant award shall be published by the awarding agency to the GATA portal. </w:t>
      </w:r>
      <w:r w:rsidR="00741BF9">
        <w:t xml:space="preserve"> </w:t>
      </w:r>
      <w:r w:rsidRPr="00380C95">
        <w:t xml:space="preserve">Review team recommendations will be forwarded to </w:t>
      </w:r>
      <w:r w:rsidR="009E1882" w:rsidRPr="002D71F1">
        <w:rPr>
          <w:color w:val="auto"/>
        </w:rPr>
        <w:t>Budget</w:t>
      </w:r>
      <w:r w:rsidRPr="002D71F1">
        <w:rPr>
          <w:color w:val="auto"/>
        </w:rPr>
        <w:t xml:space="preserve"> Committee for approval. Applicants will be notified of the </w:t>
      </w:r>
      <w:r w:rsidR="009E1882" w:rsidRPr="002D71F1">
        <w:rPr>
          <w:color w:val="auto"/>
        </w:rPr>
        <w:t xml:space="preserve">Budget </w:t>
      </w:r>
      <w:r w:rsidRPr="002D71F1">
        <w:rPr>
          <w:color w:val="auto"/>
        </w:rPr>
        <w:t xml:space="preserve">Committee's decision. </w:t>
      </w:r>
    </w:p>
    <w:p w14:paraId="1BCD96E0" w14:textId="77777777" w:rsidR="008B6BE8" w:rsidRPr="002D71F1" w:rsidRDefault="008B6BE8" w:rsidP="00D27608">
      <w:pPr>
        <w:autoSpaceDE w:val="0"/>
        <w:autoSpaceDN w:val="0"/>
        <w:adjustRightInd w:val="0"/>
        <w:ind w:left="360"/>
        <w:rPr>
          <w:color w:val="auto"/>
        </w:rPr>
      </w:pPr>
    </w:p>
    <w:p w14:paraId="79BF36D9" w14:textId="77777777" w:rsidR="00F93424" w:rsidRDefault="009A0703" w:rsidP="00741BF9">
      <w:pPr>
        <w:ind w:left="360"/>
      </w:pPr>
      <w:r w:rsidRPr="00741BF9">
        <w:rPr>
          <w:b/>
          <w:i/>
        </w:rPr>
        <w:t>3.</w:t>
      </w:r>
      <w:r w:rsidRPr="009A0703">
        <w:rPr>
          <w:b/>
        </w:rPr>
        <w:t xml:space="preserve"> </w:t>
      </w:r>
      <w:r w:rsidRPr="00741BF9">
        <w:rPr>
          <w:b/>
          <w:i/>
        </w:rPr>
        <w:t>Appeal Process</w:t>
      </w:r>
      <w:r>
        <w:t xml:space="preserve"> </w:t>
      </w:r>
    </w:p>
    <w:p w14:paraId="48C21D1A" w14:textId="77777777" w:rsidR="00F93424" w:rsidRDefault="00F93424" w:rsidP="00741BF9">
      <w:pPr>
        <w:ind w:left="360"/>
      </w:pPr>
    </w:p>
    <w:p w14:paraId="76D0ED3B" w14:textId="37A825E2" w:rsidR="00741BF9" w:rsidRPr="00E51F4F" w:rsidRDefault="00741BF9" w:rsidP="00741BF9">
      <w:pPr>
        <w:ind w:left="360"/>
      </w:pPr>
      <w:r w:rsidRPr="00E51F4F">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14 calendar days after either the date the grant award notice is published or receipt of a Funding Opportunity Declination Letter from ICJIA, whichever comes first. The written appeal must include, at a minimum, the following:</w:t>
      </w:r>
    </w:p>
    <w:p w14:paraId="4829DDAE" w14:textId="77777777" w:rsidR="00741BF9" w:rsidRPr="00E51F4F" w:rsidRDefault="00741BF9" w:rsidP="00741BF9">
      <w:pPr>
        <w:ind w:left="360"/>
      </w:pPr>
    </w:p>
    <w:p w14:paraId="092A2FC2" w14:textId="77777777" w:rsidR="00741BF9" w:rsidRPr="00E51F4F" w:rsidRDefault="00741BF9" w:rsidP="009E04DE">
      <w:pPr>
        <w:pStyle w:val="ListParagraph"/>
        <w:numPr>
          <w:ilvl w:val="0"/>
          <w:numId w:val="12"/>
        </w:numPr>
        <w:ind w:left="1440"/>
      </w:pPr>
      <w:r w:rsidRPr="00E51F4F">
        <w:t>Statement indicating a request for a formal appeal.</w:t>
      </w:r>
    </w:p>
    <w:p w14:paraId="3276ED42" w14:textId="77777777" w:rsidR="00741BF9" w:rsidRPr="00E51F4F" w:rsidRDefault="00741BF9" w:rsidP="009E04DE">
      <w:pPr>
        <w:pStyle w:val="ListParagraph"/>
        <w:numPr>
          <w:ilvl w:val="0"/>
          <w:numId w:val="12"/>
        </w:numPr>
        <w:ind w:left="1440"/>
      </w:pPr>
      <w:r w:rsidRPr="00E51F4F">
        <w:t>The name and address of the appealing party.</w:t>
      </w:r>
    </w:p>
    <w:p w14:paraId="1778D745" w14:textId="77777777" w:rsidR="00741BF9" w:rsidRPr="00E51F4F" w:rsidRDefault="00741BF9" w:rsidP="009E04DE">
      <w:pPr>
        <w:pStyle w:val="ListParagraph"/>
        <w:numPr>
          <w:ilvl w:val="0"/>
          <w:numId w:val="12"/>
        </w:numPr>
        <w:ind w:left="1440"/>
      </w:pPr>
      <w:r w:rsidRPr="00E51F4F">
        <w:t>Identification of the grant program.</w:t>
      </w:r>
    </w:p>
    <w:p w14:paraId="11E720D3" w14:textId="77777777" w:rsidR="00741BF9" w:rsidRPr="00E51F4F" w:rsidRDefault="00741BF9" w:rsidP="009E04DE">
      <w:pPr>
        <w:pStyle w:val="ListParagraph"/>
        <w:numPr>
          <w:ilvl w:val="0"/>
          <w:numId w:val="12"/>
        </w:numPr>
        <w:ind w:left="1440"/>
      </w:pPr>
      <w:r w:rsidRPr="00E51F4F">
        <w:t xml:space="preserve">A statement of reason for the appeal. </w:t>
      </w:r>
    </w:p>
    <w:p w14:paraId="6AE2FF50" w14:textId="77777777" w:rsidR="00741BF9" w:rsidRPr="00E51F4F" w:rsidRDefault="00741BF9" w:rsidP="00741BF9">
      <w:pPr>
        <w:ind w:left="360"/>
      </w:pPr>
    </w:p>
    <w:p w14:paraId="216996E7" w14:textId="77777777" w:rsidR="00741BF9" w:rsidRPr="00E51F4F" w:rsidRDefault="00741BF9" w:rsidP="00741BF9">
      <w:pPr>
        <w:ind w:left="360"/>
      </w:pPr>
      <w:r w:rsidRPr="00E51F4F">
        <w:t>Please send your appeal to:</w:t>
      </w:r>
    </w:p>
    <w:p w14:paraId="6ACED2B0" w14:textId="77777777" w:rsidR="00741BF9" w:rsidRPr="00E51F4F" w:rsidRDefault="00741BF9" w:rsidP="00741BF9">
      <w:pPr>
        <w:ind w:left="360"/>
      </w:pPr>
    </w:p>
    <w:p w14:paraId="1B75A1AD" w14:textId="77777777" w:rsidR="00741BF9" w:rsidRPr="00E51F4F" w:rsidRDefault="00741BF9" w:rsidP="00741BF9">
      <w:pPr>
        <w:ind w:left="360"/>
      </w:pPr>
      <w:r w:rsidRPr="00E51F4F">
        <w:t xml:space="preserve">Appeals Review Officer </w:t>
      </w:r>
    </w:p>
    <w:p w14:paraId="0AC82784" w14:textId="77777777" w:rsidR="00741BF9" w:rsidRPr="00E51F4F" w:rsidRDefault="00741BF9" w:rsidP="00741BF9">
      <w:pPr>
        <w:ind w:left="360"/>
      </w:pPr>
      <w:r w:rsidRPr="00E51F4F">
        <w:t xml:space="preserve">Illinois Criminal Justice Information Authority </w:t>
      </w:r>
    </w:p>
    <w:p w14:paraId="3BA0B93D" w14:textId="77777777" w:rsidR="00741BF9" w:rsidRPr="00E51F4F" w:rsidRDefault="002B470A" w:rsidP="00741BF9">
      <w:pPr>
        <w:ind w:left="360"/>
      </w:pPr>
      <w:hyperlink r:id="rId19" w:history="1">
        <w:r w:rsidR="00741BF9" w:rsidRPr="00E51F4F">
          <w:rPr>
            <w:rStyle w:val="Hyperlink"/>
          </w:rPr>
          <w:t>Cja.aro@Illinois.gov</w:t>
        </w:r>
      </w:hyperlink>
      <w:r w:rsidR="00741BF9" w:rsidRPr="00E51F4F">
        <w:t xml:space="preserve">  </w:t>
      </w:r>
    </w:p>
    <w:p w14:paraId="1FEF1B2D" w14:textId="77777777" w:rsidR="00741BF9" w:rsidRPr="00E51F4F" w:rsidRDefault="00741BF9" w:rsidP="00741BF9">
      <w:pPr>
        <w:ind w:left="360"/>
      </w:pPr>
    </w:p>
    <w:p w14:paraId="32F241CC" w14:textId="77777777" w:rsidR="00741BF9" w:rsidRPr="00E51F4F" w:rsidRDefault="00741BF9" w:rsidP="00741BF9">
      <w:pPr>
        <w:ind w:left="360"/>
      </w:pPr>
      <w:r w:rsidRPr="00E51F4F">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12D30EA5" w14:textId="77777777" w:rsidR="00741BF9" w:rsidRPr="00E51F4F" w:rsidRDefault="00741BF9" w:rsidP="00741BF9">
      <w:pPr>
        <w:ind w:left="360"/>
      </w:pPr>
    </w:p>
    <w:p w14:paraId="45E59A1F" w14:textId="77777777" w:rsidR="00741BF9" w:rsidRPr="00E51F4F" w:rsidRDefault="00741BF9" w:rsidP="00741BF9">
      <w:pPr>
        <w:ind w:left="360"/>
      </w:pPr>
      <w:r w:rsidRPr="00E51F4F">
        <w:t xml:space="preserve">The determination will include: </w:t>
      </w:r>
    </w:p>
    <w:p w14:paraId="14566A5C" w14:textId="77777777" w:rsidR="00741BF9" w:rsidRPr="00E51F4F" w:rsidRDefault="00741BF9" w:rsidP="00741BF9">
      <w:pPr>
        <w:pStyle w:val="ListParagraph"/>
        <w:ind w:left="360"/>
      </w:pPr>
    </w:p>
    <w:p w14:paraId="523B0FC1" w14:textId="77777777" w:rsidR="00741BF9" w:rsidRPr="00E51F4F" w:rsidRDefault="00741BF9" w:rsidP="009E04DE">
      <w:pPr>
        <w:pStyle w:val="ListParagraph"/>
        <w:numPr>
          <w:ilvl w:val="0"/>
          <w:numId w:val="10"/>
        </w:numPr>
        <w:ind w:left="1440"/>
      </w:pPr>
      <w:r w:rsidRPr="00E51F4F">
        <w:t xml:space="preserve">Review of the appeal. </w:t>
      </w:r>
    </w:p>
    <w:p w14:paraId="3ED85221" w14:textId="77777777" w:rsidR="00741BF9" w:rsidRPr="00E51F4F" w:rsidRDefault="00741BF9" w:rsidP="009E04DE">
      <w:pPr>
        <w:pStyle w:val="ListParagraph"/>
        <w:numPr>
          <w:ilvl w:val="0"/>
          <w:numId w:val="10"/>
        </w:numPr>
        <w:ind w:left="1440"/>
      </w:pPr>
      <w:r w:rsidRPr="00E51F4F">
        <w:t xml:space="preserve">Appeal determination. </w:t>
      </w:r>
    </w:p>
    <w:p w14:paraId="0BD38EDD" w14:textId="77777777" w:rsidR="00741BF9" w:rsidRPr="00E51F4F" w:rsidRDefault="00741BF9" w:rsidP="009E04DE">
      <w:pPr>
        <w:pStyle w:val="ListParagraph"/>
        <w:numPr>
          <w:ilvl w:val="0"/>
          <w:numId w:val="10"/>
        </w:numPr>
        <w:ind w:left="1440"/>
      </w:pPr>
      <w:r w:rsidRPr="00E51F4F">
        <w:t>Rationale for the determination.</w:t>
      </w:r>
    </w:p>
    <w:p w14:paraId="4E1C63B7" w14:textId="77777777" w:rsidR="00741BF9" w:rsidRPr="00E51F4F" w:rsidRDefault="00741BF9" w:rsidP="009E04DE">
      <w:pPr>
        <w:pStyle w:val="ListParagraph"/>
        <w:numPr>
          <w:ilvl w:val="0"/>
          <w:numId w:val="10"/>
        </w:numPr>
        <w:ind w:left="1440"/>
      </w:pPr>
      <w:r w:rsidRPr="00E51F4F">
        <w:t>Standard description of the appeal review process and criteria.</w:t>
      </w:r>
    </w:p>
    <w:p w14:paraId="20429F65" w14:textId="1A923A3D" w:rsidR="00E45110" w:rsidRDefault="00E45110" w:rsidP="00741BF9"/>
    <w:p w14:paraId="43285EF5" w14:textId="77777777" w:rsidR="00F93424" w:rsidRDefault="00741BF9" w:rsidP="00741BF9">
      <w:pPr>
        <w:ind w:left="360"/>
      </w:pPr>
      <w:r w:rsidRPr="00741BF9">
        <w:rPr>
          <w:b/>
          <w:i/>
        </w:rPr>
        <w:t>4. Debriefing Process</w:t>
      </w:r>
      <w:r>
        <w:t xml:space="preserve"> </w:t>
      </w:r>
    </w:p>
    <w:p w14:paraId="00645CA1" w14:textId="77777777" w:rsidR="00F93424" w:rsidRDefault="00F93424" w:rsidP="00741BF9">
      <w:pPr>
        <w:ind w:left="360"/>
      </w:pPr>
    </w:p>
    <w:p w14:paraId="13DE0388" w14:textId="7ECFAE73" w:rsidR="00741BF9" w:rsidRPr="00E51F4F" w:rsidRDefault="00741BF9" w:rsidP="00741BF9">
      <w:pPr>
        <w:ind w:left="360"/>
      </w:pPr>
      <w:r w:rsidRPr="00E51F4F">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473A2A62" w14:textId="77777777" w:rsidR="00741BF9" w:rsidRPr="00E51F4F" w:rsidRDefault="00741BF9" w:rsidP="00741BF9">
      <w:pPr>
        <w:pStyle w:val="ListParagraph"/>
        <w:ind w:left="0"/>
      </w:pPr>
    </w:p>
    <w:p w14:paraId="1D78D15D" w14:textId="77777777" w:rsidR="00741BF9" w:rsidRPr="00E51F4F" w:rsidRDefault="00741BF9" w:rsidP="00741BF9">
      <w:pPr>
        <w:pStyle w:val="ListParagraph"/>
        <w:ind w:left="360"/>
      </w:pPr>
      <w:r w:rsidRPr="00E51F4F">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3F049582" w14:textId="77777777" w:rsidR="00741BF9" w:rsidRPr="00E51F4F" w:rsidRDefault="00741BF9" w:rsidP="00741BF9">
      <w:pPr>
        <w:pStyle w:val="ListParagraph"/>
        <w:ind w:left="0"/>
      </w:pPr>
    </w:p>
    <w:p w14:paraId="2DE862F6" w14:textId="2419AD02" w:rsidR="00741BF9" w:rsidRPr="00E51F4F" w:rsidRDefault="00741BF9" w:rsidP="009E04DE">
      <w:pPr>
        <w:pStyle w:val="ListParagraph"/>
        <w:numPr>
          <w:ilvl w:val="0"/>
          <w:numId w:val="13"/>
        </w:numPr>
      </w:pPr>
      <w:r w:rsidRPr="00E51F4F">
        <w:t>The name and address of the requesting party</w:t>
      </w:r>
    </w:p>
    <w:p w14:paraId="47293CD3" w14:textId="080EDAEE" w:rsidR="00741BF9" w:rsidRPr="00E51F4F" w:rsidRDefault="00741BF9" w:rsidP="009E04DE">
      <w:pPr>
        <w:pStyle w:val="ListParagraph"/>
        <w:numPr>
          <w:ilvl w:val="0"/>
          <w:numId w:val="13"/>
        </w:numPr>
      </w:pPr>
      <w:r w:rsidRPr="00E51F4F">
        <w:t>Identification of grant program</w:t>
      </w:r>
    </w:p>
    <w:p w14:paraId="140F531B" w14:textId="3CF18E97" w:rsidR="00741BF9" w:rsidRPr="00E51F4F" w:rsidRDefault="00741BF9" w:rsidP="009E04DE">
      <w:pPr>
        <w:pStyle w:val="ListParagraph"/>
        <w:numPr>
          <w:ilvl w:val="0"/>
          <w:numId w:val="13"/>
        </w:numPr>
      </w:pPr>
      <w:r w:rsidRPr="00E51F4F">
        <w:t>Reasons for the debrief request</w:t>
      </w:r>
    </w:p>
    <w:p w14:paraId="2AF3EE3A" w14:textId="77777777" w:rsidR="00741BF9" w:rsidRPr="00E51F4F" w:rsidRDefault="00741BF9" w:rsidP="00741BF9">
      <w:pPr>
        <w:pStyle w:val="ListParagraph"/>
        <w:ind w:left="0"/>
      </w:pPr>
    </w:p>
    <w:p w14:paraId="6B07027B" w14:textId="77777777" w:rsidR="00741BF9" w:rsidRPr="00E51F4F" w:rsidRDefault="00741BF9" w:rsidP="00741BF9">
      <w:pPr>
        <w:pStyle w:val="ListParagraph"/>
        <w:ind w:left="360"/>
      </w:pPr>
      <w:r w:rsidRPr="00E51F4F">
        <w:t>Please send requests to:</w:t>
      </w:r>
    </w:p>
    <w:p w14:paraId="22D003A2" w14:textId="27F5161F" w:rsidR="00E45110" w:rsidRPr="00F31004" w:rsidRDefault="00E45110" w:rsidP="00741BF9">
      <w:pPr>
        <w:ind w:left="0"/>
      </w:pPr>
    </w:p>
    <w:p w14:paraId="6737FBD6" w14:textId="77777777" w:rsidR="00DC4F73" w:rsidRPr="005C53E5" w:rsidRDefault="00DC4F73" w:rsidP="00DC4F73">
      <w:r w:rsidRPr="005C53E5">
        <w:t>Shai Hoffman, Program Administrator</w:t>
      </w:r>
    </w:p>
    <w:p w14:paraId="69C521FF" w14:textId="77777777" w:rsidR="00DC4F73" w:rsidRPr="005C53E5" w:rsidRDefault="00DC4F73" w:rsidP="00DC4F73">
      <w:pPr>
        <w:pStyle w:val="ListParagraph"/>
      </w:pPr>
      <w:r w:rsidRPr="005C53E5">
        <w:t>Illinois Criminal Justice Information Authority</w:t>
      </w:r>
    </w:p>
    <w:p w14:paraId="4AB62AFF" w14:textId="77777777" w:rsidR="00DC4F73" w:rsidRPr="005C53E5" w:rsidRDefault="00DC4F73" w:rsidP="00DC4F73">
      <w:pPr>
        <w:pStyle w:val="ListParagraph"/>
      </w:pPr>
      <w:r w:rsidRPr="005C53E5">
        <w:t>300 W. Adams Street, Suite 200</w:t>
      </w:r>
    </w:p>
    <w:p w14:paraId="499C600A" w14:textId="77777777" w:rsidR="00DC4F73" w:rsidRPr="005C53E5" w:rsidRDefault="00DC4F73" w:rsidP="00DC4F73">
      <w:pPr>
        <w:pStyle w:val="ListParagraph"/>
      </w:pPr>
      <w:r w:rsidRPr="005C53E5">
        <w:t>Chicago, Illinois 60606</w:t>
      </w:r>
    </w:p>
    <w:p w14:paraId="0BE9E96F" w14:textId="77777777" w:rsidR="00E45110" w:rsidRPr="00F31004" w:rsidRDefault="00E45110" w:rsidP="00D27608"/>
    <w:p w14:paraId="3CABC64D" w14:textId="77777777" w:rsidR="00F93424" w:rsidRDefault="00E45110" w:rsidP="002118AF">
      <w:pPr>
        <w:ind w:left="360"/>
        <w:rPr>
          <w:b/>
        </w:rPr>
      </w:pPr>
      <w:r w:rsidRPr="002118AF">
        <w:rPr>
          <w:b/>
          <w:i/>
        </w:rPr>
        <w:t>5. Programmatic Risk Assessment</w:t>
      </w:r>
      <w:r w:rsidRPr="00E45110">
        <w:rPr>
          <w:b/>
        </w:rPr>
        <w:t xml:space="preserve"> </w:t>
      </w:r>
    </w:p>
    <w:p w14:paraId="3F02F307" w14:textId="77777777" w:rsidR="00F93424" w:rsidRDefault="00F93424" w:rsidP="002118AF">
      <w:pPr>
        <w:ind w:left="360"/>
        <w:rPr>
          <w:b/>
        </w:rPr>
      </w:pPr>
    </w:p>
    <w:p w14:paraId="41719FDC" w14:textId="24E34CB8" w:rsidR="00E45110" w:rsidRPr="00F31004" w:rsidRDefault="00E45110" w:rsidP="002118AF">
      <w:pPr>
        <w:ind w:left="360"/>
      </w:pPr>
      <w:r w:rsidRPr="00F31004">
        <w:t xml:space="preserve">All applicant agencies recommended for funding will be required to submit a completed ICJIA Programmatic Risk Assessment (PRA). This assessment will identify elements of </w:t>
      </w:r>
      <w:r w:rsidRPr="00F31004">
        <w:lastRenderedPageBreak/>
        <w:t xml:space="preserve">fiscal and administrative risk at the program level and will be used to determine required specific conditions to the interagency agreement. The PRA must be completed for the program agency. </w:t>
      </w:r>
    </w:p>
    <w:p w14:paraId="4E3FA8CF" w14:textId="77777777" w:rsidR="00E45110" w:rsidRPr="00F31004" w:rsidRDefault="00E45110" w:rsidP="002118AF">
      <w:pPr>
        <w:ind w:left="360"/>
      </w:pPr>
    </w:p>
    <w:p w14:paraId="2FAF88C4" w14:textId="77777777" w:rsidR="00E45110" w:rsidRPr="00613860" w:rsidRDefault="00E45110" w:rsidP="002118AF">
      <w:pPr>
        <w:ind w:left="360"/>
        <w:rPr>
          <w:u w:val="single"/>
        </w:rPr>
      </w:pPr>
      <w:r w:rsidRPr="00613860">
        <w:rPr>
          <w:u w:val="single"/>
        </w:rPr>
        <w:t xml:space="preserve">Implementing Agency </w:t>
      </w:r>
      <w:r>
        <w:rPr>
          <w:u w:val="single"/>
        </w:rPr>
        <w:t>v</w:t>
      </w:r>
      <w:r w:rsidRPr="00613860">
        <w:rPr>
          <w:u w:val="single"/>
        </w:rPr>
        <w:t>s. Program Agency</w:t>
      </w:r>
    </w:p>
    <w:p w14:paraId="3BDBCE46" w14:textId="266E94A3" w:rsidR="00E45110" w:rsidRDefault="00E45110" w:rsidP="002118AF">
      <w:pPr>
        <w:ind w:left="360"/>
      </w:pPr>
      <w:r w:rsidRPr="00F31004">
        <w:t>•</w:t>
      </w:r>
      <w:r>
        <w:t xml:space="preserve"> </w:t>
      </w:r>
      <w:r w:rsidRPr="00F31004">
        <w:t>An implementing agency is the legal entity that receives state funds, such as a county.</w:t>
      </w:r>
    </w:p>
    <w:p w14:paraId="63A1F0AA" w14:textId="7154BA76" w:rsidR="00E45110" w:rsidRDefault="00E45110" w:rsidP="002118AF">
      <w:pPr>
        <w:ind w:left="360"/>
      </w:pPr>
      <w:r w:rsidRPr="00F31004">
        <w:t>•</w:t>
      </w:r>
      <w:r>
        <w:t xml:space="preserve"> </w:t>
      </w:r>
      <w:r w:rsidRPr="00F31004">
        <w:t>A program agency:</w:t>
      </w:r>
    </w:p>
    <w:p w14:paraId="05632075" w14:textId="46301056" w:rsidR="00E45110" w:rsidRPr="00613860" w:rsidRDefault="00E45110" w:rsidP="009E04DE">
      <w:pPr>
        <w:pStyle w:val="ListParagraph"/>
        <w:numPr>
          <w:ilvl w:val="2"/>
          <w:numId w:val="7"/>
        </w:numPr>
        <w:ind w:left="1440"/>
      </w:pPr>
      <w:r w:rsidRPr="00613860">
        <w:t>Is a subdivision of the implementing agency, such as a county probation department</w:t>
      </w:r>
      <w:r w:rsidR="001F285E">
        <w:t>.</w:t>
      </w:r>
    </w:p>
    <w:p w14:paraId="46E0E785" w14:textId="2C91595C" w:rsidR="00E45110" w:rsidRPr="00613860" w:rsidRDefault="00E45110" w:rsidP="009E04DE">
      <w:pPr>
        <w:pStyle w:val="ListParagraph"/>
        <w:numPr>
          <w:ilvl w:val="2"/>
          <w:numId w:val="7"/>
        </w:numPr>
        <w:ind w:left="1440"/>
      </w:pPr>
      <w:r w:rsidRPr="00613860">
        <w:t>Carries out program operations</w:t>
      </w:r>
      <w:r w:rsidR="001F285E">
        <w:t>.</w:t>
      </w:r>
    </w:p>
    <w:p w14:paraId="3D1EA9F1" w14:textId="04CFB99D" w:rsidR="00E45110" w:rsidRPr="00613860" w:rsidRDefault="00E45110" w:rsidP="009E04DE">
      <w:pPr>
        <w:pStyle w:val="ListParagraph"/>
        <w:numPr>
          <w:ilvl w:val="2"/>
          <w:numId w:val="7"/>
        </w:numPr>
        <w:ind w:left="1440"/>
      </w:pPr>
      <w:r w:rsidRPr="00613860">
        <w:t>Is responsible for data and fiscal reporting</w:t>
      </w:r>
      <w:r w:rsidR="001F285E">
        <w:t>.</w:t>
      </w:r>
    </w:p>
    <w:p w14:paraId="5C6A471C" w14:textId="77777777" w:rsidR="00E45110" w:rsidRPr="00F31004" w:rsidRDefault="00E45110" w:rsidP="002118AF">
      <w:pPr>
        <w:ind w:left="360"/>
      </w:pPr>
    </w:p>
    <w:p w14:paraId="7436DEBA" w14:textId="77777777" w:rsidR="00E45110" w:rsidRPr="00F31004" w:rsidRDefault="00E45110" w:rsidP="002118AF">
      <w:pPr>
        <w:ind w:left="360"/>
      </w:pPr>
      <w:r w:rsidRPr="00F31004">
        <w:t>PRAs completed for other state agencies will not be accepted by ICJIA.</w:t>
      </w:r>
    </w:p>
    <w:p w14:paraId="6271A809" w14:textId="5D4F4C72" w:rsidR="00E45110" w:rsidRPr="00E45110" w:rsidRDefault="00E45110" w:rsidP="00D27608">
      <w:pPr>
        <w:rPr>
          <w:b/>
        </w:rPr>
      </w:pPr>
    </w:p>
    <w:p w14:paraId="0970E169" w14:textId="0ED5611C" w:rsidR="005F1CC5" w:rsidRDefault="00E45110" w:rsidP="00D27608">
      <w:pPr>
        <w:autoSpaceDE w:val="0"/>
        <w:autoSpaceDN w:val="0"/>
        <w:adjustRightInd w:val="0"/>
        <w:ind w:left="360"/>
      </w:pPr>
      <w:r w:rsidRPr="002118AF">
        <w:rPr>
          <w:b/>
          <w:i/>
        </w:rPr>
        <w:t>6</w:t>
      </w:r>
      <w:r w:rsidR="009A0703" w:rsidRPr="002118AF">
        <w:rPr>
          <w:b/>
          <w:i/>
        </w:rPr>
        <w:t>.</w:t>
      </w:r>
      <w:r w:rsidR="005F1CC5" w:rsidRPr="002118AF">
        <w:rPr>
          <w:b/>
          <w:i/>
        </w:rPr>
        <w:t xml:space="preserve"> Anticipated Announcement and State Award Dates</w:t>
      </w:r>
      <w:r w:rsidR="005F1CC5" w:rsidRPr="005F1CC5">
        <w:t xml:space="preserve"> </w:t>
      </w:r>
    </w:p>
    <w:p w14:paraId="0354C231" w14:textId="487A0048" w:rsidR="00E45110" w:rsidRDefault="00E45110" w:rsidP="005F1CC5">
      <w:pPr>
        <w:autoSpaceDE w:val="0"/>
        <w:autoSpaceDN w:val="0"/>
        <w:adjustRightInd w:val="0"/>
        <w:ind w:left="360"/>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4410"/>
      </w:tblGrid>
      <w:tr w:rsidR="00E45110" w:rsidRPr="004E4384" w14:paraId="5AD965DA" w14:textId="77777777" w:rsidTr="008A3DF3">
        <w:tc>
          <w:tcPr>
            <w:tcW w:w="4950" w:type="dxa"/>
            <w:shd w:val="clear" w:color="auto" w:fill="D9D9D9"/>
          </w:tcPr>
          <w:p w14:paraId="3FC020EA" w14:textId="77777777" w:rsidR="00E45110" w:rsidRPr="004E4384" w:rsidRDefault="00E45110" w:rsidP="004C2782">
            <w:pPr>
              <w:spacing w:before="120" w:after="120"/>
              <w:jc w:val="center"/>
              <w:rPr>
                <w:rFonts w:eastAsia="Calibri"/>
                <w:b/>
              </w:rPr>
            </w:pPr>
            <w:r w:rsidRPr="004E4384">
              <w:rPr>
                <w:rFonts w:eastAsia="Calibri"/>
                <w:b/>
              </w:rPr>
              <w:t>Task</w:t>
            </w:r>
          </w:p>
        </w:tc>
        <w:tc>
          <w:tcPr>
            <w:tcW w:w="4410" w:type="dxa"/>
            <w:shd w:val="clear" w:color="auto" w:fill="D9D9D9"/>
          </w:tcPr>
          <w:p w14:paraId="48BB7737" w14:textId="77777777" w:rsidR="00E45110" w:rsidRPr="004E4384" w:rsidRDefault="00E45110" w:rsidP="004C2782">
            <w:pPr>
              <w:spacing w:before="120" w:after="120"/>
              <w:jc w:val="center"/>
              <w:rPr>
                <w:rFonts w:eastAsia="Calibri"/>
                <w:b/>
              </w:rPr>
            </w:pPr>
            <w:r w:rsidRPr="004E4384">
              <w:rPr>
                <w:rFonts w:eastAsia="Calibri"/>
                <w:b/>
              </w:rPr>
              <w:t>Date</w:t>
            </w:r>
          </w:p>
        </w:tc>
      </w:tr>
      <w:tr w:rsidR="00E45110" w:rsidRPr="004E4384" w14:paraId="45ED7D34" w14:textId="77777777" w:rsidTr="008A3DF3">
        <w:tc>
          <w:tcPr>
            <w:tcW w:w="4950" w:type="dxa"/>
            <w:shd w:val="clear" w:color="auto" w:fill="auto"/>
          </w:tcPr>
          <w:p w14:paraId="6125331C" w14:textId="77777777" w:rsidR="00E45110" w:rsidRPr="000A4E0F" w:rsidRDefault="00E45110" w:rsidP="000A4E0F">
            <w:pPr>
              <w:spacing w:before="120" w:after="120"/>
              <w:rPr>
                <w:rFonts w:eastAsia="Calibri"/>
                <w:color w:val="auto"/>
              </w:rPr>
            </w:pPr>
            <w:r w:rsidRPr="000A4E0F">
              <w:rPr>
                <w:rFonts w:eastAsia="Calibri"/>
                <w:color w:val="auto"/>
              </w:rPr>
              <w:t>NOFO posted</w:t>
            </w:r>
          </w:p>
        </w:tc>
        <w:tc>
          <w:tcPr>
            <w:tcW w:w="4410" w:type="dxa"/>
            <w:shd w:val="clear" w:color="auto" w:fill="auto"/>
          </w:tcPr>
          <w:p w14:paraId="6B26ADFC" w14:textId="3E8898B4" w:rsidR="00E45110" w:rsidRPr="004E4384" w:rsidRDefault="006A4E18" w:rsidP="000A4E0F">
            <w:pPr>
              <w:spacing w:before="120" w:after="120"/>
              <w:ind w:left="0"/>
            </w:pPr>
            <w:r w:rsidRPr="006A4E18">
              <w:rPr>
                <w:color w:val="auto"/>
              </w:rPr>
              <w:t>July 8, 2019</w:t>
            </w:r>
          </w:p>
        </w:tc>
      </w:tr>
      <w:tr w:rsidR="00794ADC" w:rsidRPr="004E4384" w14:paraId="6084EF91" w14:textId="77777777" w:rsidTr="008A3DF3">
        <w:tc>
          <w:tcPr>
            <w:tcW w:w="4950" w:type="dxa"/>
            <w:shd w:val="clear" w:color="auto" w:fill="auto"/>
          </w:tcPr>
          <w:p w14:paraId="35D2C6C6" w14:textId="070CA547" w:rsidR="00794ADC" w:rsidRPr="000A4E0F" w:rsidRDefault="00794ADC" w:rsidP="000A4E0F">
            <w:pPr>
              <w:spacing w:before="120" w:after="120"/>
              <w:rPr>
                <w:rFonts w:eastAsia="Calibri"/>
                <w:b/>
                <w:color w:val="auto"/>
              </w:rPr>
            </w:pPr>
            <w:r w:rsidRPr="00257AF8">
              <w:rPr>
                <w:rFonts w:eastAsia="Calibri"/>
              </w:rPr>
              <w:t>NOFO question submission deadline</w:t>
            </w:r>
          </w:p>
        </w:tc>
        <w:tc>
          <w:tcPr>
            <w:tcW w:w="4410" w:type="dxa"/>
            <w:shd w:val="clear" w:color="auto" w:fill="auto"/>
          </w:tcPr>
          <w:p w14:paraId="722069BA" w14:textId="0A616545" w:rsidR="00794ADC" w:rsidRPr="006A4E18" w:rsidRDefault="00794ADC" w:rsidP="000A4E0F">
            <w:pPr>
              <w:widowControl w:val="0"/>
              <w:ind w:left="0" w:right="144"/>
              <w:rPr>
                <w:b/>
              </w:rPr>
            </w:pPr>
            <w:r w:rsidRPr="006A4E18">
              <w:t>July 31, 2019</w:t>
            </w:r>
          </w:p>
        </w:tc>
      </w:tr>
      <w:tr w:rsidR="00E45110" w:rsidRPr="004E4384" w14:paraId="0ED4155B" w14:textId="77777777" w:rsidTr="008A3DF3">
        <w:tc>
          <w:tcPr>
            <w:tcW w:w="4950" w:type="dxa"/>
            <w:shd w:val="clear" w:color="auto" w:fill="auto"/>
          </w:tcPr>
          <w:p w14:paraId="1F974CC9" w14:textId="77777777" w:rsidR="00E45110" w:rsidRPr="000A4E0F" w:rsidRDefault="00E45110" w:rsidP="000A4E0F">
            <w:pPr>
              <w:spacing w:before="120" w:after="120"/>
              <w:rPr>
                <w:rFonts w:eastAsia="Calibri"/>
                <w:b/>
                <w:color w:val="auto"/>
              </w:rPr>
            </w:pPr>
            <w:r w:rsidRPr="000A4E0F">
              <w:rPr>
                <w:rFonts w:eastAsia="Calibri"/>
                <w:b/>
                <w:color w:val="auto"/>
              </w:rPr>
              <w:t>Applications due</w:t>
            </w:r>
          </w:p>
        </w:tc>
        <w:tc>
          <w:tcPr>
            <w:tcW w:w="4410" w:type="dxa"/>
            <w:shd w:val="clear" w:color="auto" w:fill="auto"/>
          </w:tcPr>
          <w:p w14:paraId="0A69905E" w14:textId="63F8D831" w:rsidR="00E45110" w:rsidRPr="006A4E18" w:rsidRDefault="00E45110" w:rsidP="000A4E0F">
            <w:pPr>
              <w:widowControl w:val="0"/>
              <w:ind w:left="0" w:right="144"/>
              <w:rPr>
                <w:b/>
              </w:rPr>
            </w:pPr>
            <w:r w:rsidRPr="006A4E18">
              <w:rPr>
                <w:b/>
              </w:rPr>
              <w:t xml:space="preserve">11:59 p.m., </w:t>
            </w:r>
            <w:r w:rsidR="006A4E18" w:rsidRPr="006A4E18">
              <w:rPr>
                <w:b/>
                <w:color w:val="auto"/>
              </w:rPr>
              <w:t>Tuesday, August 6, 2019</w:t>
            </w:r>
          </w:p>
        </w:tc>
      </w:tr>
      <w:tr w:rsidR="00E45110" w:rsidRPr="004E4384" w14:paraId="3738E02B" w14:textId="77777777" w:rsidTr="008A3DF3">
        <w:tc>
          <w:tcPr>
            <w:tcW w:w="4950" w:type="dxa"/>
            <w:shd w:val="clear" w:color="auto" w:fill="auto"/>
          </w:tcPr>
          <w:p w14:paraId="7944082A" w14:textId="3D543BE5" w:rsidR="00E45110" w:rsidRPr="000A4E0F" w:rsidRDefault="000A4E0F" w:rsidP="000A4E0F">
            <w:pPr>
              <w:tabs>
                <w:tab w:val="left" w:pos="1392"/>
                <w:tab w:val="center" w:pos="2286"/>
              </w:tabs>
              <w:spacing w:before="120" w:after="120"/>
              <w:rPr>
                <w:rFonts w:eastAsia="Calibri"/>
                <w:color w:val="auto"/>
              </w:rPr>
            </w:pPr>
            <w:r>
              <w:rPr>
                <w:rFonts w:eastAsia="Calibri"/>
                <w:color w:val="auto"/>
              </w:rPr>
              <w:t xml:space="preserve">Anticipated </w:t>
            </w:r>
            <w:r w:rsidR="00E45110" w:rsidRPr="000A4E0F">
              <w:rPr>
                <w:rFonts w:eastAsia="Calibri"/>
                <w:color w:val="auto"/>
              </w:rPr>
              <w:t>Budget Committee review/approval of recommended designations</w:t>
            </w:r>
          </w:p>
        </w:tc>
        <w:tc>
          <w:tcPr>
            <w:tcW w:w="4410" w:type="dxa"/>
            <w:shd w:val="clear" w:color="auto" w:fill="auto"/>
          </w:tcPr>
          <w:p w14:paraId="41FA37BB" w14:textId="3501AC18" w:rsidR="00E45110" w:rsidRPr="004E4384" w:rsidRDefault="00BF03BC" w:rsidP="000A4E0F">
            <w:pPr>
              <w:spacing w:before="120" w:after="120"/>
              <w:ind w:left="0"/>
              <w:rPr>
                <w:rFonts w:eastAsia="Calibri"/>
              </w:rPr>
            </w:pPr>
            <w:r>
              <w:rPr>
                <w:rFonts w:eastAsia="Calibri"/>
              </w:rPr>
              <w:t xml:space="preserve">August </w:t>
            </w:r>
            <w:r w:rsidR="000A4E0F">
              <w:rPr>
                <w:rFonts w:eastAsia="Calibri"/>
              </w:rPr>
              <w:t xml:space="preserve">15, </w:t>
            </w:r>
            <w:r>
              <w:rPr>
                <w:rFonts w:eastAsia="Calibri"/>
              </w:rPr>
              <w:t>2019</w:t>
            </w:r>
          </w:p>
        </w:tc>
      </w:tr>
      <w:tr w:rsidR="00E45110" w:rsidRPr="004E4384" w14:paraId="5BDCC011" w14:textId="77777777" w:rsidTr="008A3DF3">
        <w:tc>
          <w:tcPr>
            <w:tcW w:w="4950" w:type="dxa"/>
            <w:shd w:val="clear" w:color="auto" w:fill="auto"/>
          </w:tcPr>
          <w:p w14:paraId="1BFCA64B" w14:textId="2F015A39" w:rsidR="00E45110" w:rsidRPr="000A4E0F" w:rsidRDefault="000A4E0F" w:rsidP="000A4E0F">
            <w:pPr>
              <w:tabs>
                <w:tab w:val="left" w:pos="1392"/>
                <w:tab w:val="center" w:pos="2286"/>
              </w:tabs>
              <w:spacing w:before="120" w:after="120"/>
              <w:rPr>
                <w:rFonts w:eastAsia="Calibri"/>
                <w:color w:val="auto"/>
              </w:rPr>
            </w:pPr>
            <w:r>
              <w:rPr>
                <w:rFonts w:eastAsia="Calibri"/>
                <w:color w:val="auto"/>
              </w:rPr>
              <w:t xml:space="preserve">Anticipated </w:t>
            </w:r>
            <w:r w:rsidR="00E45110" w:rsidRPr="000A4E0F">
              <w:rPr>
                <w:rFonts w:eastAsia="Calibri"/>
                <w:color w:val="auto"/>
              </w:rPr>
              <w:t>Program start date</w:t>
            </w:r>
          </w:p>
        </w:tc>
        <w:tc>
          <w:tcPr>
            <w:tcW w:w="4410" w:type="dxa"/>
            <w:shd w:val="clear" w:color="auto" w:fill="auto"/>
          </w:tcPr>
          <w:p w14:paraId="46844876" w14:textId="0A7CFEB1" w:rsidR="00E45110" w:rsidRPr="004E4384" w:rsidRDefault="00DC4F73" w:rsidP="000A4E0F">
            <w:pPr>
              <w:spacing w:before="120" w:after="120"/>
              <w:ind w:left="0"/>
              <w:rPr>
                <w:rFonts w:eastAsia="Calibri"/>
              </w:rPr>
            </w:pPr>
            <w:r>
              <w:rPr>
                <w:rFonts w:eastAsia="Calibri"/>
              </w:rPr>
              <w:t>September 1, 2019</w:t>
            </w:r>
          </w:p>
        </w:tc>
      </w:tr>
    </w:tbl>
    <w:p w14:paraId="0B69A619" w14:textId="77777777" w:rsidR="00E45110" w:rsidRDefault="00E45110" w:rsidP="000A4E0F">
      <w:pPr>
        <w:autoSpaceDE w:val="0"/>
        <w:autoSpaceDN w:val="0"/>
        <w:adjustRightInd w:val="0"/>
        <w:ind w:left="360"/>
      </w:pPr>
    </w:p>
    <w:p w14:paraId="3A655610" w14:textId="4EF5B97A" w:rsidR="005F1CC5" w:rsidRPr="00BC61BD" w:rsidRDefault="005F1CC5" w:rsidP="00D27608">
      <w:pPr>
        <w:autoSpaceDE w:val="0"/>
        <w:autoSpaceDN w:val="0"/>
        <w:adjustRightInd w:val="0"/>
        <w:ind w:left="0"/>
        <w:rPr>
          <w:b/>
          <w:sz w:val="28"/>
          <w:szCs w:val="28"/>
        </w:rPr>
      </w:pPr>
      <w:r w:rsidRPr="00BC61BD">
        <w:rPr>
          <w:b/>
          <w:sz w:val="28"/>
          <w:szCs w:val="28"/>
        </w:rPr>
        <w:t>F. Award Administration Information</w:t>
      </w:r>
    </w:p>
    <w:p w14:paraId="43D95B48" w14:textId="5DD6A103" w:rsidR="005F1CC5" w:rsidRDefault="005F1CC5" w:rsidP="00D27608">
      <w:pPr>
        <w:autoSpaceDE w:val="0"/>
        <w:autoSpaceDN w:val="0"/>
        <w:adjustRightInd w:val="0"/>
        <w:ind w:left="0"/>
      </w:pPr>
    </w:p>
    <w:p w14:paraId="0DEBD938" w14:textId="5D86F7E4" w:rsidR="005F1CC5" w:rsidRPr="00C9530D" w:rsidRDefault="005F1CC5" w:rsidP="00D27608">
      <w:pPr>
        <w:autoSpaceDE w:val="0"/>
        <w:autoSpaceDN w:val="0"/>
        <w:adjustRightInd w:val="0"/>
        <w:ind w:left="360"/>
        <w:rPr>
          <w:color w:val="2F5496" w:themeColor="accent5" w:themeShade="BF"/>
        </w:rPr>
      </w:pPr>
      <w:bookmarkStart w:id="13" w:name="_Hlk534486345"/>
      <w:r w:rsidRPr="00C9530D">
        <w:rPr>
          <w:b/>
          <w:i/>
        </w:rPr>
        <w:t>1. State Award Notices</w:t>
      </w:r>
      <w:bookmarkEnd w:id="13"/>
      <w:r w:rsidRPr="005F1CC5">
        <w:t xml:space="preserve"> </w:t>
      </w:r>
    </w:p>
    <w:p w14:paraId="03453308" w14:textId="15DF703A" w:rsidR="000B238F" w:rsidRDefault="000B238F" w:rsidP="00D27608">
      <w:pPr>
        <w:autoSpaceDE w:val="0"/>
        <w:autoSpaceDN w:val="0"/>
        <w:adjustRightInd w:val="0"/>
        <w:ind w:left="360"/>
      </w:pPr>
    </w:p>
    <w:p w14:paraId="37E125C8" w14:textId="23F463C0" w:rsidR="000B238F" w:rsidRPr="00B50261" w:rsidRDefault="000B238F" w:rsidP="00D27608">
      <w:pPr>
        <w:ind w:left="360"/>
        <w:rPr>
          <w:color w:val="auto"/>
        </w:rPr>
      </w:pPr>
      <w:r w:rsidRPr="00055B6E">
        <w:t>The</w:t>
      </w:r>
      <w:r w:rsidR="001F285E">
        <w:t xml:space="preserve"> ICJIA</w:t>
      </w:r>
      <w:r w:rsidRPr="00055B6E">
        <w:t xml:space="preserve"> </w:t>
      </w:r>
      <w:r w:rsidR="00BF03BC" w:rsidRPr="00B50261">
        <w:rPr>
          <w:color w:val="auto"/>
        </w:rPr>
        <w:t>Budget</w:t>
      </w:r>
      <w:r w:rsidRPr="00B50261">
        <w:rPr>
          <w:color w:val="auto"/>
        </w:rPr>
        <w:t xml:space="preserve"> Committee is scheduled to review and approve designations in </w:t>
      </w:r>
      <w:r w:rsidR="00BF03BC" w:rsidRPr="00B50261">
        <w:rPr>
          <w:color w:val="auto"/>
        </w:rPr>
        <w:t xml:space="preserve">August </w:t>
      </w:r>
      <w:r w:rsidR="00267841">
        <w:rPr>
          <w:color w:val="auto"/>
        </w:rPr>
        <w:t xml:space="preserve">15, </w:t>
      </w:r>
      <w:r w:rsidR="00BF03BC" w:rsidRPr="00B50261">
        <w:rPr>
          <w:color w:val="auto"/>
        </w:rPr>
        <w:t>2019</w:t>
      </w:r>
      <w:r w:rsidRPr="00B50261">
        <w:rPr>
          <w:color w:val="auto"/>
        </w:rPr>
        <w:t>.</w:t>
      </w:r>
    </w:p>
    <w:p w14:paraId="16A42BA7" w14:textId="77777777" w:rsidR="000B238F" w:rsidRDefault="000B238F" w:rsidP="00D27608">
      <w:pPr>
        <w:ind w:left="360"/>
      </w:pPr>
    </w:p>
    <w:p w14:paraId="075098E4" w14:textId="0A82CF37" w:rsidR="000B238F" w:rsidRDefault="000B238F" w:rsidP="00D27608">
      <w:pPr>
        <w:ind w:left="360"/>
      </w:pPr>
      <w:r w:rsidRPr="00585A98">
        <w:t>ICJIA will transmit a Notice of State Award (NOSA)</w:t>
      </w:r>
      <w:r>
        <w:t>,</w:t>
      </w:r>
      <w:r w:rsidRPr="00585A98">
        <w:t xml:space="preserve"> and the grant agreement to successful applicants after the </w:t>
      </w:r>
      <w:r w:rsidR="00BF03BC" w:rsidRPr="00B50261">
        <w:rPr>
          <w:color w:val="auto"/>
        </w:rPr>
        <w:t>Budget</w:t>
      </w:r>
      <w:r w:rsidRPr="00B50261">
        <w:rPr>
          <w:color w:val="auto"/>
        </w:rPr>
        <w:t xml:space="preserve"> C</w:t>
      </w:r>
      <w:r>
        <w:t xml:space="preserve">ommittee </w:t>
      </w:r>
      <w:r w:rsidRPr="00585A98">
        <w:t>revi</w:t>
      </w:r>
      <w:r>
        <w:t>ews and approves designations</w:t>
      </w:r>
      <w:r w:rsidRPr="00585A98">
        <w:t xml:space="preserve">. The NOSA will detail specific conditions </w:t>
      </w:r>
      <w:r>
        <w:t xml:space="preserve">resulting from pre-award risk assessments </w:t>
      </w:r>
      <w:r w:rsidRPr="00585A98">
        <w:t xml:space="preserve">that will be included in the grant agreement. </w:t>
      </w:r>
      <w:r w:rsidRPr="005F1CC5">
        <w:t xml:space="preserve">The NOSA will be provided </w:t>
      </w:r>
      <w:r>
        <w:t xml:space="preserve">and be </w:t>
      </w:r>
      <w:r w:rsidRPr="005F1CC5">
        <w:t>must be accepted through the Grantee Portal</w:t>
      </w:r>
      <w:r w:rsidRPr="000B238F">
        <w:t xml:space="preserve"> </w:t>
      </w:r>
      <w:r w:rsidRPr="005F1CC5">
        <w:t xml:space="preserve">unless an alternative distribution has been established </w:t>
      </w:r>
      <w:r>
        <w:t>by ICJIA</w:t>
      </w:r>
      <w:r w:rsidRPr="005F1CC5">
        <w:t xml:space="preserve">. </w:t>
      </w:r>
      <w:r>
        <w:t>The</w:t>
      </w:r>
      <w:r w:rsidRPr="005F1CC5">
        <w:t xml:space="preserve"> NOSA is not an authorization to begin performance or incur costs.</w:t>
      </w:r>
    </w:p>
    <w:p w14:paraId="2E2B3141" w14:textId="77777777" w:rsidR="000B238F" w:rsidRDefault="000B238F" w:rsidP="00D27608">
      <w:pPr>
        <w:ind w:left="360"/>
      </w:pPr>
    </w:p>
    <w:p w14:paraId="50D9FC1B" w14:textId="20BC860A" w:rsidR="000B238F" w:rsidRPr="00585A98" w:rsidRDefault="000B238F" w:rsidP="00D27608">
      <w:pPr>
        <w:ind w:left="360"/>
      </w:pPr>
      <w:r w:rsidRPr="00585A98">
        <w:lastRenderedPageBreak/>
        <w:t>ICJIA also requires additional documents to be submitted prior to the execution of an agreement</w:t>
      </w:r>
      <w:r w:rsidR="001F285E">
        <w:t>, including</w:t>
      </w:r>
      <w:r w:rsidRPr="00585A98">
        <w:t xml:space="preserve">: </w:t>
      </w:r>
    </w:p>
    <w:p w14:paraId="55A9886D" w14:textId="77777777" w:rsidR="000B238F" w:rsidRPr="00585A98" w:rsidRDefault="000B238F" w:rsidP="00D27608"/>
    <w:p w14:paraId="63E397A9" w14:textId="77777777" w:rsidR="000B238F" w:rsidRPr="00585A98" w:rsidRDefault="000B238F" w:rsidP="00D27608">
      <w:pPr>
        <w:tabs>
          <w:tab w:val="left" w:pos="1080"/>
        </w:tabs>
      </w:pPr>
      <w:r w:rsidRPr="00585A98">
        <w:t>o</w:t>
      </w:r>
      <w:r w:rsidRPr="00585A98">
        <w:tab/>
        <w:t>Fiscal Information Sheet</w:t>
      </w:r>
    </w:p>
    <w:p w14:paraId="2D3E14F9" w14:textId="77777777" w:rsidR="000B238F" w:rsidRPr="00585A98" w:rsidRDefault="000B238F" w:rsidP="00D27608">
      <w:pPr>
        <w:tabs>
          <w:tab w:val="left" w:pos="1080"/>
        </w:tabs>
      </w:pPr>
      <w:r w:rsidRPr="00585A98">
        <w:t>o</w:t>
      </w:r>
      <w:r w:rsidRPr="00585A98">
        <w:tab/>
        <w:t xml:space="preserve">Audit Information Sheet </w:t>
      </w:r>
    </w:p>
    <w:p w14:paraId="41B7617C" w14:textId="77777777" w:rsidR="000B238F" w:rsidRPr="00585A98" w:rsidRDefault="000B238F" w:rsidP="00D27608">
      <w:pPr>
        <w:tabs>
          <w:tab w:val="left" w:pos="1080"/>
        </w:tabs>
      </w:pPr>
      <w:r w:rsidRPr="00585A98">
        <w:t>o</w:t>
      </w:r>
      <w:r w:rsidRPr="00585A98">
        <w:tab/>
        <w:t>Programmatic Risk Assessment</w:t>
      </w:r>
    </w:p>
    <w:p w14:paraId="3323A166" w14:textId="568C4910" w:rsidR="000B238F" w:rsidRDefault="000B238F" w:rsidP="00D27608">
      <w:pPr>
        <w:tabs>
          <w:tab w:val="left" w:pos="1080"/>
        </w:tabs>
      </w:pPr>
      <w:r w:rsidRPr="00585A98">
        <w:t>o</w:t>
      </w:r>
      <w:r w:rsidRPr="00585A98">
        <w:tab/>
        <w:t xml:space="preserve">Civil Rights Compliance Questionnaire </w:t>
      </w:r>
    </w:p>
    <w:p w14:paraId="2296EE12" w14:textId="77777777" w:rsidR="000B238F" w:rsidRDefault="000B238F" w:rsidP="00D27608">
      <w:pPr>
        <w:ind w:left="360"/>
        <w:rPr>
          <w:b/>
          <w:color w:val="FF0000"/>
        </w:rPr>
      </w:pPr>
    </w:p>
    <w:p w14:paraId="17508209" w14:textId="40BA5F1E" w:rsidR="000B238F" w:rsidRPr="00C9530D" w:rsidRDefault="005F1CC5" w:rsidP="00C9530D">
      <w:pPr>
        <w:autoSpaceDE w:val="0"/>
        <w:autoSpaceDN w:val="0"/>
        <w:adjustRightInd w:val="0"/>
        <w:ind w:left="360"/>
        <w:rPr>
          <w:b/>
          <w:i/>
        </w:rPr>
      </w:pPr>
      <w:r w:rsidRPr="00C9530D">
        <w:rPr>
          <w:b/>
          <w:i/>
        </w:rPr>
        <w:t>2. Administrative and National Policy Requirements</w:t>
      </w:r>
      <w:r w:rsidR="000B238F" w:rsidRPr="00C9530D">
        <w:rPr>
          <w:b/>
          <w:i/>
        </w:rPr>
        <w:t xml:space="preserve">  </w:t>
      </w:r>
    </w:p>
    <w:p w14:paraId="61E9372E" w14:textId="21098D8B" w:rsidR="007F1B77" w:rsidRPr="00E51F4F" w:rsidRDefault="007F1B77" w:rsidP="007F1B77">
      <w:pPr>
        <w:ind w:left="360"/>
      </w:pPr>
      <w:bookmarkStart w:id="14" w:name="_Hlk12876352"/>
      <w:r w:rsidRPr="00E51F4F">
        <w:t xml:space="preserve">In addition to implementing the funded project consistent with the approved project proposal and budget, agencies selected for funding must </w:t>
      </w:r>
      <w:r w:rsidRPr="00E51F4F">
        <w:t>comply with applicable grant terms and conditions and other legal requirements, including, but not limited to</w:t>
      </w:r>
      <w:r>
        <w:t xml:space="preserve"> related regulations</w:t>
      </w:r>
      <w:r>
        <w:t xml:space="preserve">, the </w:t>
      </w:r>
      <w:r w:rsidRPr="00E51F4F">
        <w:t xml:space="preserve">ICJIA Financial Guide and Policy and Procedure Manual, the Grant Accountability and Transparency Act, and the U.S. Department of Justice Grants Financial Guide, which will be included in the award documents, incorporated into the award by reference, or are otherwise applicable to the award. </w:t>
      </w:r>
      <w:bookmarkEnd w:id="14"/>
    </w:p>
    <w:p w14:paraId="69269F32" w14:textId="29FBC4CB" w:rsidR="00C41624" w:rsidRDefault="00C41624" w:rsidP="00D27608">
      <w:pPr>
        <w:ind w:left="360"/>
      </w:pPr>
    </w:p>
    <w:p w14:paraId="3A491D3B" w14:textId="77777777" w:rsidR="00C41624" w:rsidRPr="00F31004" w:rsidRDefault="00C41624" w:rsidP="00D27608">
      <w:pPr>
        <w:ind w:left="360"/>
      </w:pPr>
      <w:r w:rsidRPr="00585A98">
        <w:t>Additional programmatic and administrative special conditions may be required.</w:t>
      </w:r>
    </w:p>
    <w:p w14:paraId="3AB95911" w14:textId="77777777" w:rsidR="00C41624" w:rsidRPr="00F31004" w:rsidRDefault="00C41624" w:rsidP="00D27608">
      <w:pPr>
        <w:ind w:left="360"/>
      </w:pPr>
    </w:p>
    <w:p w14:paraId="424D4520" w14:textId="356ECEB6" w:rsidR="00C41624" w:rsidRPr="00491B4B" w:rsidRDefault="005F1CC5" w:rsidP="00D27608">
      <w:pPr>
        <w:autoSpaceDE w:val="0"/>
        <w:autoSpaceDN w:val="0"/>
        <w:adjustRightInd w:val="0"/>
        <w:ind w:left="360"/>
        <w:rPr>
          <w:color w:val="2F5496" w:themeColor="accent5" w:themeShade="BF"/>
        </w:rPr>
      </w:pPr>
      <w:r w:rsidRPr="00C9530D">
        <w:rPr>
          <w:b/>
          <w:i/>
        </w:rPr>
        <w:t>3. Reporting</w:t>
      </w:r>
      <w:r w:rsidRPr="005F1CC5">
        <w:t xml:space="preserve"> </w:t>
      </w:r>
    </w:p>
    <w:p w14:paraId="366AB32F" w14:textId="77777777" w:rsidR="00C41624" w:rsidRDefault="00C41624" w:rsidP="00D27608">
      <w:pPr>
        <w:autoSpaceDE w:val="0"/>
        <w:autoSpaceDN w:val="0"/>
        <w:adjustRightInd w:val="0"/>
        <w:ind w:left="360"/>
      </w:pPr>
    </w:p>
    <w:p w14:paraId="3663F80B" w14:textId="2AAF5495" w:rsidR="00C41624" w:rsidRPr="00F31004" w:rsidRDefault="00C41624" w:rsidP="00D27608">
      <w:pPr>
        <w:autoSpaceDE w:val="0"/>
        <w:autoSpaceDN w:val="0"/>
        <w:adjustRightInd w:val="0"/>
        <w:ind w:left="360"/>
      </w:pPr>
      <w:r w:rsidRPr="00F31004">
        <w:t xml:space="preserve">Recipients must submit </w:t>
      </w:r>
      <w:r w:rsidR="00A519BE">
        <w:t xml:space="preserve">periodic </w:t>
      </w:r>
      <w:r w:rsidRPr="00F31004">
        <w:t xml:space="preserve">financial reports, progress reports, final financial and progress reports, and, if applicable, an annual audit report in accordance with the </w:t>
      </w:r>
      <w:r>
        <w:t xml:space="preserve">2 </w:t>
      </w:r>
      <w:r w:rsidRPr="00F31004">
        <w:t>CFR Part 200 Uniform Requirements. Future awards and fund drawdowns may be withheld if reports are delinquent.</w:t>
      </w:r>
    </w:p>
    <w:p w14:paraId="720B8717" w14:textId="68DBBFDE" w:rsidR="005F1CC5" w:rsidRDefault="005F1CC5" w:rsidP="00D27608">
      <w:pPr>
        <w:autoSpaceDE w:val="0"/>
        <w:autoSpaceDN w:val="0"/>
        <w:adjustRightInd w:val="0"/>
        <w:ind w:left="0"/>
      </w:pPr>
    </w:p>
    <w:p w14:paraId="515CA454" w14:textId="5E85A7E6" w:rsidR="005F1CC5" w:rsidRPr="00BC61BD" w:rsidRDefault="005F1CC5" w:rsidP="00D27608">
      <w:pPr>
        <w:autoSpaceDE w:val="0"/>
        <w:autoSpaceDN w:val="0"/>
        <w:adjustRightInd w:val="0"/>
        <w:ind w:left="0"/>
        <w:rPr>
          <w:b/>
          <w:sz w:val="28"/>
          <w:szCs w:val="28"/>
        </w:rPr>
      </w:pPr>
      <w:r w:rsidRPr="00BC61BD">
        <w:rPr>
          <w:b/>
          <w:sz w:val="28"/>
          <w:szCs w:val="28"/>
        </w:rPr>
        <w:t xml:space="preserve">G. </w:t>
      </w:r>
      <w:r w:rsidR="003076A0">
        <w:rPr>
          <w:b/>
          <w:sz w:val="28"/>
          <w:szCs w:val="28"/>
        </w:rPr>
        <w:t>State Awarding Agency Contact</w:t>
      </w:r>
    </w:p>
    <w:p w14:paraId="26B57899" w14:textId="4AECD426" w:rsidR="005F1CC5" w:rsidRDefault="005F1CC5" w:rsidP="00D27608">
      <w:pPr>
        <w:autoSpaceDE w:val="0"/>
        <w:autoSpaceDN w:val="0"/>
        <w:adjustRightInd w:val="0"/>
        <w:ind w:left="0"/>
      </w:pPr>
    </w:p>
    <w:p w14:paraId="25953A60" w14:textId="54962424" w:rsidR="00C41624" w:rsidRPr="00F31004" w:rsidRDefault="00C41624" w:rsidP="00D27608">
      <w:pPr>
        <w:ind w:left="0"/>
      </w:pPr>
      <w:r>
        <w:t xml:space="preserve">For </w:t>
      </w:r>
      <w:r w:rsidRPr="00F31004">
        <w:t>questions and technical assistance regarding application submission, contact:</w:t>
      </w:r>
    </w:p>
    <w:p w14:paraId="106E290A" w14:textId="77777777" w:rsidR="005F1CC5" w:rsidRDefault="005F1CC5" w:rsidP="00D27608">
      <w:pPr>
        <w:autoSpaceDE w:val="0"/>
        <w:autoSpaceDN w:val="0"/>
        <w:adjustRightInd w:val="0"/>
        <w:ind w:left="0"/>
      </w:pPr>
    </w:p>
    <w:p w14:paraId="395B1A4B" w14:textId="77777777" w:rsidR="00EB06A6" w:rsidRPr="005C53E5" w:rsidRDefault="00EB06A6" w:rsidP="00EB06A6">
      <w:r w:rsidRPr="005C53E5">
        <w:t>Shai Hoffman, Program Administrator</w:t>
      </w:r>
    </w:p>
    <w:p w14:paraId="770C8004" w14:textId="77777777" w:rsidR="00EB06A6" w:rsidRPr="005C53E5" w:rsidRDefault="00EB06A6" w:rsidP="00EB06A6">
      <w:pPr>
        <w:pStyle w:val="ListParagraph"/>
      </w:pPr>
      <w:r w:rsidRPr="005C53E5">
        <w:t>Illinois Criminal Justice Information Authority</w:t>
      </w:r>
    </w:p>
    <w:p w14:paraId="16DB73D5" w14:textId="6B460A7B" w:rsidR="00EB06A6" w:rsidRPr="005C53E5" w:rsidRDefault="002B470A" w:rsidP="00EB06A6">
      <w:pPr>
        <w:widowControl w:val="0"/>
        <w:jc w:val="both"/>
      </w:pPr>
      <w:hyperlink r:id="rId20" w:history="1">
        <w:r w:rsidR="00267841" w:rsidRPr="00174D08">
          <w:rPr>
            <w:rStyle w:val="Hyperlink"/>
          </w:rPr>
          <w:t>Shai.Hoffman@Illinois.gov</w:t>
        </w:r>
      </w:hyperlink>
    </w:p>
    <w:p w14:paraId="41151563" w14:textId="3298203A" w:rsidR="005F1CC5" w:rsidRDefault="005F1CC5" w:rsidP="00D27608">
      <w:pPr>
        <w:autoSpaceDE w:val="0"/>
        <w:autoSpaceDN w:val="0"/>
        <w:adjustRightInd w:val="0"/>
        <w:ind w:left="0"/>
      </w:pPr>
    </w:p>
    <w:p w14:paraId="105A7D0F" w14:textId="4DDE4044" w:rsidR="005F1CC5" w:rsidRDefault="005F1CC5" w:rsidP="00D27608">
      <w:pPr>
        <w:autoSpaceDE w:val="0"/>
        <w:autoSpaceDN w:val="0"/>
        <w:adjustRightInd w:val="0"/>
        <w:ind w:left="0"/>
      </w:pPr>
      <w:r w:rsidRPr="00BC61BD">
        <w:rPr>
          <w:b/>
          <w:sz w:val="28"/>
          <w:szCs w:val="28"/>
        </w:rPr>
        <w:t>H. Other Information</w:t>
      </w:r>
    </w:p>
    <w:p w14:paraId="5A654479" w14:textId="77777777" w:rsidR="005F1CC5" w:rsidRDefault="005F1CC5" w:rsidP="00D27608">
      <w:pPr>
        <w:autoSpaceDE w:val="0"/>
        <w:autoSpaceDN w:val="0"/>
        <w:adjustRightInd w:val="0"/>
        <w:ind w:left="360"/>
      </w:pPr>
    </w:p>
    <w:p w14:paraId="033C1827" w14:textId="67C34AF2" w:rsidR="00EF02A2" w:rsidRDefault="005F1CC5" w:rsidP="00D27608">
      <w:pPr>
        <w:ind w:left="360"/>
      </w:pPr>
      <w:bookmarkStart w:id="15" w:name="_Hlk534486526"/>
      <w:r>
        <w:t xml:space="preserve">1. </w:t>
      </w:r>
      <w:r w:rsidR="00EF02A2" w:rsidRPr="00F31004">
        <w:t xml:space="preserve">Neither the State of Illinois nor ICJIA are obligated to make any award as a result of this announcement. </w:t>
      </w:r>
      <w:r w:rsidR="00EF02A2">
        <w:t xml:space="preserve">The </w:t>
      </w:r>
      <w:r w:rsidR="00EF02A2" w:rsidRPr="00F31004">
        <w:t xml:space="preserve">ICJIA Executive Director </w:t>
      </w:r>
      <w:r w:rsidR="00EF02A2">
        <w:t xml:space="preserve">or designee </w:t>
      </w:r>
      <w:r w:rsidR="00EF02A2" w:rsidRPr="00F31004">
        <w:t xml:space="preserve">has sole authority to bind </w:t>
      </w:r>
      <w:r w:rsidR="00EF02A2">
        <w:t>ICJIA</w:t>
      </w:r>
      <w:r w:rsidR="00EF02A2" w:rsidRPr="00F31004">
        <w:t xml:space="preserve"> to the expenditure of funds through the execution of grant agreements.</w:t>
      </w:r>
    </w:p>
    <w:p w14:paraId="4CD94BDC" w14:textId="6125D3D2" w:rsidR="00EF02A2" w:rsidRPr="00F31004" w:rsidRDefault="00EF02A2" w:rsidP="00D27608">
      <w:pPr>
        <w:ind w:left="360"/>
      </w:pPr>
      <w:r w:rsidRPr="00F31004">
        <w:t xml:space="preserve"> </w:t>
      </w:r>
    </w:p>
    <w:p w14:paraId="169316BE" w14:textId="7F2DBCEC" w:rsidR="005F1CC5" w:rsidRPr="003076A0" w:rsidRDefault="005F1CC5" w:rsidP="003076A0">
      <w:pPr>
        <w:autoSpaceDE w:val="0"/>
        <w:autoSpaceDN w:val="0"/>
        <w:adjustRightInd w:val="0"/>
        <w:ind w:left="360"/>
      </w:pPr>
      <w:r>
        <w:t xml:space="preserve">2. </w:t>
      </w:r>
      <w:r w:rsidR="00EF02A2">
        <w:t xml:space="preserve">This application is subject to the Illinois Freedom of Information Act. </w:t>
      </w:r>
      <w:r w:rsidR="003143A5">
        <w:t>Any information that the applicant believes should be exempt under FOIA should clearly highlight the information that is exempt, and the basis of the exemption.</w:t>
      </w:r>
      <w:bookmarkEnd w:id="15"/>
    </w:p>
    <w:p w14:paraId="22046DF9" w14:textId="1A9C3631" w:rsidR="00BA51F0" w:rsidRPr="00E26E7F" w:rsidRDefault="00BA51F0" w:rsidP="00491B4B">
      <w:pPr>
        <w:autoSpaceDE w:val="0"/>
        <w:autoSpaceDN w:val="0"/>
        <w:adjustRightInd w:val="0"/>
        <w:ind w:left="360"/>
        <w:rPr>
          <w:color w:val="2F5496" w:themeColor="accent5" w:themeShade="BF"/>
        </w:rPr>
      </w:pPr>
    </w:p>
    <w:sectPr w:rsidR="00BA51F0" w:rsidRPr="00E26E7F" w:rsidSect="00E2164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67B10" w14:textId="77777777" w:rsidR="002B470A" w:rsidRDefault="002B470A">
      <w:r>
        <w:separator/>
      </w:r>
    </w:p>
  </w:endnote>
  <w:endnote w:type="continuationSeparator" w:id="0">
    <w:p w14:paraId="38F524C9" w14:textId="77777777" w:rsidR="002B470A" w:rsidRDefault="002B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4DB6C" w14:textId="77777777" w:rsidR="002B470A" w:rsidRDefault="002B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17853384"/>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27DB8B24" w14:textId="2900BFA9" w:rsidR="002B470A" w:rsidRDefault="002B470A" w:rsidP="00F76DF1">
            <w:pPr>
              <w:pStyle w:val="Footer"/>
              <w:jc w:val="right"/>
              <w:rPr>
                <w:sz w:val="20"/>
                <w:szCs w:val="20"/>
              </w:rPr>
            </w:pPr>
            <w:r>
              <w:rPr>
                <w:sz w:val="20"/>
                <w:szCs w:val="20"/>
              </w:rPr>
              <w:t>Version 3.6.19</w:t>
            </w:r>
          </w:p>
          <w:p w14:paraId="4B842F53" w14:textId="774351A6" w:rsidR="002B470A" w:rsidRPr="00F76DF1" w:rsidRDefault="002B470A" w:rsidP="00F76DF1">
            <w:pPr>
              <w:pStyle w:val="Footer"/>
              <w:jc w:val="right"/>
              <w:rPr>
                <w:sz w:val="20"/>
                <w:szCs w:val="20"/>
              </w:rPr>
            </w:pPr>
            <w:r w:rsidRPr="00A0400E">
              <w:rPr>
                <w:sz w:val="20"/>
                <w:szCs w:val="20"/>
              </w:rPr>
              <w:t xml:space="preserve">Page </w:t>
            </w:r>
            <w:r w:rsidRPr="00A0400E">
              <w:rPr>
                <w:b/>
                <w:bCs/>
                <w:sz w:val="20"/>
                <w:szCs w:val="20"/>
              </w:rPr>
              <w:fldChar w:fldCharType="begin"/>
            </w:r>
            <w:r w:rsidRPr="00A0400E">
              <w:rPr>
                <w:b/>
                <w:bCs/>
                <w:sz w:val="20"/>
                <w:szCs w:val="20"/>
              </w:rPr>
              <w:instrText xml:space="preserve"> PAGE </w:instrText>
            </w:r>
            <w:r w:rsidRPr="00A0400E">
              <w:rPr>
                <w:b/>
                <w:bCs/>
                <w:sz w:val="20"/>
                <w:szCs w:val="20"/>
              </w:rPr>
              <w:fldChar w:fldCharType="separate"/>
            </w:r>
            <w:r w:rsidR="000E29D6">
              <w:rPr>
                <w:b/>
                <w:bCs/>
                <w:noProof/>
                <w:sz w:val="20"/>
                <w:szCs w:val="20"/>
              </w:rPr>
              <w:t>20</w:t>
            </w:r>
            <w:r w:rsidRPr="00A0400E">
              <w:rPr>
                <w:b/>
                <w:bCs/>
                <w:sz w:val="20"/>
                <w:szCs w:val="20"/>
              </w:rPr>
              <w:fldChar w:fldCharType="end"/>
            </w:r>
            <w:r w:rsidRPr="00A0400E">
              <w:rPr>
                <w:sz w:val="20"/>
                <w:szCs w:val="20"/>
              </w:rPr>
              <w:t xml:space="preserve"> of </w:t>
            </w:r>
            <w:r w:rsidRPr="00A0400E">
              <w:rPr>
                <w:b/>
                <w:bCs/>
                <w:sz w:val="20"/>
                <w:szCs w:val="20"/>
              </w:rPr>
              <w:fldChar w:fldCharType="begin"/>
            </w:r>
            <w:r w:rsidRPr="00A0400E">
              <w:rPr>
                <w:b/>
                <w:bCs/>
                <w:sz w:val="20"/>
                <w:szCs w:val="20"/>
              </w:rPr>
              <w:instrText xml:space="preserve"> NUMPAGES  </w:instrText>
            </w:r>
            <w:r w:rsidRPr="00A0400E">
              <w:rPr>
                <w:b/>
                <w:bCs/>
                <w:sz w:val="20"/>
                <w:szCs w:val="20"/>
              </w:rPr>
              <w:fldChar w:fldCharType="separate"/>
            </w:r>
            <w:r w:rsidR="000E29D6">
              <w:rPr>
                <w:b/>
                <w:bCs/>
                <w:noProof/>
                <w:sz w:val="20"/>
                <w:szCs w:val="20"/>
              </w:rPr>
              <w:t>20</w:t>
            </w:r>
            <w:r w:rsidRPr="00A0400E">
              <w:rPr>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69D6" w14:textId="77777777" w:rsidR="002B470A" w:rsidRDefault="002B4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36360" w14:textId="77777777" w:rsidR="002B470A" w:rsidRDefault="002B470A">
      <w:r>
        <w:separator/>
      </w:r>
    </w:p>
  </w:footnote>
  <w:footnote w:type="continuationSeparator" w:id="0">
    <w:p w14:paraId="4E5CD7D5" w14:textId="77777777" w:rsidR="002B470A" w:rsidRDefault="002B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5087F" w14:textId="77777777" w:rsidR="002B470A" w:rsidRDefault="002B4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6338" w14:textId="4407BB6F" w:rsidR="002B470A" w:rsidRDefault="002B4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A12B" w14:textId="77777777" w:rsidR="002B470A" w:rsidRDefault="002B4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205D"/>
    <w:multiLevelType w:val="multilevel"/>
    <w:tmpl w:val="24BCB9D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1737"/>
    <w:multiLevelType w:val="hybridMultilevel"/>
    <w:tmpl w:val="CA885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5522D5"/>
    <w:multiLevelType w:val="hybridMultilevel"/>
    <w:tmpl w:val="FB242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40564"/>
    <w:multiLevelType w:val="hybridMultilevel"/>
    <w:tmpl w:val="7B363712"/>
    <w:lvl w:ilvl="0" w:tplc="324CE132">
      <w:start w:val="1"/>
      <w:numFmt w:val="lowerLetter"/>
      <w:lvlText w:val="%1."/>
      <w:lvlJc w:val="left"/>
      <w:pPr>
        <w:ind w:left="1530" w:hanging="360"/>
      </w:pPr>
      <w:rPr>
        <w:rFonts w:hint="default"/>
        <w:b w:val="0"/>
        <w:i/>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1E23562"/>
    <w:multiLevelType w:val="hybridMultilevel"/>
    <w:tmpl w:val="74CE8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142A"/>
    <w:multiLevelType w:val="hybridMultilevel"/>
    <w:tmpl w:val="62106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20147A"/>
    <w:multiLevelType w:val="hybridMultilevel"/>
    <w:tmpl w:val="7FF2E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F3B5510"/>
    <w:multiLevelType w:val="hybridMultilevel"/>
    <w:tmpl w:val="0F92A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FB66D6"/>
    <w:multiLevelType w:val="hybridMultilevel"/>
    <w:tmpl w:val="2588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0E4A7B"/>
    <w:multiLevelType w:val="hybridMultilevel"/>
    <w:tmpl w:val="2DA8E4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357978"/>
    <w:multiLevelType w:val="hybridMultilevel"/>
    <w:tmpl w:val="913E7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56FD4"/>
    <w:multiLevelType w:val="hybridMultilevel"/>
    <w:tmpl w:val="618EF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3" w15:restartNumberingAfterBreak="0">
    <w:nsid w:val="2DEE483D"/>
    <w:multiLevelType w:val="hybridMultilevel"/>
    <w:tmpl w:val="20BE5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56450A"/>
    <w:multiLevelType w:val="hybridMultilevel"/>
    <w:tmpl w:val="BFC6B5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6264C"/>
    <w:multiLevelType w:val="hybridMultilevel"/>
    <w:tmpl w:val="B6FA3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9367D5"/>
    <w:multiLevelType w:val="hybridMultilevel"/>
    <w:tmpl w:val="6AA00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16AB6"/>
    <w:multiLevelType w:val="hybridMultilevel"/>
    <w:tmpl w:val="0C905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7D52472"/>
    <w:multiLevelType w:val="hybridMultilevel"/>
    <w:tmpl w:val="CA6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C0E3A"/>
    <w:multiLevelType w:val="multilevel"/>
    <w:tmpl w:val="E242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800" w:hanging="72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754A7"/>
    <w:multiLevelType w:val="hybridMultilevel"/>
    <w:tmpl w:val="C21EB4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7E16"/>
    <w:multiLevelType w:val="hybridMultilevel"/>
    <w:tmpl w:val="BC468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43942"/>
    <w:multiLevelType w:val="hybridMultilevel"/>
    <w:tmpl w:val="D2661E98"/>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15:restartNumberingAfterBreak="0">
    <w:nsid w:val="4DB01733"/>
    <w:multiLevelType w:val="hybridMultilevel"/>
    <w:tmpl w:val="43FA2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AB6676"/>
    <w:multiLevelType w:val="hybridMultilevel"/>
    <w:tmpl w:val="F8B4A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E13DBA"/>
    <w:multiLevelType w:val="hybridMultilevel"/>
    <w:tmpl w:val="DBA87B58"/>
    <w:lvl w:ilvl="0" w:tplc="57BC33B2">
      <w:start w:val="1"/>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9" w15:restartNumberingAfterBreak="0">
    <w:nsid w:val="5CAF7FDB"/>
    <w:multiLevelType w:val="hybridMultilevel"/>
    <w:tmpl w:val="B086A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C4785"/>
    <w:multiLevelType w:val="hybridMultilevel"/>
    <w:tmpl w:val="5CFA63AE"/>
    <w:lvl w:ilvl="0" w:tplc="434E7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5827DD"/>
    <w:multiLevelType w:val="hybridMultilevel"/>
    <w:tmpl w:val="235C0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07D35"/>
    <w:multiLevelType w:val="hybridMultilevel"/>
    <w:tmpl w:val="D490236E"/>
    <w:lvl w:ilvl="0" w:tplc="93386B92">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705AAA"/>
    <w:multiLevelType w:val="hybridMultilevel"/>
    <w:tmpl w:val="2E38A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20AB2"/>
    <w:multiLevelType w:val="hybridMultilevel"/>
    <w:tmpl w:val="EDBCC9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516411"/>
    <w:multiLevelType w:val="hybridMultilevel"/>
    <w:tmpl w:val="6AC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93F72"/>
    <w:multiLevelType w:val="hybridMultilevel"/>
    <w:tmpl w:val="68FCE6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7"/>
  </w:num>
  <w:num w:numId="3">
    <w:abstractNumId w:val="18"/>
  </w:num>
  <w:num w:numId="4">
    <w:abstractNumId w:val="26"/>
  </w:num>
  <w:num w:numId="5">
    <w:abstractNumId w:val="9"/>
  </w:num>
  <w:num w:numId="6">
    <w:abstractNumId w:val="17"/>
  </w:num>
  <w:num w:numId="7">
    <w:abstractNumId w:val="12"/>
  </w:num>
  <w:num w:numId="8">
    <w:abstractNumId w:val="13"/>
  </w:num>
  <w:num w:numId="9">
    <w:abstractNumId w:val="27"/>
  </w:num>
  <w:num w:numId="10">
    <w:abstractNumId w:val="3"/>
  </w:num>
  <w:num w:numId="11">
    <w:abstractNumId w:val="35"/>
  </w:num>
  <w:num w:numId="12">
    <w:abstractNumId w:val="25"/>
  </w:num>
  <w:num w:numId="13">
    <w:abstractNumId w:val="32"/>
  </w:num>
  <w:num w:numId="14">
    <w:abstractNumId w:val="31"/>
  </w:num>
  <w:num w:numId="15">
    <w:abstractNumId w:val="6"/>
  </w:num>
  <w:num w:numId="16">
    <w:abstractNumId w:val="22"/>
  </w:num>
  <w:num w:numId="17">
    <w:abstractNumId w:val="23"/>
  </w:num>
  <w:num w:numId="18">
    <w:abstractNumId w:val="11"/>
  </w:num>
  <w:num w:numId="19">
    <w:abstractNumId w:val="2"/>
  </w:num>
  <w:num w:numId="20">
    <w:abstractNumId w:val="33"/>
  </w:num>
  <w:num w:numId="21">
    <w:abstractNumId w:val="0"/>
  </w:num>
  <w:num w:numId="22">
    <w:abstractNumId w:val="20"/>
  </w:num>
  <w:num w:numId="23">
    <w:abstractNumId w:val="34"/>
  </w:num>
  <w:num w:numId="24">
    <w:abstractNumId w:val="19"/>
  </w:num>
  <w:num w:numId="25">
    <w:abstractNumId w:val="21"/>
  </w:num>
  <w:num w:numId="26">
    <w:abstractNumId w:val="4"/>
  </w:num>
  <w:num w:numId="27">
    <w:abstractNumId w:val="15"/>
  </w:num>
  <w:num w:numId="28">
    <w:abstractNumId w:val="10"/>
  </w:num>
  <w:num w:numId="29">
    <w:abstractNumId w:val="16"/>
  </w:num>
  <w:num w:numId="30">
    <w:abstractNumId w:val="29"/>
  </w:num>
  <w:num w:numId="31">
    <w:abstractNumId w:val="14"/>
  </w:num>
  <w:num w:numId="32">
    <w:abstractNumId w:val="1"/>
  </w:num>
  <w:num w:numId="33">
    <w:abstractNumId w:val="8"/>
  </w:num>
  <w:num w:numId="34">
    <w:abstractNumId w:val="24"/>
  </w:num>
  <w:num w:numId="35">
    <w:abstractNumId w:val="30"/>
  </w:num>
  <w:num w:numId="36">
    <w:abstractNumId w:val="5"/>
  </w:num>
  <w:num w:numId="37">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9"/>
    <w:rsid w:val="00000656"/>
    <w:rsid w:val="000011BC"/>
    <w:rsid w:val="00003737"/>
    <w:rsid w:val="00004419"/>
    <w:rsid w:val="0000458C"/>
    <w:rsid w:val="00005F18"/>
    <w:rsid w:val="00006686"/>
    <w:rsid w:val="00006CBF"/>
    <w:rsid w:val="00006CF8"/>
    <w:rsid w:val="00006E19"/>
    <w:rsid w:val="00010FF7"/>
    <w:rsid w:val="0001407B"/>
    <w:rsid w:val="00014782"/>
    <w:rsid w:val="0001487F"/>
    <w:rsid w:val="00014E9D"/>
    <w:rsid w:val="00016BDE"/>
    <w:rsid w:val="00017495"/>
    <w:rsid w:val="00020DF0"/>
    <w:rsid w:val="00021573"/>
    <w:rsid w:val="00021A3F"/>
    <w:rsid w:val="00021C27"/>
    <w:rsid w:val="00021CBD"/>
    <w:rsid w:val="000243F5"/>
    <w:rsid w:val="00024772"/>
    <w:rsid w:val="00030AAB"/>
    <w:rsid w:val="000311C4"/>
    <w:rsid w:val="00031808"/>
    <w:rsid w:val="00031886"/>
    <w:rsid w:val="000327AC"/>
    <w:rsid w:val="00032AE9"/>
    <w:rsid w:val="00032D3F"/>
    <w:rsid w:val="00033896"/>
    <w:rsid w:val="00033CC8"/>
    <w:rsid w:val="0003616C"/>
    <w:rsid w:val="000367CA"/>
    <w:rsid w:val="00036961"/>
    <w:rsid w:val="0004020A"/>
    <w:rsid w:val="00040A05"/>
    <w:rsid w:val="00043B34"/>
    <w:rsid w:val="0004488F"/>
    <w:rsid w:val="00044A81"/>
    <w:rsid w:val="000450FA"/>
    <w:rsid w:val="000452F0"/>
    <w:rsid w:val="00045AA3"/>
    <w:rsid w:val="00047254"/>
    <w:rsid w:val="00047950"/>
    <w:rsid w:val="00047F75"/>
    <w:rsid w:val="0005001B"/>
    <w:rsid w:val="000506BB"/>
    <w:rsid w:val="000509EB"/>
    <w:rsid w:val="000520AB"/>
    <w:rsid w:val="00052531"/>
    <w:rsid w:val="00053EE1"/>
    <w:rsid w:val="00053F8D"/>
    <w:rsid w:val="00054503"/>
    <w:rsid w:val="00055B55"/>
    <w:rsid w:val="00056392"/>
    <w:rsid w:val="000576E6"/>
    <w:rsid w:val="00057856"/>
    <w:rsid w:val="00060499"/>
    <w:rsid w:val="00060BE2"/>
    <w:rsid w:val="00061275"/>
    <w:rsid w:val="000613EB"/>
    <w:rsid w:val="00062553"/>
    <w:rsid w:val="0006398D"/>
    <w:rsid w:val="00065A49"/>
    <w:rsid w:val="0007102F"/>
    <w:rsid w:val="000723F5"/>
    <w:rsid w:val="00072AC2"/>
    <w:rsid w:val="00073ABF"/>
    <w:rsid w:val="00076773"/>
    <w:rsid w:val="00077F36"/>
    <w:rsid w:val="00082052"/>
    <w:rsid w:val="00083F2B"/>
    <w:rsid w:val="000864BB"/>
    <w:rsid w:val="00086B35"/>
    <w:rsid w:val="0009412C"/>
    <w:rsid w:val="0009642A"/>
    <w:rsid w:val="00096B3F"/>
    <w:rsid w:val="000976DF"/>
    <w:rsid w:val="000A03F9"/>
    <w:rsid w:val="000A1295"/>
    <w:rsid w:val="000A12E9"/>
    <w:rsid w:val="000A2223"/>
    <w:rsid w:val="000A2E4F"/>
    <w:rsid w:val="000A3140"/>
    <w:rsid w:val="000A4E0F"/>
    <w:rsid w:val="000A573F"/>
    <w:rsid w:val="000A6910"/>
    <w:rsid w:val="000B21AC"/>
    <w:rsid w:val="000B238F"/>
    <w:rsid w:val="000B318D"/>
    <w:rsid w:val="000B441F"/>
    <w:rsid w:val="000B4458"/>
    <w:rsid w:val="000B472F"/>
    <w:rsid w:val="000B60D0"/>
    <w:rsid w:val="000B74E2"/>
    <w:rsid w:val="000B78F4"/>
    <w:rsid w:val="000C111C"/>
    <w:rsid w:val="000C12F1"/>
    <w:rsid w:val="000C1764"/>
    <w:rsid w:val="000C1971"/>
    <w:rsid w:val="000C23EA"/>
    <w:rsid w:val="000C2F2C"/>
    <w:rsid w:val="000C3672"/>
    <w:rsid w:val="000C41BA"/>
    <w:rsid w:val="000C6ED6"/>
    <w:rsid w:val="000C737F"/>
    <w:rsid w:val="000D4B9A"/>
    <w:rsid w:val="000D5A3C"/>
    <w:rsid w:val="000D5AD5"/>
    <w:rsid w:val="000D6D03"/>
    <w:rsid w:val="000D769B"/>
    <w:rsid w:val="000D78B3"/>
    <w:rsid w:val="000E0C12"/>
    <w:rsid w:val="000E1E99"/>
    <w:rsid w:val="000E29D6"/>
    <w:rsid w:val="000E2A62"/>
    <w:rsid w:val="000E3E99"/>
    <w:rsid w:val="000E555E"/>
    <w:rsid w:val="000E5BB8"/>
    <w:rsid w:val="000E6198"/>
    <w:rsid w:val="000E6FA9"/>
    <w:rsid w:val="000F2F8C"/>
    <w:rsid w:val="000F3F5F"/>
    <w:rsid w:val="000F4AD0"/>
    <w:rsid w:val="000F6A0A"/>
    <w:rsid w:val="00103C27"/>
    <w:rsid w:val="00105C60"/>
    <w:rsid w:val="001105F3"/>
    <w:rsid w:val="00110B90"/>
    <w:rsid w:val="00113143"/>
    <w:rsid w:val="00115480"/>
    <w:rsid w:val="00116ADB"/>
    <w:rsid w:val="00117696"/>
    <w:rsid w:val="00120F90"/>
    <w:rsid w:val="00120FCC"/>
    <w:rsid w:val="0012163C"/>
    <w:rsid w:val="00121A0B"/>
    <w:rsid w:val="001227CD"/>
    <w:rsid w:val="00123372"/>
    <w:rsid w:val="00123907"/>
    <w:rsid w:val="001260EF"/>
    <w:rsid w:val="0013081A"/>
    <w:rsid w:val="00130BEF"/>
    <w:rsid w:val="00131F9B"/>
    <w:rsid w:val="001335CF"/>
    <w:rsid w:val="001348B4"/>
    <w:rsid w:val="001363A3"/>
    <w:rsid w:val="00137612"/>
    <w:rsid w:val="00144375"/>
    <w:rsid w:val="00145239"/>
    <w:rsid w:val="001455B2"/>
    <w:rsid w:val="001466DC"/>
    <w:rsid w:val="001520B5"/>
    <w:rsid w:val="00152764"/>
    <w:rsid w:val="0015289E"/>
    <w:rsid w:val="001536A0"/>
    <w:rsid w:val="00153987"/>
    <w:rsid w:val="00154B8D"/>
    <w:rsid w:val="00155AD4"/>
    <w:rsid w:val="00155C7D"/>
    <w:rsid w:val="00156714"/>
    <w:rsid w:val="00157EC2"/>
    <w:rsid w:val="0016087E"/>
    <w:rsid w:val="00162420"/>
    <w:rsid w:val="00162C01"/>
    <w:rsid w:val="00164248"/>
    <w:rsid w:val="001652D1"/>
    <w:rsid w:val="00165B22"/>
    <w:rsid w:val="00170ADA"/>
    <w:rsid w:val="00171A47"/>
    <w:rsid w:val="00172609"/>
    <w:rsid w:val="00173257"/>
    <w:rsid w:val="001735D0"/>
    <w:rsid w:val="0017579A"/>
    <w:rsid w:val="00175976"/>
    <w:rsid w:val="00175D35"/>
    <w:rsid w:val="001762C2"/>
    <w:rsid w:val="00176844"/>
    <w:rsid w:val="00176941"/>
    <w:rsid w:val="00180683"/>
    <w:rsid w:val="00182064"/>
    <w:rsid w:val="00184303"/>
    <w:rsid w:val="00184A69"/>
    <w:rsid w:val="00184EAC"/>
    <w:rsid w:val="0018534E"/>
    <w:rsid w:val="00185BE6"/>
    <w:rsid w:val="00186C01"/>
    <w:rsid w:val="00187048"/>
    <w:rsid w:val="00187832"/>
    <w:rsid w:val="001974D9"/>
    <w:rsid w:val="001A0110"/>
    <w:rsid w:val="001A13A5"/>
    <w:rsid w:val="001A1D9E"/>
    <w:rsid w:val="001A4754"/>
    <w:rsid w:val="001A545C"/>
    <w:rsid w:val="001A5E8E"/>
    <w:rsid w:val="001A60A9"/>
    <w:rsid w:val="001A7D52"/>
    <w:rsid w:val="001B08F2"/>
    <w:rsid w:val="001B0D1E"/>
    <w:rsid w:val="001B1092"/>
    <w:rsid w:val="001B2167"/>
    <w:rsid w:val="001B4D28"/>
    <w:rsid w:val="001B58E9"/>
    <w:rsid w:val="001B64FF"/>
    <w:rsid w:val="001B761C"/>
    <w:rsid w:val="001B7D25"/>
    <w:rsid w:val="001C0EE0"/>
    <w:rsid w:val="001C156F"/>
    <w:rsid w:val="001C193C"/>
    <w:rsid w:val="001C2B00"/>
    <w:rsid w:val="001C33B8"/>
    <w:rsid w:val="001C4B14"/>
    <w:rsid w:val="001C4FC3"/>
    <w:rsid w:val="001C5ED6"/>
    <w:rsid w:val="001C6E97"/>
    <w:rsid w:val="001C6F29"/>
    <w:rsid w:val="001D041C"/>
    <w:rsid w:val="001D1586"/>
    <w:rsid w:val="001D2694"/>
    <w:rsid w:val="001D6010"/>
    <w:rsid w:val="001D60A6"/>
    <w:rsid w:val="001D6A9A"/>
    <w:rsid w:val="001E0704"/>
    <w:rsid w:val="001E3057"/>
    <w:rsid w:val="001E3068"/>
    <w:rsid w:val="001E4CD2"/>
    <w:rsid w:val="001E4EB6"/>
    <w:rsid w:val="001E539D"/>
    <w:rsid w:val="001E6EF5"/>
    <w:rsid w:val="001E708D"/>
    <w:rsid w:val="001F0DEB"/>
    <w:rsid w:val="001F100E"/>
    <w:rsid w:val="001F1442"/>
    <w:rsid w:val="001F285E"/>
    <w:rsid w:val="001F3EAE"/>
    <w:rsid w:val="001F682F"/>
    <w:rsid w:val="001F68AE"/>
    <w:rsid w:val="00204C36"/>
    <w:rsid w:val="002068C2"/>
    <w:rsid w:val="002118AF"/>
    <w:rsid w:val="00211A99"/>
    <w:rsid w:val="00214195"/>
    <w:rsid w:val="00214C5C"/>
    <w:rsid w:val="00215221"/>
    <w:rsid w:val="002175CD"/>
    <w:rsid w:val="00220F61"/>
    <w:rsid w:val="00221688"/>
    <w:rsid w:val="00222E58"/>
    <w:rsid w:val="00225687"/>
    <w:rsid w:val="00225C5A"/>
    <w:rsid w:val="00225F6C"/>
    <w:rsid w:val="002260AB"/>
    <w:rsid w:val="00227521"/>
    <w:rsid w:val="0023058F"/>
    <w:rsid w:val="0023177D"/>
    <w:rsid w:val="002318B4"/>
    <w:rsid w:val="002333C4"/>
    <w:rsid w:val="002400F9"/>
    <w:rsid w:val="002401CB"/>
    <w:rsid w:val="00241348"/>
    <w:rsid w:val="00241DDC"/>
    <w:rsid w:val="00241DEA"/>
    <w:rsid w:val="00243997"/>
    <w:rsid w:val="00245C12"/>
    <w:rsid w:val="00245C6F"/>
    <w:rsid w:val="00245EBB"/>
    <w:rsid w:val="00246997"/>
    <w:rsid w:val="00247856"/>
    <w:rsid w:val="00251AAE"/>
    <w:rsid w:val="00251C3C"/>
    <w:rsid w:val="00254424"/>
    <w:rsid w:val="00254C99"/>
    <w:rsid w:val="002557AD"/>
    <w:rsid w:val="00255B8A"/>
    <w:rsid w:val="00257062"/>
    <w:rsid w:val="00260388"/>
    <w:rsid w:val="00260AEA"/>
    <w:rsid w:val="00262A7D"/>
    <w:rsid w:val="0026543B"/>
    <w:rsid w:val="00267841"/>
    <w:rsid w:val="00270EFE"/>
    <w:rsid w:val="0027266D"/>
    <w:rsid w:val="00272B90"/>
    <w:rsid w:val="00274656"/>
    <w:rsid w:val="0027500D"/>
    <w:rsid w:val="00275A6D"/>
    <w:rsid w:val="00276C05"/>
    <w:rsid w:val="002772E1"/>
    <w:rsid w:val="00277A00"/>
    <w:rsid w:val="00280F3D"/>
    <w:rsid w:val="00282A2B"/>
    <w:rsid w:val="00283533"/>
    <w:rsid w:val="002837D0"/>
    <w:rsid w:val="002841C3"/>
    <w:rsid w:val="002842C7"/>
    <w:rsid w:val="00284B18"/>
    <w:rsid w:val="002869C7"/>
    <w:rsid w:val="00290411"/>
    <w:rsid w:val="00291C64"/>
    <w:rsid w:val="00293E74"/>
    <w:rsid w:val="002945C7"/>
    <w:rsid w:val="00294A91"/>
    <w:rsid w:val="00295161"/>
    <w:rsid w:val="002977C6"/>
    <w:rsid w:val="00297EC4"/>
    <w:rsid w:val="002A27BF"/>
    <w:rsid w:val="002A36F3"/>
    <w:rsid w:val="002A383B"/>
    <w:rsid w:val="002A584C"/>
    <w:rsid w:val="002A690C"/>
    <w:rsid w:val="002A7B24"/>
    <w:rsid w:val="002A7C83"/>
    <w:rsid w:val="002A7E29"/>
    <w:rsid w:val="002B1E99"/>
    <w:rsid w:val="002B234C"/>
    <w:rsid w:val="002B470A"/>
    <w:rsid w:val="002B48DC"/>
    <w:rsid w:val="002B4D28"/>
    <w:rsid w:val="002B572C"/>
    <w:rsid w:val="002B6949"/>
    <w:rsid w:val="002C05D6"/>
    <w:rsid w:val="002C0C59"/>
    <w:rsid w:val="002C15FE"/>
    <w:rsid w:val="002C218A"/>
    <w:rsid w:val="002C21BA"/>
    <w:rsid w:val="002C3431"/>
    <w:rsid w:val="002C4649"/>
    <w:rsid w:val="002C4B90"/>
    <w:rsid w:val="002C5585"/>
    <w:rsid w:val="002C650F"/>
    <w:rsid w:val="002D0991"/>
    <w:rsid w:val="002D5BBD"/>
    <w:rsid w:val="002D62E4"/>
    <w:rsid w:val="002D63B8"/>
    <w:rsid w:val="002D71F1"/>
    <w:rsid w:val="002E0665"/>
    <w:rsid w:val="002E0778"/>
    <w:rsid w:val="002E5E74"/>
    <w:rsid w:val="002E773D"/>
    <w:rsid w:val="002E7C80"/>
    <w:rsid w:val="002F1391"/>
    <w:rsid w:val="002F3D1B"/>
    <w:rsid w:val="002F4BA1"/>
    <w:rsid w:val="002F5591"/>
    <w:rsid w:val="002F5913"/>
    <w:rsid w:val="002F5ECD"/>
    <w:rsid w:val="002F5FF7"/>
    <w:rsid w:val="002F6909"/>
    <w:rsid w:val="002F6CFA"/>
    <w:rsid w:val="003015ED"/>
    <w:rsid w:val="00301891"/>
    <w:rsid w:val="00303A94"/>
    <w:rsid w:val="003040A4"/>
    <w:rsid w:val="003076A0"/>
    <w:rsid w:val="00311214"/>
    <w:rsid w:val="0031258A"/>
    <w:rsid w:val="00313354"/>
    <w:rsid w:val="003134FF"/>
    <w:rsid w:val="00313686"/>
    <w:rsid w:val="00313BFD"/>
    <w:rsid w:val="003141F4"/>
    <w:rsid w:val="003143A5"/>
    <w:rsid w:val="00314531"/>
    <w:rsid w:val="0031454B"/>
    <w:rsid w:val="003145CF"/>
    <w:rsid w:val="003214BE"/>
    <w:rsid w:val="00322311"/>
    <w:rsid w:val="0032282D"/>
    <w:rsid w:val="003235C4"/>
    <w:rsid w:val="003235D5"/>
    <w:rsid w:val="00325FFC"/>
    <w:rsid w:val="00326834"/>
    <w:rsid w:val="0032697A"/>
    <w:rsid w:val="003272F4"/>
    <w:rsid w:val="00332BB4"/>
    <w:rsid w:val="00332ED1"/>
    <w:rsid w:val="00333605"/>
    <w:rsid w:val="00333CD8"/>
    <w:rsid w:val="0033404D"/>
    <w:rsid w:val="003351DF"/>
    <w:rsid w:val="003356F7"/>
    <w:rsid w:val="00336120"/>
    <w:rsid w:val="00340A5B"/>
    <w:rsid w:val="00340D49"/>
    <w:rsid w:val="00340F50"/>
    <w:rsid w:val="00344940"/>
    <w:rsid w:val="00347AC2"/>
    <w:rsid w:val="00350630"/>
    <w:rsid w:val="0035151E"/>
    <w:rsid w:val="003523C7"/>
    <w:rsid w:val="00353057"/>
    <w:rsid w:val="003538D3"/>
    <w:rsid w:val="00355131"/>
    <w:rsid w:val="003558D7"/>
    <w:rsid w:val="00356839"/>
    <w:rsid w:val="003578C7"/>
    <w:rsid w:val="003627C5"/>
    <w:rsid w:val="00362A41"/>
    <w:rsid w:val="00363DE3"/>
    <w:rsid w:val="0036687B"/>
    <w:rsid w:val="00371267"/>
    <w:rsid w:val="00371E20"/>
    <w:rsid w:val="0037635F"/>
    <w:rsid w:val="0037734D"/>
    <w:rsid w:val="0038041B"/>
    <w:rsid w:val="00381255"/>
    <w:rsid w:val="00381833"/>
    <w:rsid w:val="00383060"/>
    <w:rsid w:val="00384943"/>
    <w:rsid w:val="003854DC"/>
    <w:rsid w:val="00385864"/>
    <w:rsid w:val="00386D42"/>
    <w:rsid w:val="00387893"/>
    <w:rsid w:val="003918EC"/>
    <w:rsid w:val="00396DAF"/>
    <w:rsid w:val="003973CE"/>
    <w:rsid w:val="003A13D1"/>
    <w:rsid w:val="003A150B"/>
    <w:rsid w:val="003A21B0"/>
    <w:rsid w:val="003A2467"/>
    <w:rsid w:val="003A3619"/>
    <w:rsid w:val="003A3E4A"/>
    <w:rsid w:val="003A6E76"/>
    <w:rsid w:val="003B0EE2"/>
    <w:rsid w:val="003B3980"/>
    <w:rsid w:val="003B65DF"/>
    <w:rsid w:val="003B6CC4"/>
    <w:rsid w:val="003B6E3A"/>
    <w:rsid w:val="003B7CC8"/>
    <w:rsid w:val="003C0547"/>
    <w:rsid w:val="003C0C30"/>
    <w:rsid w:val="003C702B"/>
    <w:rsid w:val="003D0358"/>
    <w:rsid w:val="003D0D7D"/>
    <w:rsid w:val="003D0E96"/>
    <w:rsid w:val="003D0F5F"/>
    <w:rsid w:val="003D16DD"/>
    <w:rsid w:val="003D2C0C"/>
    <w:rsid w:val="003D3C2D"/>
    <w:rsid w:val="003D3D41"/>
    <w:rsid w:val="003D6D28"/>
    <w:rsid w:val="003D7C9B"/>
    <w:rsid w:val="003E3CEF"/>
    <w:rsid w:val="003E40B2"/>
    <w:rsid w:val="003E5639"/>
    <w:rsid w:val="003E59A5"/>
    <w:rsid w:val="003E615E"/>
    <w:rsid w:val="003E6529"/>
    <w:rsid w:val="003F0417"/>
    <w:rsid w:val="003F1A96"/>
    <w:rsid w:val="003F2228"/>
    <w:rsid w:val="003F4FB4"/>
    <w:rsid w:val="003F535D"/>
    <w:rsid w:val="003F5C43"/>
    <w:rsid w:val="003F67EA"/>
    <w:rsid w:val="00400E4B"/>
    <w:rsid w:val="004024FC"/>
    <w:rsid w:val="00402526"/>
    <w:rsid w:val="004035A6"/>
    <w:rsid w:val="0040361C"/>
    <w:rsid w:val="0040490E"/>
    <w:rsid w:val="0040496C"/>
    <w:rsid w:val="00405017"/>
    <w:rsid w:val="00405CF0"/>
    <w:rsid w:val="00406075"/>
    <w:rsid w:val="004060F4"/>
    <w:rsid w:val="004108D7"/>
    <w:rsid w:val="004127B5"/>
    <w:rsid w:val="00412952"/>
    <w:rsid w:val="004146D3"/>
    <w:rsid w:val="00414C97"/>
    <w:rsid w:val="00415023"/>
    <w:rsid w:val="00415200"/>
    <w:rsid w:val="004153E2"/>
    <w:rsid w:val="00415408"/>
    <w:rsid w:val="00415A68"/>
    <w:rsid w:val="004160FF"/>
    <w:rsid w:val="00417020"/>
    <w:rsid w:val="004171D8"/>
    <w:rsid w:val="004201B8"/>
    <w:rsid w:val="00420D03"/>
    <w:rsid w:val="00426A13"/>
    <w:rsid w:val="00427575"/>
    <w:rsid w:val="00427AFA"/>
    <w:rsid w:val="00430065"/>
    <w:rsid w:val="004324A0"/>
    <w:rsid w:val="00433392"/>
    <w:rsid w:val="00435114"/>
    <w:rsid w:val="00437919"/>
    <w:rsid w:val="00443A5A"/>
    <w:rsid w:val="00444C7D"/>
    <w:rsid w:val="00445339"/>
    <w:rsid w:val="00446759"/>
    <w:rsid w:val="004517AB"/>
    <w:rsid w:val="00451F48"/>
    <w:rsid w:val="00452465"/>
    <w:rsid w:val="004559AD"/>
    <w:rsid w:val="00455BF3"/>
    <w:rsid w:val="004564E3"/>
    <w:rsid w:val="00460338"/>
    <w:rsid w:val="00460531"/>
    <w:rsid w:val="004605F1"/>
    <w:rsid w:val="00464EF4"/>
    <w:rsid w:val="0046678E"/>
    <w:rsid w:val="00470315"/>
    <w:rsid w:val="00471336"/>
    <w:rsid w:val="00471C8E"/>
    <w:rsid w:val="00472121"/>
    <w:rsid w:val="00474116"/>
    <w:rsid w:val="004741E9"/>
    <w:rsid w:val="00477608"/>
    <w:rsid w:val="00481DF3"/>
    <w:rsid w:val="004820B2"/>
    <w:rsid w:val="00482548"/>
    <w:rsid w:val="0048293B"/>
    <w:rsid w:val="004836E6"/>
    <w:rsid w:val="00483853"/>
    <w:rsid w:val="004838A5"/>
    <w:rsid w:val="004838B5"/>
    <w:rsid w:val="0048440F"/>
    <w:rsid w:val="00484A45"/>
    <w:rsid w:val="00484C2C"/>
    <w:rsid w:val="00484FA8"/>
    <w:rsid w:val="0048686D"/>
    <w:rsid w:val="00490714"/>
    <w:rsid w:val="00491738"/>
    <w:rsid w:val="00491B4B"/>
    <w:rsid w:val="00491EF2"/>
    <w:rsid w:val="00493EB9"/>
    <w:rsid w:val="0049570D"/>
    <w:rsid w:val="004A012C"/>
    <w:rsid w:val="004A0D31"/>
    <w:rsid w:val="004A2147"/>
    <w:rsid w:val="004A22E4"/>
    <w:rsid w:val="004A2416"/>
    <w:rsid w:val="004A3359"/>
    <w:rsid w:val="004A3C07"/>
    <w:rsid w:val="004A3F8F"/>
    <w:rsid w:val="004A4DFD"/>
    <w:rsid w:val="004A604F"/>
    <w:rsid w:val="004B1211"/>
    <w:rsid w:val="004B36B5"/>
    <w:rsid w:val="004B3A50"/>
    <w:rsid w:val="004B3CF8"/>
    <w:rsid w:val="004B3E92"/>
    <w:rsid w:val="004B4A3F"/>
    <w:rsid w:val="004B4A52"/>
    <w:rsid w:val="004B60D0"/>
    <w:rsid w:val="004B7A86"/>
    <w:rsid w:val="004B7C91"/>
    <w:rsid w:val="004C2782"/>
    <w:rsid w:val="004C3447"/>
    <w:rsid w:val="004C34D7"/>
    <w:rsid w:val="004C491C"/>
    <w:rsid w:val="004C5B51"/>
    <w:rsid w:val="004D08AA"/>
    <w:rsid w:val="004D0DAC"/>
    <w:rsid w:val="004D3573"/>
    <w:rsid w:val="004D36AD"/>
    <w:rsid w:val="004D4FB8"/>
    <w:rsid w:val="004D5393"/>
    <w:rsid w:val="004E0BF8"/>
    <w:rsid w:val="004E10E5"/>
    <w:rsid w:val="004E1593"/>
    <w:rsid w:val="004E16E6"/>
    <w:rsid w:val="004E18C1"/>
    <w:rsid w:val="004E21FA"/>
    <w:rsid w:val="004E3C7B"/>
    <w:rsid w:val="004E46A4"/>
    <w:rsid w:val="004E485F"/>
    <w:rsid w:val="004E7076"/>
    <w:rsid w:val="004F0079"/>
    <w:rsid w:val="004F2C4A"/>
    <w:rsid w:val="004F36B4"/>
    <w:rsid w:val="004F5428"/>
    <w:rsid w:val="004F64B0"/>
    <w:rsid w:val="004F6D23"/>
    <w:rsid w:val="004F7D72"/>
    <w:rsid w:val="00500235"/>
    <w:rsid w:val="00500568"/>
    <w:rsid w:val="0050110C"/>
    <w:rsid w:val="00501F6F"/>
    <w:rsid w:val="0050306D"/>
    <w:rsid w:val="005038C7"/>
    <w:rsid w:val="00504D5B"/>
    <w:rsid w:val="00506B40"/>
    <w:rsid w:val="005072B9"/>
    <w:rsid w:val="00507A34"/>
    <w:rsid w:val="005127B8"/>
    <w:rsid w:val="0051450B"/>
    <w:rsid w:val="00515C3E"/>
    <w:rsid w:val="005164C9"/>
    <w:rsid w:val="0052125F"/>
    <w:rsid w:val="005215B6"/>
    <w:rsid w:val="005218CB"/>
    <w:rsid w:val="00521C1A"/>
    <w:rsid w:val="00524B42"/>
    <w:rsid w:val="00527720"/>
    <w:rsid w:val="00533D50"/>
    <w:rsid w:val="005457D1"/>
    <w:rsid w:val="00546B1E"/>
    <w:rsid w:val="00550DC7"/>
    <w:rsid w:val="00551449"/>
    <w:rsid w:val="00551BB9"/>
    <w:rsid w:val="00552C13"/>
    <w:rsid w:val="005535EC"/>
    <w:rsid w:val="0055445E"/>
    <w:rsid w:val="005559DF"/>
    <w:rsid w:val="00556DCF"/>
    <w:rsid w:val="00557738"/>
    <w:rsid w:val="0056010F"/>
    <w:rsid w:val="00564108"/>
    <w:rsid w:val="00565AA3"/>
    <w:rsid w:val="005676E2"/>
    <w:rsid w:val="00570329"/>
    <w:rsid w:val="00570E65"/>
    <w:rsid w:val="005732EF"/>
    <w:rsid w:val="0057619C"/>
    <w:rsid w:val="005767A5"/>
    <w:rsid w:val="00580218"/>
    <w:rsid w:val="00581AF1"/>
    <w:rsid w:val="00582C81"/>
    <w:rsid w:val="00586F9D"/>
    <w:rsid w:val="00587208"/>
    <w:rsid w:val="00587220"/>
    <w:rsid w:val="005876C3"/>
    <w:rsid w:val="00590A10"/>
    <w:rsid w:val="00591C90"/>
    <w:rsid w:val="00592155"/>
    <w:rsid w:val="0059373B"/>
    <w:rsid w:val="00593D76"/>
    <w:rsid w:val="005943E5"/>
    <w:rsid w:val="00594B75"/>
    <w:rsid w:val="00594B9D"/>
    <w:rsid w:val="00594CB2"/>
    <w:rsid w:val="00596A26"/>
    <w:rsid w:val="005971C3"/>
    <w:rsid w:val="005A03AF"/>
    <w:rsid w:val="005A0ACF"/>
    <w:rsid w:val="005A6724"/>
    <w:rsid w:val="005B09D7"/>
    <w:rsid w:val="005B0CF3"/>
    <w:rsid w:val="005B0E7B"/>
    <w:rsid w:val="005B1707"/>
    <w:rsid w:val="005B33C3"/>
    <w:rsid w:val="005B3441"/>
    <w:rsid w:val="005B348D"/>
    <w:rsid w:val="005B4099"/>
    <w:rsid w:val="005B787A"/>
    <w:rsid w:val="005C1C88"/>
    <w:rsid w:val="005C1D4A"/>
    <w:rsid w:val="005C416C"/>
    <w:rsid w:val="005C4240"/>
    <w:rsid w:val="005C456C"/>
    <w:rsid w:val="005C4CF8"/>
    <w:rsid w:val="005C5201"/>
    <w:rsid w:val="005C58EC"/>
    <w:rsid w:val="005C7D29"/>
    <w:rsid w:val="005D0DB2"/>
    <w:rsid w:val="005D24FF"/>
    <w:rsid w:val="005D264A"/>
    <w:rsid w:val="005D55D9"/>
    <w:rsid w:val="005E1AFC"/>
    <w:rsid w:val="005E297C"/>
    <w:rsid w:val="005E3692"/>
    <w:rsid w:val="005E5BC4"/>
    <w:rsid w:val="005F1CC5"/>
    <w:rsid w:val="005F1EDF"/>
    <w:rsid w:val="005F3405"/>
    <w:rsid w:val="005F35DE"/>
    <w:rsid w:val="005F49CB"/>
    <w:rsid w:val="005F4B42"/>
    <w:rsid w:val="005F4DC4"/>
    <w:rsid w:val="005F6168"/>
    <w:rsid w:val="005F6202"/>
    <w:rsid w:val="005F64A7"/>
    <w:rsid w:val="005F67A8"/>
    <w:rsid w:val="00604CE2"/>
    <w:rsid w:val="00604CFC"/>
    <w:rsid w:val="00605874"/>
    <w:rsid w:val="00605DD0"/>
    <w:rsid w:val="0060733D"/>
    <w:rsid w:val="00607358"/>
    <w:rsid w:val="0060739F"/>
    <w:rsid w:val="006108FD"/>
    <w:rsid w:val="00611BE9"/>
    <w:rsid w:val="00612F85"/>
    <w:rsid w:val="006141AF"/>
    <w:rsid w:val="006171AE"/>
    <w:rsid w:val="00620300"/>
    <w:rsid w:val="0062387E"/>
    <w:rsid w:val="00624F95"/>
    <w:rsid w:val="006270E4"/>
    <w:rsid w:val="00630456"/>
    <w:rsid w:val="00630C4E"/>
    <w:rsid w:val="00630E41"/>
    <w:rsid w:val="00632934"/>
    <w:rsid w:val="00634567"/>
    <w:rsid w:val="0063478B"/>
    <w:rsid w:val="0063553E"/>
    <w:rsid w:val="0063607D"/>
    <w:rsid w:val="00637AA6"/>
    <w:rsid w:val="00637F5E"/>
    <w:rsid w:val="0064016C"/>
    <w:rsid w:val="00640374"/>
    <w:rsid w:val="006403E8"/>
    <w:rsid w:val="00641847"/>
    <w:rsid w:val="00641905"/>
    <w:rsid w:val="00642E6D"/>
    <w:rsid w:val="00643401"/>
    <w:rsid w:val="00645543"/>
    <w:rsid w:val="00652398"/>
    <w:rsid w:val="0065310D"/>
    <w:rsid w:val="00654E03"/>
    <w:rsid w:val="0065526D"/>
    <w:rsid w:val="00655D83"/>
    <w:rsid w:val="0066105D"/>
    <w:rsid w:val="006627F3"/>
    <w:rsid w:val="006644B0"/>
    <w:rsid w:val="00666E72"/>
    <w:rsid w:val="006674A0"/>
    <w:rsid w:val="00671DDB"/>
    <w:rsid w:val="006726B1"/>
    <w:rsid w:val="0067348F"/>
    <w:rsid w:val="006734CF"/>
    <w:rsid w:val="00673ECE"/>
    <w:rsid w:val="00674CBA"/>
    <w:rsid w:val="00674E01"/>
    <w:rsid w:val="00675DC1"/>
    <w:rsid w:val="00675F9A"/>
    <w:rsid w:val="00677517"/>
    <w:rsid w:val="006802E3"/>
    <w:rsid w:val="00680DAC"/>
    <w:rsid w:val="00680F93"/>
    <w:rsid w:val="00681D67"/>
    <w:rsid w:val="006838FE"/>
    <w:rsid w:val="006851C6"/>
    <w:rsid w:val="00685CE7"/>
    <w:rsid w:val="00686B75"/>
    <w:rsid w:val="00686F56"/>
    <w:rsid w:val="00692752"/>
    <w:rsid w:val="0069312A"/>
    <w:rsid w:val="00694812"/>
    <w:rsid w:val="0069704B"/>
    <w:rsid w:val="006A0FCF"/>
    <w:rsid w:val="006A2085"/>
    <w:rsid w:val="006A4D3F"/>
    <w:rsid w:val="006A4E18"/>
    <w:rsid w:val="006A5635"/>
    <w:rsid w:val="006A5882"/>
    <w:rsid w:val="006B1978"/>
    <w:rsid w:val="006B3508"/>
    <w:rsid w:val="006B3ACF"/>
    <w:rsid w:val="006B5537"/>
    <w:rsid w:val="006B6167"/>
    <w:rsid w:val="006B6684"/>
    <w:rsid w:val="006B74E8"/>
    <w:rsid w:val="006B7A00"/>
    <w:rsid w:val="006C1D77"/>
    <w:rsid w:val="006C2065"/>
    <w:rsid w:val="006C37D0"/>
    <w:rsid w:val="006C41E5"/>
    <w:rsid w:val="006C4B73"/>
    <w:rsid w:val="006C4D64"/>
    <w:rsid w:val="006C66E5"/>
    <w:rsid w:val="006C6B65"/>
    <w:rsid w:val="006C723B"/>
    <w:rsid w:val="006C76CB"/>
    <w:rsid w:val="006C7A88"/>
    <w:rsid w:val="006C7F3F"/>
    <w:rsid w:val="006D2857"/>
    <w:rsid w:val="006D2D62"/>
    <w:rsid w:val="006D2D82"/>
    <w:rsid w:val="006D496F"/>
    <w:rsid w:val="006D4C69"/>
    <w:rsid w:val="006D7D86"/>
    <w:rsid w:val="006E0BF5"/>
    <w:rsid w:val="006E1EF6"/>
    <w:rsid w:val="006E20A4"/>
    <w:rsid w:val="006E3439"/>
    <w:rsid w:val="006E346E"/>
    <w:rsid w:val="006E6146"/>
    <w:rsid w:val="006E7117"/>
    <w:rsid w:val="006F0301"/>
    <w:rsid w:val="006F1D0C"/>
    <w:rsid w:val="006F1E8B"/>
    <w:rsid w:val="006F3B26"/>
    <w:rsid w:val="006F3D1B"/>
    <w:rsid w:val="006F3D98"/>
    <w:rsid w:val="006F3DCF"/>
    <w:rsid w:val="006F3FED"/>
    <w:rsid w:val="006F5898"/>
    <w:rsid w:val="00700812"/>
    <w:rsid w:val="00700B01"/>
    <w:rsid w:val="00700D52"/>
    <w:rsid w:val="007010F1"/>
    <w:rsid w:val="00701EC0"/>
    <w:rsid w:val="00702698"/>
    <w:rsid w:val="00702963"/>
    <w:rsid w:val="00704FD4"/>
    <w:rsid w:val="00705741"/>
    <w:rsid w:val="00705854"/>
    <w:rsid w:val="00705E5D"/>
    <w:rsid w:val="007064A9"/>
    <w:rsid w:val="007066C5"/>
    <w:rsid w:val="007069BC"/>
    <w:rsid w:val="00706B43"/>
    <w:rsid w:val="007117CF"/>
    <w:rsid w:val="0071251C"/>
    <w:rsid w:val="00712770"/>
    <w:rsid w:val="00713191"/>
    <w:rsid w:val="007131D1"/>
    <w:rsid w:val="007131FD"/>
    <w:rsid w:val="007151F4"/>
    <w:rsid w:val="00716D98"/>
    <w:rsid w:val="00720D02"/>
    <w:rsid w:val="00720DAB"/>
    <w:rsid w:val="00720EC7"/>
    <w:rsid w:val="007221DA"/>
    <w:rsid w:val="00723CFB"/>
    <w:rsid w:val="00724910"/>
    <w:rsid w:val="00725744"/>
    <w:rsid w:val="0072600F"/>
    <w:rsid w:val="007300BA"/>
    <w:rsid w:val="00730A53"/>
    <w:rsid w:val="00731CE7"/>
    <w:rsid w:val="007327B5"/>
    <w:rsid w:val="00732F7B"/>
    <w:rsid w:val="00733F11"/>
    <w:rsid w:val="0073489E"/>
    <w:rsid w:val="00734C2F"/>
    <w:rsid w:val="0073535E"/>
    <w:rsid w:val="00736DB1"/>
    <w:rsid w:val="00737ADF"/>
    <w:rsid w:val="00741BF9"/>
    <w:rsid w:val="0074228E"/>
    <w:rsid w:val="00742514"/>
    <w:rsid w:val="0074337A"/>
    <w:rsid w:val="00744761"/>
    <w:rsid w:val="00745426"/>
    <w:rsid w:val="00751558"/>
    <w:rsid w:val="007543EC"/>
    <w:rsid w:val="00754FB6"/>
    <w:rsid w:val="00757265"/>
    <w:rsid w:val="007601E5"/>
    <w:rsid w:val="00762373"/>
    <w:rsid w:val="00762E47"/>
    <w:rsid w:val="007637A1"/>
    <w:rsid w:val="00764D67"/>
    <w:rsid w:val="0076623C"/>
    <w:rsid w:val="007663D2"/>
    <w:rsid w:val="007678D9"/>
    <w:rsid w:val="00776174"/>
    <w:rsid w:val="00776D1C"/>
    <w:rsid w:val="0078293F"/>
    <w:rsid w:val="007870E6"/>
    <w:rsid w:val="00787BE8"/>
    <w:rsid w:val="00790368"/>
    <w:rsid w:val="007934A1"/>
    <w:rsid w:val="00794ADC"/>
    <w:rsid w:val="0079526E"/>
    <w:rsid w:val="00797333"/>
    <w:rsid w:val="007976E0"/>
    <w:rsid w:val="00797763"/>
    <w:rsid w:val="007A1D35"/>
    <w:rsid w:val="007A36F1"/>
    <w:rsid w:val="007A5552"/>
    <w:rsid w:val="007A56CF"/>
    <w:rsid w:val="007A7DD4"/>
    <w:rsid w:val="007B16A9"/>
    <w:rsid w:val="007B191B"/>
    <w:rsid w:val="007B2210"/>
    <w:rsid w:val="007B28D6"/>
    <w:rsid w:val="007B42CC"/>
    <w:rsid w:val="007B4A9B"/>
    <w:rsid w:val="007B561D"/>
    <w:rsid w:val="007B5836"/>
    <w:rsid w:val="007B63F2"/>
    <w:rsid w:val="007C03FD"/>
    <w:rsid w:val="007C2C58"/>
    <w:rsid w:val="007C2E41"/>
    <w:rsid w:val="007C32D6"/>
    <w:rsid w:val="007D036A"/>
    <w:rsid w:val="007D0850"/>
    <w:rsid w:val="007D10D8"/>
    <w:rsid w:val="007D1835"/>
    <w:rsid w:val="007D2373"/>
    <w:rsid w:val="007D43A6"/>
    <w:rsid w:val="007E0669"/>
    <w:rsid w:val="007E22FF"/>
    <w:rsid w:val="007E293C"/>
    <w:rsid w:val="007E3C47"/>
    <w:rsid w:val="007E45C3"/>
    <w:rsid w:val="007E4B75"/>
    <w:rsid w:val="007E59B8"/>
    <w:rsid w:val="007E637B"/>
    <w:rsid w:val="007E696D"/>
    <w:rsid w:val="007F19FB"/>
    <w:rsid w:val="007F1B77"/>
    <w:rsid w:val="007F33F7"/>
    <w:rsid w:val="007F46AF"/>
    <w:rsid w:val="007F5482"/>
    <w:rsid w:val="007F7A08"/>
    <w:rsid w:val="00800CEE"/>
    <w:rsid w:val="008018CE"/>
    <w:rsid w:val="00804588"/>
    <w:rsid w:val="00804A16"/>
    <w:rsid w:val="008052B2"/>
    <w:rsid w:val="00805C66"/>
    <w:rsid w:val="0080667E"/>
    <w:rsid w:val="0080711C"/>
    <w:rsid w:val="00807214"/>
    <w:rsid w:val="00810DCE"/>
    <w:rsid w:val="00811356"/>
    <w:rsid w:val="0081267E"/>
    <w:rsid w:val="008127A8"/>
    <w:rsid w:val="008129FB"/>
    <w:rsid w:val="00812C9E"/>
    <w:rsid w:val="008135D7"/>
    <w:rsid w:val="00813B0C"/>
    <w:rsid w:val="00814647"/>
    <w:rsid w:val="0081595A"/>
    <w:rsid w:val="00815D4E"/>
    <w:rsid w:val="008161E5"/>
    <w:rsid w:val="00816A90"/>
    <w:rsid w:val="00820BE1"/>
    <w:rsid w:val="008216BC"/>
    <w:rsid w:val="00822E5B"/>
    <w:rsid w:val="008236A4"/>
    <w:rsid w:val="00823A42"/>
    <w:rsid w:val="00825240"/>
    <w:rsid w:val="00825A45"/>
    <w:rsid w:val="008273EE"/>
    <w:rsid w:val="00827BD6"/>
    <w:rsid w:val="00827EB4"/>
    <w:rsid w:val="008304AB"/>
    <w:rsid w:val="00830C5D"/>
    <w:rsid w:val="00834FA8"/>
    <w:rsid w:val="008371BF"/>
    <w:rsid w:val="008417C8"/>
    <w:rsid w:val="00841F9A"/>
    <w:rsid w:val="00842BD6"/>
    <w:rsid w:val="00845093"/>
    <w:rsid w:val="00845A48"/>
    <w:rsid w:val="0084677A"/>
    <w:rsid w:val="00847458"/>
    <w:rsid w:val="00851A4F"/>
    <w:rsid w:val="00852AB8"/>
    <w:rsid w:val="00853280"/>
    <w:rsid w:val="008537D7"/>
    <w:rsid w:val="00854D09"/>
    <w:rsid w:val="00855F37"/>
    <w:rsid w:val="00856281"/>
    <w:rsid w:val="00861C2E"/>
    <w:rsid w:val="00861D85"/>
    <w:rsid w:val="00863ECC"/>
    <w:rsid w:val="008640B6"/>
    <w:rsid w:val="00864B3A"/>
    <w:rsid w:val="00867C93"/>
    <w:rsid w:val="00867CFC"/>
    <w:rsid w:val="008706E9"/>
    <w:rsid w:val="00871862"/>
    <w:rsid w:val="0087209B"/>
    <w:rsid w:val="0087265A"/>
    <w:rsid w:val="00873692"/>
    <w:rsid w:val="00873C2F"/>
    <w:rsid w:val="0087414D"/>
    <w:rsid w:val="008750DE"/>
    <w:rsid w:val="0087664F"/>
    <w:rsid w:val="00876F31"/>
    <w:rsid w:val="00877972"/>
    <w:rsid w:val="00880786"/>
    <w:rsid w:val="00880FAD"/>
    <w:rsid w:val="00881076"/>
    <w:rsid w:val="00881F60"/>
    <w:rsid w:val="008821D7"/>
    <w:rsid w:val="008846DD"/>
    <w:rsid w:val="00885817"/>
    <w:rsid w:val="0088671F"/>
    <w:rsid w:val="00887093"/>
    <w:rsid w:val="00890643"/>
    <w:rsid w:val="008947E8"/>
    <w:rsid w:val="008966E6"/>
    <w:rsid w:val="00897FBF"/>
    <w:rsid w:val="008A0CB3"/>
    <w:rsid w:val="008A0D73"/>
    <w:rsid w:val="008A1716"/>
    <w:rsid w:val="008A362E"/>
    <w:rsid w:val="008A3DF3"/>
    <w:rsid w:val="008A4B9E"/>
    <w:rsid w:val="008A5729"/>
    <w:rsid w:val="008A5EE8"/>
    <w:rsid w:val="008A729A"/>
    <w:rsid w:val="008A739A"/>
    <w:rsid w:val="008B19AF"/>
    <w:rsid w:val="008B1D35"/>
    <w:rsid w:val="008B4181"/>
    <w:rsid w:val="008B4ACF"/>
    <w:rsid w:val="008B5582"/>
    <w:rsid w:val="008B6720"/>
    <w:rsid w:val="008B6BE8"/>
    <w:rsid w:val="008B6F73"/>
    <w:rsid w:val="008B77FD"/>
    <w:rsid w:val="008C01D0"/>
    <w:rsid w:val="008C0A56"/>
    <w:rsid w:val="008C1E1F"/>
    <w:rsid w:val="008C2866"/>
    <w:rsid w:val="008C38A7"/>
    <w:rsid w:val="008C3F4C"/>
    <w:rsid w:val="008C5FAB"/>
    <w:rsid w:val="008C6184"/>
    <w:rsid w:val="008C66C0"/>
    <w:rsid w:val="008C6B7D"/>
    <w:rsid w:val="008C7F6C"/>
    <w:rsid w:val="008D0B92"/>
    <w:rsid w:val="008D0C09"/>
    <w:rsid w:val="008D18D3"/>
    <w:rsid w:val="008D25CB"/>
    <w:rsid w:val="008D2997"/>
    <w:rsid w:val="008D3F3A"/>
    <w:rsid w:val="008D48AE"/>
    <w:rsid w:val="008D4EA6"/>
    <w:rsid w:val="008D505C"/>
    <w:rsid w:val="008E300F"/>
    <w:rsid w:val="008E35B0"/>
    <w:rsid w:val="008E429F"/>
    <w:rsid w:val="008E51B0"/>
    <w:rsid w:val="008E530A"/>
    <w:rsid w:val="008E72F9"/>
    <w:rsid w:val="008F0193"/>
    <w:rsid w:val="008F0530"/>
    <w:rsid w:val="008F1113"/>
    <w:rsid w:val="008F2CD0"/>
    <w:rsid w:val="008F523A"/>
    <w:rsid w:val="008F7411"/>
    <w:rsid w:val="008F787C"/>
    <w:rsid w:val="00903F12"/>
    <w:rsid w:val="009042EB"/>
    <w:rsid w:val="00906D88"/>
    <w:rsid w:val="009075EF"/>
    <w:rsid w:val="00910AF7"/>
    <w:rsid w:val="00912181"/>
    <w:rsid w:val="009123BF"/>
    <w:rsid w:val="009130D3"/>
    <w:rsid w:val="00915075"/>
    <w:rsid w:val="009157CB"/>
    <w:rsid w:val="009167ED"/>
    <w:rsid w:val="0091714C"/>
    <w:rsid w:val="00917682"/>
    <w:rsid w:val="00920B87"/>
    <w:rsid w:val="0092190C"/>
    <w:rsid w:val="00921A63"/>
    <w:rsid w:val="00922237"/>
    <w:rsid w:val="009225A1"/>
    <w:rsid w:val="009225C7"/>
    <w:rsid w:val="009225D3"/>
    <w:rsid w:val="009243DC"/>
    <w:rsid w:val="00924465"/>
    <w:rsid w:val="00924F46"/>
    <w:rsid w:val="00925196"/>
    <w:rsid w:val="00925D06"/>
    <w:rsid w:val="009279D9"/>
    <w:rsid w:val="00927E81"/>
    <w:rsid w:val="00935119"/>
    <w:rsid w:val="00935208"/>
    <w:rsid w:val="0093709A"/>
    <w:rsid w:val="0093766C"/>
    <w:rsid w:val="009407D3"/>
    <w:rsid w:val="00941B15"/>
    <w:rsid w:val="0094280B"/>
    <w:rsid w:val="00942873"/>
    <w:rsid w:val="009430DF"/>
    <w:rsid w:val="00943593"/>
    <w:rsid w:val="00943AA5"/>
    <w:rsid w:val="00950158"/>
    <w:rsid w:val="009506B5"/>
    <w:rsid w:val="00950F44"/>
    <w:rsid w:val="0095126E"/>
    <w:rsid w:val="00951FBF"/>
    <w:rsid w:val="0095216C"/>
    <w:rsid w:val="00953FBD"/>
    <w:rsid w:val="00955B8E"/>
    <w:rsid w:val="009568F8"/>
    <w:rsid w:val="00956A76"/>
    <w:rsid w:val="00960AF2"/>
    <w:rsid w:val="009616C6"/>
    <w:rsid w:val="00962940"/>
    <w:rsid w:val="00962E26"/>
    <w:rsid w:val="009633F2"/>
    <w:rsid w:val="00967A91"/>
    <w:rsid w:val="009705C5"/>
    <w:rsid w:val="009718AA"/>
    <w:rsid w:val="00973C7C"/>
    <w:rsid w:val="009762C3"/>
    <w:rsid w:val="00976705"/>
    <w:rsid w:val="00977A80"/>
    <w:rsid w:val="00980D92"/>
    <w:rsid w:val="00981054"/>
    <w:rsid w:val="00982297"/>
    <w:rsid w:val="00982A69"/>
    <w:rsid w:val="0098342B"/>
    <w:rsid w:val="0098580F"/>
    <w:rsid w:val="009868EF"/>
    <w:rsid w:val="0098708A"/>
    <w:rsid w:val="009873D5"/>
    <w:rsid w:val="00987A1C"/>
    <w:rsid w:val="00987A80"/>
    <w:rsid w:val="00990C7F"/>
    <w:rsid w:val="00993EF5"/>
    <w:rsid w:val="0099563B"/>
    <w:rsid w:val="009A0703"/>
    <w:rsid w:val="009A096A"/>
    <w:rsid w:val="009A0BF8"/>
    <w:rsid w:val="009A0FB7"/>
    <w:rsid w:val="009A18EA"/>
    <w:rsid w:val="009A4431"/>
    <w:rsid w:val="009A48BA"/>
    <w:rsid w:val="009A49A1"/>
    <w:rsid w:val="009A4C54"/>
    <w:rsid w:val="009A4F74"/>
    <w:rsid w:val="009A6220"/>
    <w:rsid w:val="009B0173"/>
    <w:rsid w:val="009B092E"/>
    <w:rsid w:val="009B2341"/>
    <w:rsid w:val="009B4018"/>
    <w:rsid w:val="009B47C5"/>
    <w:rsid w:val="009C00B9"/>
    <w:rsid w:val="009C0BFE"/>
    <w:rsid w:val="009C1C06"/>
    <w:rsid w:val="009C2DF5"/>
    <w:rsid w:val="009C3629"/>
    <w:rsid w:val="009C54EF"/>
    <w:rsid w:val="009C55D8"/>
    <w:rsid w:val="009C58D0"/>
    <w:rsid w:val="009C7FE5"/>
    <w:rsid w:val="009D0D66"/>
    <w:rsid w:val="009D19C4"/>
    <w:rsid w:val="009D1DDD"/>
    <w:rsid w:val="009D26DB"/>
    <w:rsid w:val="009D6F3D"/>
    <w:rsid w:val="009D7594"/>
    <w:rsid w:val="009E04DE"/>
    <w:rsid w:val="009E1882"/>
    <w:rsid w:val="009E696A"/>
    <w:rsid w:val="009E775F"/>
    <w:rsid w:val="009F068A"/>
    <w:rsid w:val="009F192E"/>
    <w:rsid w:val="009F1D8C"/>
    <w:rsid w:val="009F3405"/>
    <w:rsid w:val="009F56D4"/>
    <w:rsid w:val="009F68BC"/>
    <w:rsid w:val="00A0084D"/>
    <w:rsid w:val="00A00BA0"/>
    <w:rsid w:val="00A03876"/>
    <w:rsid w:val="00A0400E"/>
    <w:rsid w:val="00A04067"/>
    <w:rsid w:val="00A041BF"/>
    <w:rsid w:val="00A05731"/>
    <w:rsid w:val="00A10B46"/>
    <w:rsid w:val="00A10E1D"/>
    <w:rsid w:val="00A117D1"/>
    <w:rsid w:val="00A11C8D"/>
    <w:rsid w:val="00A122CB"/>
    <w:rsid w:val="00A13C4D"/>
    <w:rsid w:val="00A14707"/>
    <w:rsid w:val="00A15BC2"/>
    <w:rsid w:val="00A16D67"/>
    <w:rsid w:val="00A16DFD"/>
    <w:rsid w:val="00A177A3"/>
    <w:rsid w:val="00A3019D"/>
    <w:rsid w:val="00A30AC4"/>
    <w:rsid w:val="00A30BD8"/>
    <w:rsid w:val="00A35336"/>
    <w:rsid w:val="00A36336"/>
    <w:rsid w:val="00A36505"/>
    <w:rsid w:val="00A366BC"/>
    <w:rsid w:val="00A36835"/>
    <w:rsid w:val="00A36870"/>
    <w:rsid w:val="00A40931"/>
    <w:rsid w:val="00A41307"/>
    <w:rsid w:val="00A4434A"/>
    <w:rsid w:val="00A44FB7"/>
    <w:rsid w:val="00A45A16"/>
    <w:rsid w:val="00A47203"/>
    <w:rsid w:val="00A519BE"/>
    <w:rsid w:val="00A5345F"/>
    <w:rsid w:val="00A53A4A"/>
    <w:rsid w:val="00A5539B"/>
    <w:rsid w:val="00A565C0"/>
    <w:rsid w:val="00A60158"/>
    <w:rsid w:val="00A6172C"/>
    <w:rsid w:val="00A61FC3"/>
    <w:rsid w:val="00A630CA"/>
    <w:rsid w:val="00A6321A"/>
    <w:rsid w:val="00A632FD"/>
    <w:rsid w:val="00A64DBA"/>
    <w:rsid w:val="00A655B3"/>
    <w:rsid w:val="00A65694"/>
    <w:rsid w:val="00A65888"/>
    <w:rsid w:val="00A70E10"/>
    <w:rsid w:val="00A76AEA"/>
    <w:rsid w:val="00A774CA"/>
    <w:rsid w:val="00A77C01"/>
    <w:rsid w:val="00A80774"/>
    <w:rsid w:val="00A85613"/>
    <w:rsid w:val="00A859D4"/>
    <w:rsid w:val="00A861DB"/>
    <w:rsid w:val="00A86EA7"/>
    <w:rsid w:val="00A92420"/>
    <w:rsid w:val="00A92D2B"/>
    <w:rsid w:val="00A94387"/>
    <w:rsid w:val="00A9675B"/>
    <w:rsid w:val="00A969C4"/>
    <w:rsid w:val="00A971D7"/>
    <w:rsid w:val="00AA0033"/>
    <w:rsid w:val="00AA004B"/>
    <w:rsid w:val="00AA222F"/>
    <w:rsid w:val="00AA2433"/>
    <w:rsid w:val="00AA263E"/>
    <w:rsid w:val="00AA2E17"/>
    <w:rsid w:val="00AA2EFE"/>
    <w:rsid w:val="00AA32CA"/>
    <w:rsid w:val="00AA32CD"/>
    <w:rsid w:val="00AA38E8"/>
    <w:rsid w:val="00AA4B55"/>
    <w:rsid w:val="00AA58C4"/>
    <w:rsid w:val="00AA5E21"/>
    <w:rsid w:val="00AA6646"/>
    <w:rsid w:val="00AA680A"/>
    <w:rsid w:val="00AA7C90"/>
    <w:rsid w:val="00AB1D34"/>
    <w:rsid w:val="00AB2A01"/>
    <w:rsid w:val="00AB2B60"/>
    <w:rsid w:val="00AB3A2B"/>
    <w:rsid w:val="00AB43DE"/>
    <w:rsid w:val="00AB686D"/>
    <w:rsid w:val="00AB6BCD"/>
    <w:rsid w:val="00AB71B7"/>
    <w:rsid w:val="00AB77D1"/>
    <w:rsid w:val="00AB789C"/>
    <w:rsid w:val="00AC1CF7"/>
    <w:rsid w:val="00AC21B1"/>
    <w:rsid w:val="00AC2C94"/>
    <w:rsid w:val="00AC5D7A"/>
    <w:rsid w:val="00AC6FDE"/>
    <w:rsid w:val="00AC7C35"/>
    <w:rsid w:val="00AC7EA6"/>
    <w:rsid w:val="00AD0674"/>
    <w:rsid w:val="00AD28F9"/>
    <w:rsid w:val="00AD2C61"/>
    <w:rsid w:val="00AD37F5"/>
    <w:rsid w:val="00AD4251"/>
    <w:rsid w:val="00AD6B4E"/>
    <w:rsid w:val="00AD7890"/>
    <w:rsid w:val="00AD7900"/>
    <w:rsid w:val="00AD7CE5"/>
    <w:rsid w:val="00AE132C"/>
    <w:rsid w:val="00AE22AD"/>
    <w:rsid w:val="00AE29FD"/>
    <w:rsid w:val="00AE2AAD"/>
    <w:rsid w:val="00AE4D13"/>
    <w:rsid w:val="00AE5B8B"/>
    <w:rsid w:val="00AE6E36"/>
    <w:rsid w:val="00AE79B4"/>
    <w:rsid w:val="00AE7C71"/>
    <w:rsid w:val="00AE7DBD"/>
    <w:rsid w:val="00AF1378"/>
    <w:rsid w:val="00AF1506"/>
    <w:rsid w:val="00AF27C9"/>
    <w:rsid w:val="00AF4512"/>
    <w:rsid w:val="00AF4BEA"/>
    <w:rsid w:val="00AF4FF7"/>
    <w:rsid w:val="00AF50AB"/>
    <w:rsid w:val="00AF753C"/>
    <w:rsid w:val="00AF7F1B"/>
    <w:rsid w:val="00AF7F42"/>
    <w:rsid w:val="00B005DC"/>
    <w:rsid w:val="00B00C9C"/>
    <w:rsid w:val="00B01077"/>
    <w:rsid w:val="00B01180"/>
    <w:rsid w:val="00B02483"/>
    <w:rsid w:val="00B051C3"/>
    <w:rsid w:val="00B0601D"/>
    <w:rsid w:val="00B062B7"/>
    <w:rsid w:val="00B10736"/>
    <w:rsid w:val="00B108C4"/>
    <w:rsid w:val="00B1278A"/>
    <w:rsid w:val="00B12ABE"/>
    <w:rsid w:val="00B142A8"/>
    <w:rsid w:val="00B14E92"/>
    <w:rsid w:val="00B15598"/>
    <w:rsid w:val="00B15601"/>
    <w:rsid w:val="00B16464"/>
    <w:rsid w:val="00B1716A"/>
    <w:rsid w:val="00B177F8"/>
    <w:rsid w:val="00B20B88"/>
    <w:rsid w:val="00B21B53"/>
    <w:rsid w:val="00B230DF"/>
    <w:rsid w:val="00B234CB"/>
    <w:rsid w:val="00B2378B"/>
    <w:rsid w:val="00B25BAD"/>
    <w:rsid w:val="00B26ABB"/>
    <w:rsid w:val="00B26CA2"/>
    <w:rsid w:val="00B308F0"/>
    <w:rsid w:val="00B350AB"/>
    <w:rsid w:val="00B3519E"/>
    <w:rsid w:val="00B357CA"/>
    <w:rsid w:val="00B35995"/>
    <w:rsid w:val="00B35E86"/>
    <w:rsid w:val="00B36DBF"/>
    <w:rsid w:val="00B3700D"/>
    <w:rsid w:val="00B37084"/>
    <w:rsid w:val="00B372EF"/>
    <w:rsid w:val="00B478F9"/>
    <w:rsid w:val="00B50261"/>
    <w:rsid w:val="00B509F2"/>
    <w:rsid w:val="00B51CF6"/>
    <w:rsid w:val="00B55C50"/>
    <w:rsid w:val="00B57136"/>
    <w:rsid w:val="00B6089C"/>
    <w:rsid w:val="00B61B38"/>
    <w:rsid w:val="00B62EB5"/>
    <w:rsid w:val="00B64106"/>
    <w:rsid w:val="00B649CF"/>
    <w:rsid w:val="00B67D27"/>
    <w:rsid w:val="00B73FE8"/>
    <w:rsid w:val="00B74B74"/>
    <w:rsid w:val="00B77420"/>
    <w:rsid w:val="00B77EE1"/>
    <w:rsid w:val="00B81705"/>
    <w:rsid w:val="00B8243D"/>
    <w:rsid w:val="00B83109"/>
    <w:rsid w:val="00B83723"/>
    <w:rsid w:val="00B84CBB"/>
    <w:rsid w:val="00B84D1E"/>
    <w:rsid w:val="00B878AF"/>
    <w:rsid w:val="00B91076"/>
    <w:rsid w:val="00B91633"/>
    <w:rsid w:val="00B91F92"/>
    <w:rsid w:val="00B9584E"/>
    <w:rsid w:val="00B9684E"/>
    <w:rsid w:val="00B97C90"/>
    <w:rsid w:val="00BA10E4"/>
    <w:rsid w:val="00BA476C"/>
    <w:rsid w:val="00BA4FA2"/>
    <w:rsid w:val="00BA51F0"/>
    <w:rsid w:val="00BA586E"/>
    <w:rsid w:val="00BA6A6F"/>
    <w:rsid w:val="00BA6AD1"/>
    <w:rsid w:val="00BA6DA5"/>
    <w:rsid w:val="00BA7CAD"/>
    <w:rsid w:val="00BB1205"/>
    <w:rsid w:val="00BB2DDF"/>
    <w:rsid w:val="00BB482E"/>
    <w:rsid w:val="00BB4C3F"/>
    <w:rsid w:val="00BB57A0"/>
    <w:rsid w:val="00BB5BC9"/>
    <w:rsid w:val="00BB6F5D"/>
    <w:rsid w:val="00BB7206"/>
    <w:rsid w:val="00BC1347"/>
    <w:rsid w:val="00BC414D"/>
    <w:rsid w:val="00BC585E"/>
    <w:rsid w:val="00BC61BD"/>
    <w:rsid w:val="00BD3297"/>
    <w:rsid w:val="00BD5620"/>
    <w:rsid w:val="00BD59BB"/>
    <w:rsid w:val="00BD5BA7"/>
    <w:rsid w:val="00BD69AC"/>
    <w:rsid w:val="00BD6DD3"/>
    <w:rsid w:val="00BE0555"/>
    <w:rsid w:val="00BE0FA7"/>
    <w:rsid w:val="00BE25B3"/>
    <w:rsid w:val="00BE2DD7"/>
    <w:rsid w:val="00BE4A4E"/>
    <w:rsid w:val="00BE61F7"/>
    <w:rsid w:val="00BE6489"/>
    <w:rsid w:val="00BE6730"/>
    <w:rsid w:val="00BE6B70"/>
    <w:rsid w:val="00BE6BBD"/>
    <w:rsid w:val="00BE6C4F"/>
    <w:rsid w:val="00BE6F26"/>
    <w:rsid w:val="00BF03BC"/>
    <w:rsid w:val="00BF1134"/>
    <w:rsid w:val="00BF21E9"/>
    <w:rsid w:val="00BF6CF1"/>
    <w:rsid w:val="00C00717"/>
    <w:rsid w:val="00C02A21"/>
    <w:rsid w:val="00C05737"/>
    <w:rsid w:val="00C10A4C"/>
    <w:rsid w:val="00C1397C"/>
    <w:rsid w:val="00C145C2"/>
    <w:rsid w:val="00C14E73"/>
    <w:rsid w:val="00C1669A"/>
    <w:rsid w:val="00C174A1"/>
    <w:rsid w:val="00C17654"/>
    <w:rsid w:val="00C179F5"/>
    <w:rsid w:val="00C2221F"/>
    <w:rsid w:val="00C23B66"/>
    <w:rsid w:val="00C23E40"/>
    <w:rsid w:val="00C2415F"/>
    <w:rsid w:val="00C2511B"/>
    <w:rsid w:val="00C25526"/>
    <w:rsid w:val="00C258F0"/>
    <w:rsid w:val="00C25EB6"/>
    <w:rsid w:val="00C2695F"/>
    <w:rsid w:val="00C26C79"/>
    <w:rsid w:val="00C27BD4"/>
    <w:rsid w:val="00C33681"/>
    <w:rsid w:val="00C33A7A"/>
    <w:rsid w:val="00C33EBF"/>
    <w:rsid w:val="00C414B0"/>
    <w:rsid w:val="00C41624"/>
    <w:rsid w:val="00C420E3"/>
    <w:rsid w:val="00C422B5"/>
    <w:rsid w:val="00C433C4"/>
    <w:rsid w:val="00C44C64"/>
    <w:rsid w:val="00C454AE"/>
    <w:rsid w:val="00C500EF"/>
    <w:rsid w:val="00C511F5"/>
    <w:rsid w:val="00C51D59"/>
    <w:rsid w:val="00C52E1C"/>
    <w:rsid w:val="00C53954"/>
    <w:rsid w:val="00C53FAA"/>
    <w:rsid w:val="00C544FA"/>
    <w:rsid w:val="00C56B86"/>
    <w:rsid w:val="00C57210"/>
    <w:rsid w:val="00C602CC"/>
    <w:rsid w:val="00C62763"/>
    <w:rsid w:val="00C72669"/>
    <w:rsid w:val="00C7741C"/>
    <w:rsid w:val="00C77C28"/>
    <w:rsid w:val="00C80542"/>
    <w:rsid w:val="00C80E18"/>
    <w:rsid w:val="00C824CE"/>
    <w:rsid w:val="00C84296"/>
    <w:rsid w:val="00C84505"/>
    <w:rsid w:val="00C84AC2"/>
    <w:rsid w:val="00C86A41"/>
    <w:rsid w:val="00C87380"/>
    <w:rsid w:val="00C90D4E"/>
    <w:rsid w:val="00C930DE"/>
    <w:rsid w:val="00C93305"/>
    <w:rsid w:val="00C9363D"/>
    <w:rsid w:val="00C93C5A"/>
    <w:rsid w:val="00C9530D"/>
    <w:rsid w:val="00C959D8"/>
    <w:rsid w:val="00C96BF4"/>
    <w:rsid w:val="00C972D0"/>
    <w:rsid w:val="00CA36F8"/>
    <w:rsid w:val="00CA43F4"/>
    <w:rsid w:val="00CA68B0"/>
    <w:rsid w:val="00CA7FD0"/>
    <w:rsid w:val="00CB07C7"/>
    <w:rsid w:val="00CB2A9E"/>
    <w:rsid w:val="00CB448D"/>
    <w:rsid w:val="00CB497C"/>
    <w:rsid w:val="00CB5771"/>
    <w:rsid w:val="00CB6666"/>
    <w:rsid w:val="00CB7A69"/>
    <w:rsid w:val="00CC13E7"/>
    <w:rsid w:val="00CC1E96"/>
    <w:rsid w:val="00CC421A"/>
    <w:rsid w:val="00CC494D"/>
    <w:rsid w:val="00CC6444"/>
    <w:rsid w:val="00CC7B10"/>
    <w:rsid w:val="00CC7E4A"/>
    <w:rsid w:val="00CD1D40"/>
    <w:rsid w:val="00CD2341"/>
    <w:rsid w:val="00CD326A"/>
    <w:rsid w:val="00CD4DA5"/>
    <w:rsid w:val="00CD667B"/>
    <w:rsid w:val="00CD6D1A"/>
    <w:rsid w:val="00CD7CA9"/>
    <w:rsid w:val="00CE04CF"/>
    <w:rsid w:val="00CE1851"/>
    <w:rsid w:val="00CE2B76"/>
    <w:rsid w:val="00CF1D5F"/>
    <w:rsid w:val="00CF1ED2"/>
    <w:rsid w:val="00CF3127"/>
    <w:rsid w:val="00CF6FD3"/>
    <w:rsid w:val="00D00661"/>
    <w:rsid w:val="00D04309"/>
    <w:rsid w:val="00D06D82"/>
    <w:rsid w:val="00D1053E"/>
    <w:rsid w:val="00D113AD"/>
    <w:rsid w:val="00D126B5"/>
    <w:rsid w:val="00D12713"/>
    <w:rsid w:val="00D12AC6"/>
    <w:rsid w:val="00D12B01"/>
    <w:rsid w:val="00D13081"/>
    <w:rsid w:val="00D13CB9"/>
    <w:rsid w:val="00D13DF9"/>
    <w:rsid w:val="00D141F0"/>
    <w:rsid w:val="00D149DF"/>
    <w:rsid w:val="00D1598C"/>
    <w:rsid w:val="00D15F38"/>
    <w:rsid w:val="00D172EC"/>
    <w:rsid w:val="00D17923"/>
    <w:rsid w:val="00D21A5A"/>
    <w:rsid w:val="00D21DE2"/>
    <w:rsid w:val="00D2218D"/>
    <w:rsid w:val="00D25705"/>
    <w:rsid w:val="00D26335"/>
    <w:rsid w:val="00D2644F"/>
    <w:rsid w:val="00D27601"/>
    <w:rsid w:val="00D27608"/>
    <w:rsid w:val="00D27A69"/>
    <w:rsid w:val="00D31E33"/>
    <w:rsid w:val="00D32F33"/>
    <w:rsid w:val="00D34A2E"/>
    <w:rsid w:val="00D34F29"/>
    <w:rsid w:val="00D35BDB"/>
    <w:rsid w:val="00D36577"/>
    <w:rsid w:val="00D435F4"/>
    <w:rsid w:val="00D44263"/>
    <w:rsid w:val="00D452CB"/>
    <w:rsid w:val="00D45F39"/>
    <w:rsid w:val="00D46388"/>
    <w:rsid w:val="00D46630"/>
    <w:rsid w:val="00D5008F"/>
    <w:rsid w:val="00D502B7"/>
    <w:rsid w:val="00D5454A"/>
    <w:rsid w:val="00D610B2"/>
    <w:rsid w:val="00D63116"/>
    <w:rsid w:val="00D63BCE"/>
    <w:rsid w:val="00D654DD"/>
    <w:rsid w:val="00D70F05"/>
    <w:rsid w:val="00D717B3"/>
    <w:rsid w:val="00D71C07"/>
    <w:rsid w:val="00D745FB"/>
    <w:rsid w:val="00D74A01"/>
    <w:rsid w:val="00D75571"/>
    <w:rsid w:val="00D75676"/>
    <w:rsid w:val="00D7638B"/>
    <w:rsid w:val="00D76DCA"/>
    <w:rsid w:val="00D77F09"/>
    <w:rsid w:val="00D8169D"/>
    <w:rsid w:val="00D830DA"/>
    <w:rsid w:val="00D85383"/>
    <w:rsid w:val="00D8639D"/>
    <w:rsid w:val="00D8643C"/>
    <w:rsid w:val="00D87850"/>
    <w:rsid w:val="00D905BE"/>
    <w:rsid w:val="00D930F5"/>
    <w:rsid w:val="00D93518"/>
    <w:rsid w:val="00D95069"/>
    <w:rsid w:val="00D950AF"/>
    <w:rsid w:val="00D9637E"/>
    <w:rsid w:val="00D97556"/>
    <w:rsid w:val="00DA078A"/>
    <w:rsid w:val="00DA0C7B"/>
    <w:rsid w:val="00DA1A3A"/>
    <w:rsid w:val="00DA25E4"/>
    <w:rsid w:val="00DA2A69"/>
    <w:rsid w:val="00DA2CAD"/>
    <w:rsid w:val="00DA2FF1"/>
    <w:rsid w:val="00DA676E"/>
    <w:rsid w:val="00DB32DD"/>
    <w:rsid w:val="00DB44E0"/>
    <w:rsid w:val="00DB78D1"/>
    <w:rsid w:val="00DC0DF6"/>
    <w:rsid w:val="00DC1527"/>
    <w:rsid w:val="00DC2A0B"/>
    <w:rsid w:val="00DC3192"/>
    <w:rsid w:val="00DC3C0F"/>
    <w:rsid w:val="00DC4D38"/>
    <w:rsid w:val="00DC4F73"/>
    <w:rsid w:val="00DC6D7E"/>
    <w:rsid w:val="00DC7C30"/>
    <w:rsid w:val="00DD1855"/>
    <w:rsid w:val="00DD481E"/>
    <w:rsid w:val="00DE0D1F"/>
    <w:rsid w:val="00DE302D"/>
    <w:rsid w:val="00DE5947"/>
    <w:rsid w:val="00DE60BA"/>
    <w:rsid w:val="00DE6827"/>
    <w:rsid w:val="00DF07C0"/>
    <w:rsid w:val="00DF0F0F"/>
    <w:rsid w:val="00DF1F65"/>
    <w:rsid w:val="00DF25D3"/>
    <w:rsid w:val="00DF3C12"/>
    <w:rsid w:val="00DF451E"/>
    <w:rsid w:val="00DF481A"/>
    <w:rsid w:val="00DF4D71"/>
    <w:rsid w:val="00DF7E3D"/>
    <w:rsid w:val="00E025C6"/>
    <w:rsid w:val="00E02B67"/>
    <w:rsid w:val="00E041FD"/>
    <w:rsid w:val="00E045B4"/>
    <w:rsid w:val="00E073C1"/>
    <w:rsid w:val="00E07F2A"/>
    <w:rsid w:val="00E10AC0"/>
    <w:rsid w:val="00E1154A"/>
    <w:rsid w:val="00E1232D"/>
    <w:rsid w:val="00E2007B"/>
    <w:rsid w:val="00E21081"/>
    <w:rsid w:val="00E21641"/>
    <w:rsid w:val="00E2182E"/>
    <w:rsid w:val="00E21B1D"/>
    <w:rsid w:val="00E2288C"/>
    <w:rsid w:val="00E23167"/>
    <w:rsid w:val="00E231F0"/>
    <w:rsid w:val="00E24817"/>
    <w:rsid w:val="00E26E7F"/>
    <w:rsid w:val="00E27529"/>
    <w:rsid w:val="00E27CAF"/>
    <w:rsid w:val="00E27ED4"/>
    <w:rsid w:val="00E3023C"/>
    <w:rsid w:val="00E326DD"/>
    <w:rsid w:val="00E32F0C"/>
    <w:rsid w:val="00E33461"/>
    <w:rsid w:val="00E33C64"/>
    <w:rsid w:val="00E33ECA"/>
    <w:rsid w:val="00E3439F"/>
    <w:rsid w:val="00E35CF3"/>
    <w:rsid w:val="00E3661F"/>
    <w:rsid w:val="00E41311"/>
    <w:rsid w:val="00E41CCB"/>
    <w:rsid w:val="00E423A6"/>
    <w:rsid w:val="00E428D9"/>
    <w:rsid w:val="00E42BFC"/>
    <w:rsid w:val="00E43113"/>
    <w:rsid w:val="00E449BC"/>
    <w:rsid w:val="00E45110"/>
    <w:rsid w:val="00E45BA8"/>
    <w:rsid w:val="00E46BF4"/>
    <w:rsid w:val="00E47737"/>
    <w:rsid w:val="00E501A8"/>
    <w:rsid w:val="00E50D64"/>
    <w:rsid w:val="00E51528"/>
    <w:rsid w:val="00E52588"/>
    <w:rsid w:val="00E5284F"/>
    <w:rsid w:val="00E54115"/>
    <w:rsid w:val="00E556E7"/>
    <w:rsid w:val="00E556F1"/>
    <w:rsid w:val="00E55A0C"/>
    <w:rsid w:val="00E56286"/>
    <w:rsid w:val="00E572A7"/>
    <w:rsid w:val="00E57772"/>
    <w:rsid w:val="00E577B0"/>
    <w:rsid w:val="00E57AAE"/>
    <w:rsid w:val="00E57C57"/>
    <w:rsid w:val="00E60526"/>
    <w:rsid w:val="00E6159C"/>
    <w:rsid w:val="00E62640"/>
    <w:rsid w:val="00E62B67"/>
    <w:rsid w:val="00E63C65"/>
    <w:rsid w:val="00E64C2A"/>
    <w:rsid w:val="00E64E3B"/>
    <w:rsid w:val="00E651C3"/>
    <w:rsid w:val="00E6578E"/>
    <w:rsid w:val="00E6612F"/>
    <w:rsid w:val="00E6717D"/>
    <w:rsid w:val="00E72707"/>
    <w:rsid w:val="00E72ECA"/>
    <w:rsid w:val="00E7335C"/>
    <w:rsid w:val="00E737E3"/>
    <w:rsid w:val="00E74FE6"/>
    <w:rsid w:val="00E75460"/>
    <w:rsid w:val="00E7554B"/>
    <w:rsid w:val="00E77D4F"/>
    <w:rsid w:val="00E80105"/>
    <w:rsid w:val="00E80A4C"/>
    <w:rsid w:val="00E8182F"/>
    <w:rsid w:val="00E83140"/>
    <w:rsid w:val="00E83BA7"/>
    <w:rsid w:val="00E84188"/>
    <w:rsid w:val="00E84566"/>
    <w:rsid w:val="00E855BC"/>
    <w:rsid w:val="00E879BD"/>
    <w:rsid w:val="00E90ECE"/>
    <w:rsid w:val="00E9363A"/>
    <w:rsid w:val="00E94A73"/>
    <w:rsid w:val="00E961D4"/>
    <w:rsid w:val="00E97BAF"/>
    <w:rsid w:val="00EA1A99"/>
    <w:rsid w:val="00EA6888"/>
    <w:rsid w:val="00EA7AFA"/>
    <w:rsid w:val="00EB06A6"/>
    <w:rsid w:val="00EB1BE3"/>
    <w:rsid w:val="00EB28BB"/>
    <w:rsid w:val="00EB29C7"/>
    <w:rsid w:val="00EB2E62"/>
    <w:rsid w:val="00EB2ED7"/>
    <w:rsid w:val="00EB2EDB"/>
    <w:rsid w:val="00EB370C"/>
    <w:rsid w:val="00EB4A4F"/>
    <w:rsid w:val="00EB4C58"/>
    <w:rsid w:val="00EB55E9"/>
    <w:rsid w:val="00EB6C8D"/>
    <w:rsid w:val="00EB7FCC"/>
    <w:rsid w:val="00EC12C2"/>
    <w:rsid w:val="00EC199B"/>
    <w:rsid w:val="00EC30C9"/>
    <w:rsid w:val="00EC42C4"/>
    <w:rsid w:val="00EC6532"/>
    <w:rsid w:val="00ED26E5"/>
    <w:rsid w:val="00ED33F4"/>
    <w:rsid w:val="00ED39C1"/>
    <w:rsid w:val="00ED3EE7"/>
    <w:rsid w:val="00ED4E14"/>
    <w:rsid w:val="00ED76A3"/>
    <w:rsid w:val="00ED774A"/>
    <w:rsid w:val="00EE3C1A"/>
    <w:rsid w:val="00EE69CC"/>
    <w:rsid w:val="00EE6D6B"/>
    <w:rsid w:val="00EE796C"/>
    <w:rsid w:val="00EF02A2"/>
    <w:rsid w:val="00EF0B81"/>
    <w:rsid w:val="00EF183E"/>
    <w:rsid w:val="00EF1D66"/>
    <w:rsid w:val="00EF1EED"/>
    <w:rsid w:val="00EF2560"/>
    <w:rsid w:val="00EF2ACB"/>
    <w:rsid w:val="00EF3955"/>
    <w:rsid w:val="00EF7B1D"/>
    <w:rsid w:val="00F03583"/>
    <w:rsid w:val="00F04B83"/>
    <w:rsid w:val="00F07175"/>
    <w:rsid w:val="00F1052F"/>
    <w:rsid w:val="00F10DA3"/>
    <w:rsid w:val="00F11D63"/>
    <w:rsid w:val="00F134E1"/>
    <w:rsid w:val="00F15778"/>
    <w:rsid w:val="00F15CF6"/>
    <w:rsid w:val="00F15FA6"/>
    <w:rsid w:val="00F16CF2"/>
    <w:rsid w:val="00F1767D"/>
    <w:rsid w:val="00F2113F"/>
    <w:rsid w:val="00F21589"/>
    <w:rsid w:val="00F2236B"/>
    <w:rsid w:val="00F25469"/>
    <w:rsid w:val="00F25892"/>
    <w:rsid w:val="00F27B74"/>
    <w:rsid w:val="00F27BF7"/>
    <w:rsid w:val="00F316D0"/>
    <w:rsid w:val="00F31BEC"/>
    <w:rsid w:val="00F320C9"/>
    <w:rsid w:val="00F337AD"/>
    <w:rsid w:val="00F3383E"/>
    <w:rsid w:val="00F36430"/>
    <w:rsid w:val="00F37899"/>
    <w:rsid w:val="00F37FB4"/>
    <w:rsid w:val="00F41520"/>
    <w:rsid w:val="00F4171E"/>
    <w:rsid w:val="00F42621"/>
    <w:rsid w:val="00F43114"/>
    <w:rsid w:val="00F4383B"/>
    <w:rsid w:val="00F443C9"/>
    <w:rsid w:val="00F465A8"/>
    <w:rsid w:val="00F501B0"/>
    <w:rsid w:val="00F50BBA"/>
    <w:rsid w:val="00F51009"/>
    <w:rsid w:val="00F52078"/>
    <w:rsid w:val="00F5273E"/>
    <w:rsid w:val="00F52D3F"/>
    <w:rsid w:val="00F575DA"/>
    <w:rsid w:val="00F60395"/>
    <w:rsid w:val="00F61DB9"/>
    <w:rsid w:val="00F623C3"/>
    <w:rsid w:val="00F63339"/>
    <w:rsid w:val="00F63CAD"/>
    <w:rsid w:val="00F64679"/>
    <w:rsid w:val="00F6744F"/>
    <w:rsid w:val="00F67CD6"/>
    <w:rsid w:val="00F7094D"/>
    <w:rsid w:val="00F71094"/>
    <w:rsid w:val="00F7135E"/>
    <w:rsid w:val="00F7170D"/>
    <w:rsid w:val="00F71B00"/>
    <w:rsid w:val="00F72662"/>
    <w:rsid w:val="00F72678"/>
    <w:rsid w:val="00F72FCD"/>
    <w:rsid w:val="00F736A5"/>
    <w:rsid w:val="00F739AC"/>
    <w:rsid w:val="00F73EE1"/>
    <w:rsid w:val="00F766D7"/>
    <w:rsid w:val="00F76DF1"/>
    <w:rsid w:val="00F808A9"/>
    <w:rsid w:val="00F808E9"/>
    <w:rsid w:val="00F809E1"/>
    <w:rsid w:val="00F80F01"/>
    <w:rsid w:val="00F8197A"/>
    <w:rsid w:val="00F81BFB"/>
    <w:rsid w:val="00F8400A"/>
    <w:rsid w:val="00F84138"/>
    <w:rsid w:val="00F846D4"/>
    <w:rsid w:val="00F84C50"/>
    <w:rsid w:val="00F859B0"/>
    <w:rsid w:val="00F85F3B"/>
    <w:rsid w:val="00F86F85"/>
    <w:rsid w:val="00F915A9"/>
    <w:rsid w:val="00F91A9A"/>
    <w:rsid w:val="00F92EF9"/>
    <w:rsid w:val="00F93424"/>
    <w:rsid w:val="00F9582A"/>
    <w:rsid w:val="00F9659A"/>
    <w:rsid w:val="00FA0E19"/>
    <w:rsid w:val="00FA1385"/>
    <w:rsid w:val="00FA2627"/>
    <w:rsid w:val="00FA2F99"/>
    <w:rsid w:val="00FA34F3"/>
    <w:rsid w:val="00FA3ACA"/>
    <w:rsid w:val="00FA5AC2"/>
    <w:rsid w:val="00FB0149"/>
    <w:rsid w:val="00FB3257"/>
    <w:rsid w:val="00FB3A74"/>
    <w:rsid w:val="00FB40BE"/>
    <w:rsid w:val="00FB70A3"/>
    <w:rsid w:val="00FB7918"/>
    <w:rsid w:val="00FC0157"/>
    <w:rsid w:val="00FC1DAC"/>
    <w:rsid w:val="00FC60BA"/>
    <w:rsid w:val="00FC6320"/>
    <w:rsid w:val="00FC64C3"/>
    <w:rsid w:val="00FC7351"/>
    <w:rsid w:val="00FD2865"/>
    <w:rsid w:val="00FD54FC"/>
    <w:rsid w:val="00FD553F"/>
    <w:rsid w:val="00FE0648"/>
    <w:rsid w:val="00FE0919"/>
    <w:rsid w:val="00FE0C1F"/>
    <w:rsid w:val="00FE0D13"/>
    <w:rsid w:val="00FE13A4"/>
    <w:rsid w:val="00FE1A8B"/>
    <w:rsid w:val="00FE31D3"/>
    <w:rsid w:val="00FE51BF"/>
    <w:rsid w:val="00FE57CD"/>
    <w:rsid w:val="00FE6EA3"/>
    <w:rsid w:val="00FF0D0E"/>
    <w:rsid w:val="00FF1487"/>
    <w:rsid w:val="00FF274B"/>
    <w:rsid w:val="00FF4EF5"/>
    <w:rsid w:val="00FF5D90"/>
    <w:rsid w:val="00FF65F8"/>
    <w:rsid w:val="00FF7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C8FF9F7"/>
  <w15:docId w15:val="{17015520-C528-42D1-BDCD-591D21B2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5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table" w:customStyle="1" w:styleId="TableGrid2">
    <w:name w:val="Table Grid2"/>
    <w:basedOn w:val="TableNormal"/>
    <w:uiPriority w:val="39"/>
    <w:rsid w:val="00527720"/>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7720"/>
    <w:pPr>
      <w:autoSpaceDE w:val="0"/>
      <w:autoSpaceDN w:val="0"/>
      <w:adjustRightInd w:val="0"/>
      <w:ind w:left="0"/>
    </w:pPr>
    <w:rPr>
      <w:rFonts w:ascii="Arial" w:hAnsi="Arial" w:cs="Arial"/>
    </w:rPr>
  </w:style>
  <w:style w:type="table" w:customStyle="1" w:styleId="TableGrid3">
    <w:name w:val="Table Grid3"/>
    <w:basedOn w:val="TableNormal"/>
    <w:uiPriority w:val="39"/>
    <w:rsid w:val="004559AD"/>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A604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F86F85"/>
    <w:pPr>
      <w:ind w:left="0"/>
    </w:pPr>
    <w:rPr>
      <w:b/>
      <w:i/>
      <w:color w:val="auto"/>
    </w:rPr>
  </w:style>
  <w:style w:type="table" w:customStyle="1" w:styleId="TableGrid5">
    <w:name w:val="Table Grid5"/>
    <w:basedOn w:val="TableNormal"/>
    <w:next w:val="TableGrid"/>
    <w:uiPriority w:val="39"/>
    <w:rsid w:val="00CC6444"/>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D1DDD"/>
    <w:pPr>
      <w:widowControl w:val="0"/>
      <w:tabs>
        <w:tab w:val="left" w:pos="0"/>
        <w:tab w:val="right" w:pos="9360"/>
      </w:tabs>
      <w:autoSpaceDE w:val="0"/>
      <w:autoSpaceDN w:val="0"/>
      <w:adjustRightInd w:val="0"/>
      <w:ind w:left="0"/>
      <w:jc w:val="both"/>
    </w:pPr>
    <w:rPr>
      <w:color w:val="auto"/>
      <w:sz w:val="20"/>
    </w:rPr>
  </w:style>
  <w:style w:type="character" w:customStyle="1" w:styleId="Heading1Char">
    <w:name w:val="Heading 1 Char"/>
    <w:link w:val="Heading1"/>
    <w:rsid w:val="00641905"/>
    <w:rPr>
      <w:rFonts w:ascii="Cambria" w:eastAsia="Cambria" w:hAnsi="Cambria" w:cs="Cambria"/>
      <w:color w:val="366091"/>
      <w:sz w:val="32"/>
      <w:szCs w:val="32"/>
    </w:rPr>
  </w:style>
  <w:style w:type="character" w:styleId="HTMLCode">
    <w:name w:val="HTML Code"/>
    <w:basedOn w:val="DefaultParagraphFont"/>
    <w:semiHidden/>
    <w:unhideWhenUsed/>
    <w:rsid w:val="00E47737"/>
    <w:rPr>
      <w:rFonts w:ascii="Courier New" w:eastAsia="Times New Roman" w:hAnsi="Courier New" w:cs="Courier New" w:hint="default"/>
      <w:sz w:val="20"/>
      <w:szCs w:val="20"/>
    </w:rPr>
  </w:style>
  <w:style w:type="character" w:styleId="UnresolvedMention">
    <w:name w:val="Unresolved Mention"/>
    <w:basedOn w:val="DefaultParagraphFont"/>
    <w:uiPriority w:val="99"/>
    <w:semiHidden/>
    <w:unhideWhenUsed/>
    <w:rsid w:val="008C6B7D"/>
    <w:rPr>
      <w:color w:val="808080"/>
      <w:shd w:val="clear" w:color="auto" w:fill="E6E6E6"/>
    </w:rPr>
  </w:style>
  <w:style w:type="table" w:customStyle="1" w:styleId="TableGrid31">
    <w:name w:val="Table Grid31"/>
    <w:basedOn w:val="TableNormal"/>
    <w:next w:val="TableGrid"/>
    <w:uiPriority w:val="39"/>
    <w:rsid w:val="00F501B0"/>
    <w:pPr>
      <w:ind w:left="0"/>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90C7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99"/>
    <w:rsid w:val="004C2782"/>
    <w:rPr>
      <w:rFonts w:ascii="Calibri" w:eastAsia="Calibri" w:hAnsi="Calibri" w:cs="Calibri"/>
      <w:b/>
      <w:sz w:val="22"/>
      <w:szCs w:val="22"/>
    </w:rPr>
  </w:style>
  <w:style w:type="table" w:customStyle="1" w:styleId="TableGrid7">
    <w:name w:val="Table Grid7"/>
    <w:basedOn w:val="TableNormal"/>
    <w:next w:val="TableGrid"/>
    <w:uiPriority w:val="39"/>
    <w:rsid w:val="000D78B3"/>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46997"/>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246997"/>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20E3"/>
    <w:pPr>
      <w:spacing w:line="259" w:lineRule="auto"/>
      <w:ind w:left="0"/>
      <w:outlineLvl w:val="9"/>
    </w:pPr>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22818960">
      <w:bodyDiv w:val="1"/>
      <w:marLeft w:val="0"/>
      <w:marRight w:val="0"/>
      <w:marTop w:val="0"/>
      <w:marBottom w:val="0"/>
      <w:divBdr>
        <w:top w:val="none" w:sz="0" w:space="0" w:color="auto"/>
        <w:left w:val="none" w:sz="0" w:space="0" w:color="auto"/>
        <w:bottom w:val="none" w:sz="0" w:space="0" w:color="auto"/>
        <w:right w:val="none" w:sz="0" w:space="0" w:color="auto"/>
      </w:divBdr>
    </w:div>
    <w:div w:id="128934531">
      <w:bodyDiv w:val="1"/>
      <w:marLeft w:val="0"/>
      <w:marRight w:val="0"/>
      <w:marTop w:val="0"/>
      <w:marBottom w:val="0"/>
      <w:divBdr>
        <w:top w:val="none" w:sz="0" w:space="0" w:color="auto"/>
        <w:left w:val="none" w:sz="0" w:space="0" w:color="auto"/>
        <w:bottom w:val="none" w:sz="0" w:space="0" w:color="auto"/>
        <w:right w:val="none" w:sz="0" w:space="0" w:color="auto"/>
      </w:divBdr>
    </w:div>
    <w:div w:id="176507047">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11842885">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292828310">
      <w:bodyDiv w:val="1"/>
      <w:marLeft w:val="0"/>
      <w:marRight w:val="0"/>
      <w:marTop w:val="0"/>
      <w:marBottom w:val="0"/>
      <w:divBdr>
        <w:top w:val="none" w:sz="0" w:space="0" w:color="auto"/>
        <w:left w:val="none" w:sz="0" w:space="0" w:color="auto"/>
        <w:bottom w:val="none" w:sz="0" w:space="0" w:color="auto"/>
        <w:right w:val="none" w:sz="0" w:space="0" w:color="auto"/>
      </w:divBdr>
      <w:divsChild>
        <w:div w:id="552228504">
          <w:marLeft w:val="0"/>
          <w:marRight w:val="0"/>
          <w:marTop w:val="0"/>
          <w:marBottom w:val="0"/>
          <w:divBdr>
            <w:top w:val="none" w:sz="0" w:space="0" w:color="auto"/>
            <w:left w:val="none" w:sz="0" w:space="0" w:color="auto"/>
            <w:bottom w:val="none" w:sz="0" w:space="0" w:color="auto"/>
            <w:right w:val="none" w:sz="0" w:space="0" w:color="auto"/>
          </w:divBdr>
        </w:div>
        <w:div w:id="904294548">
          <w:marLeft w:val="0"/>
          <w:marRight w:val="0"/>
          <w:marTop w:val="0"/>
          <w:marBottom w:val="0"/>
          <w:divBdr>
            <w:top w:val="none" w:sz="0" w:space="0" w:color="auto"/>
            <w:left w:val="none" w:sz="0" w:space="0" w:color="auto"/>
            <w:bottom w:val="none" w:sz="0" w:space="0" w:color="auto"/>
            <w:right w:val="none" w:sz="0" w:space="0" w:color="auto"/>
          </w:divBdr>
        </w:div>
        <w:div w:id="1634410804">
          <w:marLeft w:val="0"/>
          <w:marRight w:val="0"/>
          <w:marTop w:val="0"/>
          <w:marBottom w:val="0"/>
          <w:divBdr>
            <w:top w:val="none" w:sz="0" w:space="0" w:color="auto"/>
            <w:left w:val="none" w:sz="0" w:space="0" w:color="auto"/>
            <w:bottom w:val="none" w:sz="0" w:space="0" w:color="auto"/>
            <w:right w:val="none" w:sz="0" w:space="0" w:color="auto"/>
          </w:divBdr>
        </w:div>
        <w:div w:id="1301686823">
          <w:marLeft w:val="0"/>
          <w:marRight w:val="0"/>
          <w:marTop w:val="0"/>
          <w:marBottom w:val="0"/>
          <w:divBdr>
            <w:top w:val="none" w:sz="0" w:space="0" w:color="auto"/>
            <w:left w:val="none" w:sz="0" w:space="0" w:color="auto"/>
            <w:bottom w:val="none" w:sz="0" w:space="0" w:color="auto"/>
            <w:right w:val="none" w:sz="0" w:space="0" w:color="auto"/>
          </w:divBdr>
        </w:div>
      </w:divsChild>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387538180">
      <w:bodyDiv w:val="1"/>
      <w:marLeft w:val="0"/>
      <w:marRight w:val="0"/>
      <w:marTop w:val="0"/>
      <w:marBottom w:val="0"/>
      <w:divBdr>
        <w:top w:val="none" w:sz="0" w:space="0" w:color="auto"/>
        <w:left w:val="none" w:sz="0" w:space="0" w:color="auto"/>
        <w:bottom w:val="none" w:sz="0" w:space="0" w:color="auto"/>
        <w:right w:val="none" w:sz="0" w:space="0" w:color="auto"/>
      </w:divBdr>
    </w:div>
    <w:div w:id="442185941">
      <w:bodyDiv w:val="1"/>
      <w:marLeft w:val="0"/>
      <w:marRight w:val="0"/>
      <w:marTop w:val="0"/>
      <w:marBottom w:val="0"/>
      <w:divBdr>
        <w:top w:val="none" w:sz="0" w:space="0" w:color="auto"/>
        <w:left w:val="none" w:sz="0" w:space="0" w:color="auto"/>
        <w:bottom w:val="none" w:sz="0" w:space="0" w:color="auto"/>
        <w:right w:val="none" w:sz="0" w:space="0" w:color="auto"/>
      </w:divBdr>
    </w:div>
    <w:div w:id="470514572">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609246198">
      <w:bodyDiv w:val="1"/>
      <w:marLeft w:val="0"/>
      <w:marRight w:val="0"/>
      <w:marTop w:val="0"/>
      <w:marBottom w:val="0"/>
      <w:divBdr>
        <w:top w:val="none" w:sz="0" w:space="0" w:color="auto"/>
        <w:left w:val="none" w:sz="0" w:space="0" w:color="auto"/>
        <w:bottom w:val="none" w:sz="0" w:space="0" w:color="auto"/>
        <w:right w:val="none" w:sz="0" w:space="0" w:color="auto"/>
      </w:divBdr>
    </w:div>
    <w:div w:id="655960324">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664479194">
      <w:bodyDiv w:val="1"/>
      <w:marLeft w:val="0"/>
      <w:marRight w:val="0"/>
      <w:marTop w:val="0"/>
      <w:marBottom w:val="0"/>
      <w:divBdr>
        <w:top w:val="none" w:sz="0" w:space="0" w:color="auto"/>
        <w:left w:val="none" w:sz="0" w:space="0" w:color="auto"/>
        <w:bottom w:val="none" w:sz="0" w:space="0" w:color="auto"/>
        <w:right w:val="none" w:sz="0" w:space="0" w:color="auto"/>
      </w:divBdr>
    </w:div>
    <w:div w:id="695078712">
      <w:bodyDiv w:val="1"/>
      <w:marLeft w:val="0"/>
      <w:marRight w:val="0"/>
      <w:marTop w:val="0"/>
      <w:marBottom w:val="0"/>
      <w:divBdr>
        <w:top w:val="none" w:sz="0" w:space="0" w:color="auto"/>
        <w:left w:val="none" w:sz="0" w:space="0" w:color="auto"/>
        <w:bottom w:val="none" w:sz="0" w:space="0" w:color="auto"/>
        <w:right w:val="none" w:sz="0" w:space="0" w:color="auto"/>
      </w:divBdr>
    </w:div>
    <w:div w:id="716970664">
      <w:bodyDiv w:val="1"/>
      <w:marLeft w:val="0"/>
      <w:marRight w:val="0"/>
      <w:marTop w:val="0"/>
      <w:marBottom w:val="0"/>
      <w:divBdr>
        <w:top w:val="none" w:sz="0" w:space="0" w:color="auto"/>
        <w:left w:val="none" w:sz="0" w:space="0" w:color="auto"/>
        <w:bottom w:val="none" w:sz="0" w:space="0" w:color="auto"/>
        <w:right w:val="none" w:sz="0" w:space="0" w:color="auto"/>
      </w:divBdr>
    </w:div>
    <w:div w:id="745877570">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54460887">
      <w:bodyDiv w:val="1"/>
      <w:marLeft w:val="0"/>
      <w:marRight w:val="0"/>
      <w:marTop w:val="0"/>
      <w:marBottom w:val="0"/>
      <w:divBdr>
        <w:top w:val="none" w:sz="0" w:space="0" w:color="auto"/>
        <w:left w:val="none" w:sz="0" w:space="0" w:color="auto"/>
        <w:bottom w:val="none" w:sz="0" w:space="0" w:color="auto"/>
        <w:right w:val="none" w:sz="0" w:space="0" w:color="auto"/>
      </w:divBdr>
    </w:div>
    <w:div w:id="933711246">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77047962">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3466398">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2208">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64681353">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08736314">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664894760">
      <w:bodyDiv w:val="1"/>
      <w:marLeft w:val="0"/>
      <w:marRight w:val="0"/>
      <w:marTop w:val="0"/>
      <w:marBottom w:val="0"/>
      <w:divBdr>
        <w:top w:val="none" w:sz="0" w:space="0" w:color="auto"/>
        <w:left w:val="none" w:sz="0" w:space="0" w:color="auto"/>
        <w:bottom w:val="none" w:sz="0" w:space="0" w:color="auto"/>
        <w:right w:val="none" w:sz="0" w:space="0" w:color="auto"/>
      </w:divBdr>
    </w:div>
    <w:div w:id="1697854031">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20978066">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2017265114">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40544192">
      <w:bodyDiv w:val="1"/>
      <w:marLeft w:val="0"/>
      <w:marRight w:val="0"/>
      <w:marTop w:val="0"/>
      <w:marBottom w:val="0"/>
      <w:divBdr>
        <w:top w:val="none" w:sz="0" w:space="0" w:color="auto"/>
        <w:left w:val="none" w:sz="0" w:space="0" w:color="auto"/>
        <w:bottom w:val="none" w:sz="0" w:space="0" w:color="auto"/>
        <w:right w:val="none" w:sz="0" w:space="0" w:color="auto"/>
      </w:divBdr>
    </w:div>
    <w:div w:id="2056586727">
      <w:bodyDiv w:val="1"/>
      <w:marLeft w:val="0"/>
      <w:marRight w:val="0"/>
      <w:marTop w:val="0"/>
      <w:marBottom w:val="0"/>
      <w:divBdr>
        <w:top w:val="none" w:sz="0" w:space="0" w:color="auto"/>
        <w:left w:val="none" w:sz="0" w:space="0" w:color="auto"/>
        <w:bottom w:val="none" w:sz="0" w:space="0" w:color="auto"/>
        <w:right w:val="none" w:sz="0" w:space="0" w:color="auto"/>
      </w:divBdr>
    </w:div>
    <w:div w:id="2061397486">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i.Hoffman@Illinois.gov" TargetMode="External"/><Relationship Id="rId13" Type="http://schemas.openxmlformats.org/officeDocument/2006/relationships/hyperlink" Target="mailto:%20Shai.Hoffman@Illinois.gov" TargetMode="External"/><Relationship Id="rId18" Type="http://schemas.openxmlformats.org/officeDocument/2006/relationships/hyperlink" Target="https://www.illinois.gov/sites/gata/pages/resourcelibrary.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20Shai.Hoffman@Illinois.gov" TargetMode="External"/><Relationship Id="rId17" Type="http://schemas.openxmlformats.org/officeDocument/2006/relationships/hyperlink" Target="https://www.gsa.gov/travel/plan-book/per-diem-rat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2.illinois.gov/cms/Employees/travel/Pages/TravelReimbursement.aspx" TargetMode="External"/><Relationship Id="rId20" Type="http://schemas.openxmlformats.org/officeDocument/2006/relationships/hyperlink" Target="mailto:Shai.Hoffman@Illinoi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i.Hoffman@Illinois.gov"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jp.gov/financialguide/doj/pdfs/DOJ_FinancialGuide.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CJA.StateViolencePrevention@Illinois.gov" TargetMode="External"/><Relationship Id="rId19" Type="http://schemas.openxmlformats.org/officeDocument/2006/relationships/hyperlink" Target="mailto:Cja.aro@Illinois.gov" TargetMode="External"/><Relationship Id="rId4" Type="http://schemas.openxmlformats.org/officeDocument/2006/relationships/settings" Target="settings.xml"/><Relationship Id="rId9" Type="http://schemas.openxmlformats.org/officeDocument/2006/relationships/hyperlink" Target="http://www.grants.illinois.gov/portal" TargetMode="External"/><Relationship Id="rId14" Type="http://schemas.openxmlformats.org/officeDocument/2006/relationships/hyperlink" Target="mailto:%20Shai.Hoffman@Illinois.gov"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A021-A66E-4F64-ABA7-93E14699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7035</Words>
  <Characters>39326</Characters>
  <Application>Microsoft Office Word</Application>
  <DocSecurity>0</DocSecurity>
  <Lines>786</Lines>
  <Paragraphs>257</Paragraphs>
  <ScaleCrop>false</ScaleCrop>
  <HeadingPairs>
    <vt:vector size="2" baseType="variant">
      <vt:variant>
        <vt:lpstr>Title</vt:lpstr>
      </vt:variant>
      <vt:variant>
        <vt:i4>1</vt:i4>
      </vt:variant>
    </vt:vector>
  </HeadingPairs>
  <TitlesOfParts>
    <vt:vector size="1" baseType="lpstr">
      <vt:lpstr/>
    </vt:vector>
  </TitlesOfParts>
  <Company>Adult Redeploy Illinois (ARI)</Company>
  <LinksUpToDate>false</LinksUpToDate>
  <CharactersWithSpaces>46104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ARI Planning Implementation NOFO SFY17</cp:keywords>
  <dc:description/>
  <cp:lastModifiedBy>Shai Hoffman</cp:lastModifiedBy>
  <cp:revision>5</cp:revision>
  <cp:lastPrinted>2019-01-24T14:24:00Z</cp:lastPrinted>
  <dcterms:created xsi:type="dcterms:W3CDTF">2019-07-03T21:15:00Z</dcterms:created>
  <dcterms:modified xsi:type="dcterms:W3CDTF">2019-07-05T20:46:00Z</dcterms:modified>
</cp:coreProperties>
</file>