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74E" w:rsidRPr="00381087" w:rsidRDefault="0000074E" w:rsidP="0000074E">
      <w:pPr>
        <w:jc w:val="center"/>
      </w:pPr>
      <w:bookmarkStart w:id="0" w:name="_GoBack"/>
      <w:bookmarkEnd w:id="0"/>
      <w:r w:rsidRPr="00381087">
        <w:rPr>
          <w:b/>
        </w:rPr>
        <w:t>Uniform Notice of Funding Opportunity</w:t>
      </w:r>
    </w:p>
    <w:p w:rsidR="004803E3" w:rsidRDefault="004803E3" w:rsidP="0000074E">
      <w:pPr>
        <w:jc w:val="center"/>
        <w:rPr>
          <w:sz w:val="22"/>
          <w:szCs w:val="22"/>
        </w:rPr>
      </w:pPr>
      <w:r w:rsidRPr="009B3C18">
        <w:t xml:space="preserve">Victims of Crime Act </w:t>
      </w:r>
      <w:r>
        <w:t>Statewide Domestic Violence Hotline</w:t>
      </w:r>
      <w:r w:rsidRPr="009B3C18">
        <w:t xml:space="preserve"> Services Program</w:t>
      </w:r>
      <w:r>
        <w:rPr>
          <w:sz w:val="22"/>
          <w:szCs w:val="22"/>
        </w:rPr>
        <w:t xml:space="preserve"> </w:t>
      </w:r>
    </w:p>
    <w:p w:rsidR="0000074E" w:rsidRPr="00381087" w:rsidRDefault="00B62880" w:rsidP="0000074E">
      <w:pPr>
        <w:jc w:val="center"/>
      </w:pPr>
      <w:r>
        <w:rPr>
          <w:sz w:val="22"/>
          <w:szCs w:val="22"/>
        </w:rPr>
        <w:t>May 24, 2019</w:t>
      </w:r>
    </w:p>
    <w:p w:rsidR="0000074E" w:rsidRPr="00381087" w:rsidRDefault="0000074E" w:rsidP="0000074E">
      <w:pPr>
        <w:jc w:val="center"/>
        <w:rPr>
          <w:b/>
        </w:rPr>
      </w:pPr>
    </w:p>
    <w:p w:rsidR="0000074E" w:rsidRPr="00381087" w:rsidRDefault="0000074E" w:rsidP="0000074E">
      <w:pPr>
        <w:jc w:val="center"/>
        <w:rPr>
          <w:b/>
        </w:rPr>
      </w:pPr>
      <w:r w:rsidRPr="00381087">
        <w:rPr>
          <w:b/>
        </w:rPr>
        <w:t>Table of Content</w:t>
      </w:r>
      <w:r w:rsidR="00DC0C4D">
        <w:rPr>
          <w:b/>
        </w:rPr>
        <w:t>s</w:t>
      </w:r>
    </w:p>
    <w:p w:rsidR="0000074E" w:rsidRPr="00381087" w:rsidRDefault="0000074E" w:rsidP="0000074E">
      <w:pPr>
        <w:jc w:val="center"/>
        <w:rPr>
          <w:b/>
        </w:rPr>
      </w:pPr>
    </w:p>
    <w:p w:rsidR="0000074E" w:rsidRPr="00381087" w:rsidRDefault="0000074E" w:rsidP="0000074E">
      <w:pPr>
        <w:rPr>
          <w:b/>
        </w:rPr>
      </w:pPr>
    </w:p>
    <w:p w:rsidR="0000074E" w:rsidRPr="00381087" w:rsidRDefault="0000074E" w:rsidP="0000074E">
      <w:pPr>
        <w:jc w:val="center"/>
        <w:rPr>
          <w:b/>
        </w:rPr>
      </w:pPr>
    </w:p>
    <w:p w:rsidR="0000074E" w:rsidRPr="00381087" w:rsidRDefault="0000074E" w:rsidP="0000074E">
      <w:pPr>
        <w:rPr>
          <w:b/>
        </w:rPr>
      </w:pPr>
      <w:r w:rsidRPr="00381087">
        <w:rPr>
          <w:b/>
        </w:rPr>
        <w:t>Program Description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3</w:t>
      </w:r>
    </w:p>
    <w:p w:rsidR="0000074E" w:rsidRPr="00381087" w:rsidRDefault="0000074E" w:rsidP="0000074E">
      <w:pPr>
        <w:rPr>
          <w:b/>
        </w:rPr>
      </w:pPr>
    </w:p>
    <w:p w:rsidR="0000074E" w:rsidRPr="00381087" w:rsidRDefault="0000074E" w:rsidP="0000074E">
      <w:pPr>
        <w:rPr>
          <w:b/>
        </w:rPr>
      </w:pPr>
      <w:r w:rsidRPr="00381087">
        <w:rPr>
          <w:b/>
        </w:rPr>
        <w:t>Authorizing Statutes</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4</w:t>
      </w:r>
    </w:p>
    <w:p w:rsidR="0000074E" w:rsidRPr="00381087" w:rsidRDefault="0000074E" w:rsidP="0000074E">
      <w:pPr>
        <w:rPr>
          <w:b/>
        </w:rPr>
      </w:pPr>
    </w:p>
    <w:p w:rsidR="0000074E" w:rsidRPr="00381087" w:rsidRDefault="0000074E" w:rsidP="0000074E">
      <w:pPr>
        <w:rPr>
          <w:b/>
        </w:rPr>
      </w:pPr>
      <w:r w:rsidRPr="00381087">
        <w:rPr>
          <w:b/>
        </w:rPr>
        <w:t>Program Specific Information</w:t>
      </w:r>
      <w:r w:rsidRPr="00381087">
        <w:rPr>
          <w:b/>
        </w:rPr>
        <w:tab/>
      </w:r>
      <w:r w:rsidRPr="00381087">
        <w:rPr>
          <w:b/>
        </w:rPr>
        <w:tab/>
      </w:r>
      <w:r w:rsidRPr="00381087">
        <w:rPr>
          <w:b/>
        </w:rPr>
        <w:tab/>
      </w:r>
      <w:r w:rsidRPr="00381087">
        <w:rPr>
          <w:b/>
        </w:rPr>
        <w:tab/>
      </w:r>
      <w:r w:rsidRPr="00381087">
        <w:rPr>
          <w:b/>
        </w:rPr>
        <w:tab/>
      </w:r>
      <w:r w:rsidRPr="00381087">
        <w:rPr>
          <w:b/>
        </w:rPr>
        <w:tab/>
        <w:t xml:space="preserve"> 5</w:t>
      </w:r>
    </w:p>
    <w:p w:rsidR="0000074E" w:rsidRPr="00381087" w:rsidRDefault="0000074E" w:rsidP="0000074E">
      <w:pPr>
        <w:rPr>
          <w:b/>
        </w:rPr>
      </w:pPr>
    </w:p>
    <w:p w:rsidR="0000074E" w:rsidRPr="00381087" w:rsidRDefault="00341B1E" w:rsidP="0000074E">
      <w:pPr>
        <w:rPr>
          <w:b/>
        </w:rPr>
      </w:pPr>
      <w:r w:rsidRPr="00381087">
        <w:rPr>
          <w:b/>
        </w:rPr>
        <w:t xml:space="preserve">Requirements </w:t>
      </w:r>
      <w:r w:rsidRPr="00381087">
        <w:rPr>
          <w:b/>
        </w:rPr>
        <w:tab/>
      </w:r>
      <w:r w:rsidR="008859E4">
        <w:rPr>
          <w:b/>
        </w:rPr>
        <w:t xml:space="preserve">      </w:t>
      </w:r>
      <w:r w:rsidR="0000074E" w:rsidRPr="00381087">
        <w:rPr>
          <w:b/>
        </w:rPr>
        <w:tab/>
      </w:r>
      <w:r w:rsidR="0000074E" w:rsidRPr="00381087">
        <w:rPr>
          <w:b/>
        </w:rPr>
        <w:tab/>
      </w:r>
      <w:r w:rsidR="0000074E" w:rsidRPr="00381087">
        <w:rPr>
          <w:b/>
        </w:rPr>
        <w:tab/>
      </w:r>
      <w:r w:rsidR="0000074E" w:rsidRPr="00381087">
        <w:rPr>
          <w:b/>
        </w:rPr>
        <w:tab/>
      </w:r>
      <w:r w:rsidR="0000074E" w:rsidRPr="00381087">
        <w:rPr>
          <w:b/>
        </w:rPr>
        <w:tab/>
      </w:r>
      <w:r w:rsidR="0000074E" w:rsidRPr="00381087">
        <w:rPr>
          <w:b/>
        </w:rPr>
        <w:tab/>
      </w:r>
      <w:r w:rsidR="008859E4">
        <w:rPr>
          <w:b/>
        </w:rPr>
        <w:t xml:space="preserve">            </w:t>
      </w:r>
      <w:r w:rsidR="0000074E" w:rsidRPr="00381087">
        <w:rPr>
          <w:b/>
        </w:rPr>
        <w:t xml:space="preserve"> 8</w:t>
      </w:r>
    </w:p>
    <w:p w:rsidR="0000074E" w:rsidRPr="00381087" w:rsidRDefault="0000074E" w:rsidP="0000074E">
      <w:pPr>
        <w:rPr>
          <w:b/>
        </w:rPr>
      </w:pPr>
    </w:p>
    <w:p w:rsidR="0000074E" w:rsidRPr="00381087" w:rsidRDefault="0000074E" w:rsidP="0000074E">
      <w:pPr>
        <w:rPr>
          <w:b/>
        </w:rPr>
      </w:pPr>
      <w:r w:rsidRPr="00381087">
        <w:rPr>
          <w:b/>
        </w:rPr>
        <w:t>Goals, Objectives and Performance Metrix</w:t>
      </w:r>
      <w:r w:rsidRPr="00381087">
        <w:rPr>
          <w:b/>
        </w:rPr>
        <w:tab/>
      </w:r>
      <w:r w:rsidRPr="00381087">
        <w:rPr>
          <w:b/>
        </w:rPr>
        <w:tab/>
      </w:r>
      <w:r w:rsidRPr="00381087">
        <w:rPr>
          <w:b/>
        </w:rPr>
        <w:tab/>
      </w:r>
      <w:r w:rsidRPr="00381087">
        <w:rPr>
          <w:b/>
        </w:rPr>
        <w:tab/>
        <w:t>10</w:t>
      </w:r>
    </w:p>
    <w:p w:rsidR="0000074E" w:rsidRPr="00381087" w:rsidRDefault="0000074E" w:rsidP="0000074E">
      <w:pPr>
        <w:rPr>
          <w:b/>
        </w:rPr>
      </w:pPr>
    </w:p>
    <w:p w:rsidR="0000074E" w:rsidRPr="00381087" w:rsidRDefault="0000074E" w:rsidP="0000074E">
      <w:pPr>
        <w:rPr>
          <w:b/>
        </w:rPr>
      </w:pPr>
      <w:r w:rsidRPr="00381087">
        <w:rPr>
          <w:b/>
        </w:rPr>
        <w:t>Funding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1</w:t>
      </w:r>
      <w:r w:rsidR="00AF2BCE">
        <w:rPr>
          <w:b/>
        </w:rPr>
        <w:t>2</w:t>
      </w:r>
    </w:p>
    <w:p w:rsidR="0000074E" w:rsidRPr="00381087" w:rsidRDefault="0000074E" w:rsidP="0000074E">
      <w:pPr>
        <w:rPr>
          <w:b/>
        </w:rPr>
      </w:pPr>
    </w:p>
    <w:p w:rsidR="0000074E" w:rsidRPr="00381087" w:rsidRDefault="0000074E" w:rsidP="0000074E">
      <w:pPr>
        <w:rPr>
          <w:b/>
        </w:rPr>
      </w:pPr>
      <w:r w:rsidRPr="00381087">
        <w:rPr>
          <w:b/>
        </w:rPr>
        <w:t>Eligibility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1</w:t>
      </w:r>
      <w:r w:rsidR="00AF2BCE">
        <w:rPr>
          <w:b/>
        </w:rPr>
        <w:t>5</w:t>
      </w:r>
      <w:r w:rsidRPr="00381087">
        <w:rPr>
          <w:b/>
        </w:rPr>
        <w:t xml:space="preserve"> </w:t>
      </w:r>
    </w:p>
    <w:p w:rsidR="0000074E" w:rsidRPr="00381087" w:rsidRDefault="0000074E" w:rsidP="0000074E">
      <w:pPr>
        <w:rPr>
          <w:b/>
        </w:rPr>
      </w:pPr>
    </w:p>
    <w:p w:rsidR="0000074E" w:rsidRPr="00381087" w:rsidRDefault="0000074E" w:rsidP="0000074E">
      <w:pPr>
        <w:rPr>
          <w:b/>
        </w:rPr>
      </w:pPr>
      <w:r w:rsidRPr="00381087">
        <w:rPr>
          <w:b/>
        </w:rPr>
        <w:t>Application Submission Information</w:t>
      </w:r>
      <w:r w:rsidRPr="00381087">
        <w:rPr>
          <w:b/>
        </w:rPr>
        <w:tab/>
      </w:r>
      <w:r w:rsidRPr="00381087">
        <w:rPr>
          <w:b/>
        </w:rPr>
        <w:tab/>
      </w:r>
      <w:r w:rsidRPr="00381087">
        <w:rPr>
          <w:b/>
        </w:rPr>
        <w:tab/>
      </w:r>
      <w:r w:rsidRPr="00381087">
        <w:rPr>
          <w:b/>
        </w:rPr>
        <w:tab/>
      </w:r>
      <w:r w:rsidRPr="00381087">
        <w:rPr>
          <w:b/>
        </w:rPr>
        <w:tab/>
        <w:t>1</w:t>
      </w:r>
      <w:r w:rsidR="00AF2BCE">
        <w:rPr>
          <w:b/>
        </w:rPr>
        <w:t>6</w:t>
      </w:r>
      <w:r w:rsidRPr="00381087">
        <w:rPr>
          <w:b/>
        </w:rPr>
        <w:t xml:space="preserve"> </w:t>
      </w:r>
    </w:p>
    <w:p w:rsidR="0000074E" w:rsidRPr="00381087" w:rsidRDefault="0000074E" w:rsidP="0000074E">
      <w:pPr>
        <w:rPr>
          <w:b/>
        </w:rPr>
      </w:pPr>
    </w:p>
    <w:p w:rsidR="0000074E" w:rsidRPr="00381087" w:rsidRDefault="0000074E" w:rsidP="0000074E">
      <w:pPr>
        <w:widowControl/>
        <w:spacing w:after="200" w:line="276" w:lineRule="auto"/>
        <w:ind w:left="360"/>
        <w:rPr>
          <w:b/>
        </w:rPr>
      </w:pPr>
      <w:r w:rsidRPr="00381087">
        <w:rPr>
          <w:b/>
        </w:rPr>
        <w:t xml:space="preserve">      Award Administration Information                                                           </w:t>
      </w:r>
      <w:r w:rsidR="00AF2BCE">
        <w:rPr>
          <w:b/>
        </w:rPr>
        <w:t>19</w:t>
      </w:r>
    </w:p>
    <w:p w:rsidR="0000074E" w:rsidRPr="00381087" w:rsidRDefault="0000074E" w:rsidP="0000074E">
      <w:pPr>
        <w:ind w:left="360" w:firstLine="360"/>
        <w:rPr>
          <w:b/>
        </w:rPr>
      </w:pPr>
      <w:r w:rsidRPr="00381087">
        <w:rPr>
          <w:b/>
        </w:rPr>
        <w:t>State Awarding Agency Contact(s)</w:t>
      </w:r>
      <w:r w:rsidRPr="00381087">
        <w:rPr>
          <w:b/>
        </w:rPr>
        <w:tab/>
      </w:r>
      <w:r w:rsidRPr="00381087">
        <w:rPr>
          <w:b/>
        </w:rPr>
        <w:tab/>
      </w:r>
      <w:r w:rsidRPr="00381087">
        <w:rPr>
          <w:b/>
        </w:rPr>
        <w:tab/>
      </w:r>
      <w:r w:rsidRPr="00381087">
        <w:rPr>
          <w:b/>
        </w:rPr>
        <w:tab/>
      </w:r>
      <w:r w:rsidRPr="00381087">
        <w:rPr>
          <w:b/>
        </w:rPr>
        <w:tab/>
      </w:r>
      <w:r w:rsidRPr="00381087">
        <w:rPr>
          <w:b/>
        </w:rPr>
        <w:tab/>
        <w:t>2</w:t>
      </w:r>
      <w:r w:rsidR="00AF2BCE">
        <w:rPr>
          <w:b/>
        </w:rPr>
        <w:t>0</w:t>
      </w:r>
    </w:p>
    <w:p w:rsidR="0000074E" w:rsidRPr="00381087" w:rsidRDefault="0000074E" w:rsidP="0000074E">
      <w:pPr>
        <w:rPr>
          <w:b/>
        </w:rPr>
      </w:pPr>
    </w:p>
    <w:p w:rsidR="0000074E" w:rsidRPr="00381087" w:rsidRDefault="0000074E" w:rsidP="0000074E">
      <w:pPr>
        <w:rPr>
          <w:b/>
        </w:rPr>
      </w:pPr>
      <w:r w:rsidRPr="00381087">
        <w:rPr>
          <w:b/>
        </w:rPr>
        <w:t>Other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2</w:t>
      </w:r>
      <w:r w:rsidR="00AF2BCE">
        <w:rPr>
          <w:b/>
        </w:rPr>
        <w:t>0</w:t>
      </w:r>
    </w:p>
    <w:p w:rsidR="0000074E" w:rsidRPr="00381087" w:rsidRDefault="0000074E" w:rsidP="0000074E">
      <w:pPr>
        <w:rPr>
          <w:b/>
        </w:rPr>
      </w:pPr>
    </w:p>
    <w:p w:rsidR="0000074E" w:rsidRPr="00381087" w:rsidRDefault="0000074E" w:rsidP="0000074E">
      <w:pPr>
        <w:rPr>
          <w:b/>
        </w:rPr>
      </w:pPr>
    </w:p>
    <w:p w:rsidR="0000074E" w:rsidRDefault="0000074E" w:rsidP="00940248">
      <w:pPr>
        <w:jc w:val="center"/>
        <w:rPr>
          <w:b/>
          <w:sz w:val="22"/>
          <w:szCs w:val="22"/>
        </w:rPr>
      </w:pPr>
    </w:p>
    <w:p w:rsidR="00943515" w:rsidRDefault="00943515" w:rsidP="00940248">
      <w:pPr>
        <w:jc w:val="center"/>
        <w:rPr>
          <w:b/>
          <w:sz w:val="22"/>
          <w:szCs w:val="22"/>
        </w:rPr>
      </w:pPr>
    </w:p>
    <w:p w:rsidR="00943515" w:rsidRDefault="00943515" w:rsidP="00940248">
      <w:pPr>
        <w:jc w:val="center"/>
        <w:rPr>
          <w:b/>
          <w:sz w:val="22"/>
          <w:szCs w:val="22"/>
        </w:rPr>
      </w:pPr>
    </w:p>
    <w:p w:rsidR="00943515" w:rsidRDefault="00943515" w:rsidP="00940248">
      <w:pPr>
        <w:jc w:val="center"/>
        <w:rPr>
          <w:b/>
          <w:sz w:val="22"/>
          <w:szCs w:val="22"/>
        </w:rPr>
      </w:pPr>
    </w:p>
    <w:p w:rsidR="00943515" w:rsidRDefault="00943515" w:rsidP="00940248">
      <w:pPr>
        <w:jc w:val="center"/>
        <w:rPr>
          <w:b/>
          <w:sz w:val="22"/>
          <w:szCs w:val="22"/>
        </w:rPr>
      </w:pPr>
    </w:p>
    <w:p w:rsidR="00943515" w:rsidRDefault="00943515" w:rsidP="00940248">
      <w:pPr>
        <w:jc w:val="center"/>
        <w:rPr>
          <w:b/>
          <w:sz w:val="22"/>
          <w:szCs w:val="22"/>
        </w:rPr>
      </w:pPr>
    </w:p>
    <w:p w:rsidR="00943515" w:rsidRDefault="00943515" w:rsidP="00940248">
      <w:pPr>
        <w:jc w:val="center"/>
        <w:rPr>
          <w:b/>
          <w:sz w:val="22"/>
          <w:szCs w:val="22"/>
        </w:rPr>
      </w:pPr>
    </w:p>
    <w:p w:rsidR="00943515" w:rsidRDefault="00943515" w:rsidP="00940248">
      <w:pPr>
        <w:jc w:val="center"/>
        <w:rPr>
          <w:b/>
          <w:sz w:val="22"/>
          <w:szCs w:val="22"/>
        </w:rPr>
      </w:pPr>
    </w:p>
    <w:p w:rsidR="00943515" w:rsidRDefault="00943515" w:rsidP="00940248">
      <w:pPr>
        <w:jc w:val="center"/>
        <w:rPr>
          <w:b/>
          <w:sz w:val="22"/>
          <w:szCs w:val="22"/>
        </w:rPr>
      </w:pPr>
    </w:p>
    <w:p w:rsidR="00943515" w:rsidRDefault="00943515" w:rsidP="00940248">
      <w:pPr>
        <w:jc w:val="center"/>
        <w:rPr>
          <w:b/>
          <w:sz w:val="22"/>
          <w:szCs w:val="22"/>
        </w:rPr>
      </w:pPr>
    </w:p>
    <w:p w:rsidR="00943515" w:rsidRDefault="00943515" w:rsidP="00940248">
      <w:pPr>
        <w:jc w:val="center"/>
        <w:rPr>
          <w:b/>
          <w:sz w:val="22"/>
          <w:szCs w:val="22"/>
        </w:rPr>
      </w:pPr>
    </w:p>
    <w:p w:rsidR="0000074E" w:rsidRDefault="0000074E" w:rsidP="00940248">
      <w:pPr>
        <w:jc w:val="center"/>
        <w:rPr>
          <w:b/>
          <w:sz w:val="22"/>
          <w:szCs w:val="22"/>
        </w:rPr>
      </w:pPr>
    </w:p>
    <w:p w:rsidR="007C00B4" w:rsidRPr="009B3C18" w:rsidRDefault="00A9052E" w:rsidP="00940248">
      <w:pPr>
        <w:jc w:val="center"/>
        <w:rPr>
          <w:sz w:val="22"/>
          <w:szCs w:val="22"/>
        </w:rPr>
      </w:pPr>
      <w:r w:rsidRPr="009B3C18">
        <w:rPr>
          <w:b/>
          <w:sz w:val="22"/>
          <w:szCs w:val="22"/>
        </w:rPr>
        <w:lastRenderedPageBreak/>
        <w:t>Uniform Notice for Funding Opportunity (NOFO)</w:t>
      </w:r>
    </w:p>
    <w:p w:rsidR="007C00B4" w:rsidRDefault="004803E3" w:rsidP="00735C25">
      <w:pPr>
        <w:jc w:val="center"/>
      </w:pPr>
      <w:r w:rsidRPr="009B3C18">
        <w:t xml:space="preserve">Victims of Crime Act </w:t>
      </w:r>
      <w:r>
        <w:t>Statewide Domestic Violence Hotline</w:t>
      </w:r>
      <w:r w:rsidRPr="009B3C18">
        <w:t xml:space="preserve"> Services Program</w:t>
      </w:r>
    </w:p>
    <w:p w:rsidR="004803E3" w:rsidRPr="009B3C18" w:rsidRDefault="004803E3" w:rsidP="00735C25">
      <w:pPr>
        <w:jc w:val="center"/>
      </w:pPr>
    </w:p>
    <w:tbl>
      <w:tblPr>
        <w:tblStyle w:val="5"/>
        <w:tblW w:w="9573"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7C00B4" w:rsidRPr="009B3C18">
        <w:tc>
          <w:tcPr>
            <w:tcW w:w="429" w:type="dxa"/>
            <w:shd w:val="clear" w:color="auto" w:fill="D9D9D9"/>
          </w:tcPr>
          <w:p w:rsidR="007C00B4" w:rsidRPr="009B3C18" w:rsidRDefault="007C00B4" w:rsidP="00735C25">
            <w:pPr>
              <w:jc w:val="center"/>
            </w:pPr>
          </w:p>
        </w:tc>
        <w:tc>
          <w:tcPr>
            <w:tcW w:w="3459" w:type="dxa"/>
            <w:shd w:val="clear" w:color="auto" w:fill="D9D9D9"/>
          </w:tcPr>
          <w:p w:rsidR="007C00B4" w:rsidRPr="009B3C18" w:rsidRDefault="00A9052E" w:rsidP="00735C25">
            <w:pPr>
              <w:jc w:val="center"/>
            </w:pPr>
            <w:r w:rsidRPr="009B3C18">
              <w:rPr>
                <w:b/>
              </w:rPr>
              <w:t>Data Field</w:t>
            </w:r>
          </w:p>
        </w:tc>
        <w:tc>
          <w:tcPr>
            <w:tcW w:w="5685" w:type="dxa"/>
            <w:shd w:val="clear" w:color="auto" w:fill="D9D9D9"/>
          </w:tcPr>
          <w:p w:rsidR="007C00B4" w:rsidRPr="009B3C18" w:rsidRDefault="007C00B4" w:rsidP="00735C25">
            <w:pPr>
              <w:jc w:val="center"/>
            </w:pP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Awarding Agency Name:</w:t>
            </w:r>
            <w:r w:rsidRPr="009B3C18">
              <w:rPr>
                <w:color w:val="333333"/>
              </w:rPr>
              <w:tab/>
            </w:r>
          </w:p>
        </w:tc>
        <w:tc>
          <w:tcPr>
            <w:tcW w:w="5685" w:type="dxa"/>
          </w:tcPr>
          <w:p w:rsidR="007C00B4" w:rsidRPr="009B3C18" w:rsidRDefault="00A9052E" w:rsidP="00735C25">
            <w:r w:rsidRPr="009B3C18">
              <w:t>Illinois Criminal Justice Information Authority</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Agency Contact:</w:t>
            </w:r>
          </w:p>
        </w:tc>
        <w:tc>
          <w:tcPr>
            <w:tcW w:w="5685" w:type="dxa"/>
          </w:tcPr>
          <w:p w:rsidR="007C00B4" w:rsidRPr="009B3C18" w:rsidRDefault="00A9052E" w:rsidP="00735C25">
            <w:r w:rsidRPr="009B3C18">
              <w:t>Ronnie J</w:t>
            </w:r>
            <w:r w:rsidR="005F5705">
              <w:t>.</w:t>
            </w:r>
            <w:r w:rsidRPr="009B3C18">
              <w:t xml:space="preserve"> Reichgelt, Victim Services Administrator</w:t>
            </w:r>
          </w:p>
          <w:p w:rsidR="007C00B4" w:rsidRPr="009B3C18" w:rsidRDefault="00A9052E" w:rsidP="00735C25">
            <w:r w:rsidRPr="009B3C18">
              <w:t>Illinois Criminal Justice Information Authority</w:t>
            </w:r>
          </w:p>
          <w:p w:rsidR="007C00B4" w:rsidRPr="009B3C18" w:rsidRDefault="00A9052E" w:rsidP="00735C25">
            <w:r w:rsidRPr="009B3C18">
              <w:t>300 West Adams, Suite 200</w:t>
            </w:r>
          </w:p>
          <w:p w:rsidR="007C00B4" w:rsidRPr="009B3C18" w:rsidRDefault="00A9052E" w:rsidP="00735C25">
            <w:r w:rsidRPr="009B3C18">
              <w:t>Chicago, IL 60606</w:t>
            </w:r>
          </w:p>
          <w:p w:rsidR="007C00B4" w:rsidRPr="009B3C18" w:rsidRDefault="00A9052E" w:rsidP="00735C25">
            <w:r w:rsidRPr="009B3C18">
              <w:t>ronnie.reichgelt@illinois.gov</w:t>
            </w:r>
          </w:p>
          <w:p w:rsidR="007C00B4" w:rsidRPr="009B3C18" w:rsidRDefault="00A9052E" w:rsidP="00735C25">
            <w:r w:rsidRPr="009B3C18">
              <w:t>312-793-0835</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Announcement Type:</w:t>
            </w:r>
          </w:p>
        </w:tc>
        <w:tc>
          <w:tcPr>
            <w:tcW w:w="5685" w:type="dxa"/>
          </w:tcPr>
          <w:p w:rsidR="007C00B4" w:rsidRPr="009B3C18" w:rsidRDefault="00A9052E" w:rsidP="00735C25">
            <w:r w:rsidRPr="009B3C18">
              <w:t xml:space="preserve">X Initial announcement   </w:t>
            </w:r>
          </w:p>
          <w:p w:rsidR="007C00B4" w:rsidRPr="009B3C18" w:rsidRDefault="00A9052E" w:rsidP="00735C25">
            <w:r w:rsidRPr="009B3C18">
              <w:t>□ Modification of a previous announcement</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Type of Assistance Instrument:</w:t>
            </w:r>
          </w:p>
        </w:tc>
        <w:tc>
          <w:tcPr>
            <w:tcW w:w="5685" w:type="dxa"/>
          </w:tcPr>
          <w:p w:rsidR="007C00B4" w:rsidRPr="009B3C18" w:rsidRDefault="00A9052E" w:rsidP="00735C25">
            <w:r w:rsidRPr="009B3C18">
              <w:t>Grant</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 xml:space="preserve">Funding Opportunity Number: </w:t>
            </w:r>
            <w:r w:rsidRPr="009B3C18">
              <w:rPr>
                <w:color w:val="333333"/>
              </w:rPr>
              <w:tab/>
            </w:r>
          </w:p>
        </w:tc>
        <w:tc>
          <w:tcPr>
            <w:tcW w:w="5685" w:type="dxa"/>
          </w:tcPr>
          <w:p w:rsidR="007C00B4" w:rsidRPr="009B3C18" w:rsidRDefault="008A0D96" w:rsidP="00D51AC8">
            <w:r w:rsidRPr="008A0D96">
              <w:t>1564-1126</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Funding Opportunity Title:</w:t>
            </w:r>
          </w:p>
        </w:tc>
        <w:tc>
          <w:tcPr>
            <w:tcW w:w="5685" w:type="dxa"/>
          </w:tcPr>
          <w:p w:rsidR="007C00B4" w:rsidRPr="009B3C18" w:rsidRDefault="00A9052E" w:rsidP="00A40B4E">
            <w:r w:rsidRPr="009B3C18">
              <w:t xml:space="preserve">Victims of Crime Act </w:t>
            </w:r>
            <w:r w:rsidR="00166335">
              <w:t>Statewide Domestic Violence Hotline</w:t>
            </w:r>
            <w:r w:rsidRPr="009B3C18">
              <w:t xml:space="preserve"> Services Program</w:t>
            </w:r>
          </w:p>
        </w:tc>
      </w:tr>
      <w:tr w:rsidR="007C00B4" w:rsidRPr="009B3C18">
        <w:tc>
          <w:tcPr>
            <w:tcW w:w="429" w:type="dxa"/>
          </w:tcPr>
          <w:p w:rsidR="007C00B4" w:rsidRPr="009B3C18" w:rsidRDefault="007C00B4" w:rsidP="006057F6">
            <w:pPr>
              <w:numPr>
                <w:ilvl w:val="0"/>
                <w:numId w:val="1"/>
              </w:numPr>
              <w:spacing w:after="200"/>
              <w:ind w:hanging="360"/>
              <w:rPr>
                <w:color w:val="363636"/>
              </w:rPr>
            </w:pPr>
          </w:p>
        </w:tc>
        <w:tc>
          <w:tcPr>
            <w:tcW w:w="3459" w:type="dxa"/>
          </w:tcPr>
          <w:p w:rsidR="007C00B4" w:rsidRPr="009B3C18" w:rsidRDefault="00A9052E" w:rsidP="00735C25">
            <w:r w:rsidRPr="009B3C18">
              <w:rPr>
                <w:color w:val="363636"/>
              </w:rPr>
              <w:t>CSFA Number:</w:t>
            </w:r>
          </w:p>
        </w:tc>
        <w:tc>
          <w:tcPr>
            <w:tcW w:w="5685" w:type="dxa"/>
          </w:tcPr>
          <w:p w:rsidR="007C00B4" w:rsidRPr="008A0D96" w:rsidRDefault="00EC680C" w:rsidP="00735C25">
            <w:r w:rsidRPr="008A0D96">
              <w:t>546-00-</w:t>
            </w:r>
            <w:r w:rsidR="008A0D96" w:rsidRPr="008A0D96">
              <w:t>1564</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CSFA Popular Name:</w:t>
            </w:r>
          </w:p>
        </w:tc>
        <w:tc>
          <w:tcPr>
            <w:tcW w:w="5685" w:type="dxa"/>
          </w:tcPr>
          <w:p w:rsidR="007C00B4" w:rsidRPr="009B3C18" w:rsidRDefault="00A9052E" w:rsidP="002A4AAF">
            <w:r w:rsidRPr="009B3C18">
              <w:t>VOCA FFY1</w:t>
            </w:r>
            <w:r w:rsidR="00B62880">
              <w:t>7</w:t>
            </w:r>
          </w:p>
        </w:tc>
      </w:tr>
      <w:tr w:rsidR="007C00B4" w:rsidRPr="009B3C18">
        <w:trPr>
          <w:trHeight w:val="480"/>
        </w:trPr>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CFDA Number(s):</w:t>
            </w:r>
          </w:p>
        </w:tc>
        <w:tc>
          <w:tcPr>
            <w:tcW w:w="5685" w:type="dxa"/>
          </w:tcPr>
          <w:p w:rsidR="007C00B4" w:rsidRPr="009B3C18" w:rsidRDefault="00A9052E" w:rsidP="00735C25">
            <w:r w:rsidRPr="009B3C18">
              <w:t>16.575</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Anticipated Number of Awards:</w:t>
            </w:r>
          </w:p>
        </w:tc>
        <w:tc>
          <w:tcPr>
            <w:tcW w:w="5685" w:type="dxa"/>
          </w:tcPr>
          <w:p w:rsidR="007C00B4" w:rsidRPr="009B3C18" w:rsidRDefault="00F8609C" w:rsidP="00735C25">
            <w:r w:rsidRPr="009B3C18">
              <w:t>1</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Estimated Total Program Funding:</w:t>
            </w:r>
          </w:p>
        </w:tc>
        <w:tc>
          <w:tcPr>
            <w:tcW w:w="5685" w:type="dxa"/>
          </w:tcPr>
          <w:p w:rsidR="007C00B4" w:rsidRPr="009B3C18" w:rsidRDefault="00A9052E" w:rsidP="00735C25">
            <w:r w:rsidRPr="009B3C18">
              <w:t>$</w:t>
            </w:r>
            <w:r w:rsidR="00166335">
              <w:t>455</w:t>
            </w:r>
            <w:r w:rsidRPr="009B3C18">
              <w:t>,000</w:t>
            </w:r>
          </w:p>
        </w:tc>
      </w:tr>
      <w:tr w:rsidR="007C00B4" w:rsidRPr="009B3C18">
        <w:tc>
          <w:tcPr>
            <w:tcW w:w="429" w:type="dxa"/>
          </w:tcPr>
          <w:p w:rsidR="007C00B4" w:rsidRPr="009B3C18" w:rsidRDefault="007C00B4" w:rsidP="006057F6">
            <w:pPr>
              <w:numPr>
                <w:ilvl w:val="0"/>
                <w:numId w:val="1"/>
              </w:numPr>
              <w:spacing w:after="200"/>
              <w:ind w:hanging="360"/>
            </w:pPr>
          </w:p>
        </w:tc>
        <w:tc>
          <w:tcPr>
            <w:tcW w:w="3459" w:type="dxa"/>
          </w:tcPr>
          <w:p w:rsidR="007C00B4" w:rsidRPr="009B3C18" w:rsidRDefault="00A9052E" w:rsidP="00735C25">
            <w:r w:rsidRPr="009B3C18">
              <w:t>Award Range</w:t>
            </w:r>
          </w:p>
        </w:tc>
        <w:tc>
          <w:tcPr>
            <w:tcW w:w="5685" w:type="dxa"/>
          </w:tcPr>
          <w:p w:rsidR="007C00B4" w:rsidRPr="009B3C18" w:rsidRDefault="00A9052E" w:rsidP="00735C25">
            <w:r w:rsidRPr="009B3C18">
              <w:t>N/A</w:t>
            </w:r>
          </w:p>
        </w:tc>
      </w:tr>
      <w:tr w:rsidR="007C00B4" w:rsidRPr="009B3C18">
        <w:tc>
          <w:tcPr>
            <w:tcW w:w="429" w:type="dxa"/>
          </w:tcPr>
          <w:p w:rsidR="007C00B4" w:rsidRPr="009B3C18" w:rsidRDefault="007C00B4" w:rsidP="006057F6">
            <w:pPr>
              <w:numPr>
                <w:ilvl w:val="0"/>
                <w:numId w:val="1"/>
              </w:numPr>
              <w:spacing w:after="200"/>
              <w:ind w:hanging="360"/>
            </w:pPr>
          </w:p>
        </w:tc>
        <w:tc>
          <w:tcPr>
            <w:tcW w:w="3459" w:type="dxa"/>
          </w:tcPr>
          <w:p w:rsidR="007C00B4" w:rsidRPr="009B3C18" w:rsidRDefault="00A9052E" w:rsidP="00735C25">
            <w:r w:rsidRPr="009B3C18">
              <w:t>Source of Funding:</w:t>
            </w:r>
          </w:p>
        </w:tc>
        <w:tc>
          <w:tcPr>
            <w:tcW w:w="5685" w:type="dxa"/>
          </w:tcPr>
          <w:p w:rsidR="007C00B4" w:rsidRPr="009B3C18" w:rsidRDefault="00A9052E" w:rsidP="00735C25">
            <w:pPr>
              <w:ind w:hanging="18"/>
            </w:pPr>
            <w:r w:rsidRPr="009B3C18">
              <w:t>X Federal or Federal pass-through</w:t>
            </w:r>
          </w:p>
          <w:p w:rsidR="007C00B4" w:rsidRPr="009B3C18" w:rsidRDefault="00A9052E" w:rsidP="00735C25">
            <w:pPr>
              <w:ind w:hanging="18"/>
            </w:pPr>
            <w:r w:rsidRPr="009B3C18">
              <w:t xml:space="preserve">□ State </w:t>
            </w:r>
          </w:p>
          <w:p w:rsidR="007C00B4" w:rsidRPr="009B3C18" w:rsidRDefault="00A9052E" w:rsidP="00735C25">
            <w:pPr>
              <w:ind w:hanging="18"/>
            </w:pPr>
            <w:r w:rsidRPr="009B3C18">
              <w:t xml:space="preserve">□ Private / other funding </w:t>
            </w:r>
          </w:p>
          <w:p w:rsidR="007C00B4" w:rsidRPr="009B3C18" w:rsidRDefault="007C00B4" w:rsidP="00735C25">
            <w:pPr>
              <w:ind w:hanging="18"/>
              <w:jc w:val="center"/>
            </w:pP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Cost Sharing or Matching Requirement:</w:t>
            </w:r>
          </w:p>
        </w:tc>
        <w:tc>
          <w:tcPr>
            <w:tcW w:w="5685" w:type="dxa"/>
          </w:tcPr>
          <w:p w:rsidR="0086473C" w:rsidRDefault="00A9052E" w:rsidP="00735C25">
            <w:r w:rsidRPr="009B3C18">
              <w:t xml:space="preserve">X Yes    □ No   </w:t>
            </w:r>
          </w:p>
          <w:p w:rsidR="00BC6F8E" w:rsidRPr="009B3C18" w:rsidRDefault="00BC6F8E" w:rsidP="00735C25">
            <w:pPr>
              <w:ind w:left="-38"/>
            </w:pPr>
            <w:r w:rsidRPr="009B3C18">
              <w:rPr>
                <w:b/>
                <w:bCs/>
                <w:u w:val="single"/>
              </w:rPr>
              <w:t>Sub-recipient/grantees must meet the program match requirement.  Detail how the match r</w:t>
            </w:r>
            <w:r w:rsidR="0086473C">
              <w:rPr>
                <w:b/>
                <w:bCs/>
                <w:u w:val="single"/>
              </w:rPr>
              <w:t>equirement will be met in your b</w:t>
            </w:r>
            <w:r w:rsidRPr="009B3C18">
              <w:rPr>
                <w:b/>
                <w:bCs/>
                <w:u w:val="single"/>
              </w:rPr>
              <w:t>udget narrative</w:t>
            </w:r>
            <w:r w:rsidR="00687944" w:rsidRPr="009B3C18">
              <w:rPr>
                <w:b/>
                <w:bCs/>
                <w:u w:val="single"/>
              </w:rPr>
              <w:t>.</w:t>
            </w:r>
          </w:p>
        </w:tc>
      </w:tr>
      <w:tr w:rsidR="007C00B4" w:rsidRPr="009B3C18">
        <w:tc>
          <w:tcPr>
            <w:tcW w:w="429" w:type="dxa"/>
          </w:tcPr>
          <w:p w:rsidR="007C00B4" w:rsidRPr="009B3C18" w:rsidRDefault="007C00B4" w:rsidP="006057F6">
            <w:pPr>
              <w:numPr>
                <w:ilvl w:val="0"/>
                <w:numId w:val="1"/>
              </w:numPr>
              <w:spacing w:after="200"/>
              <w:ind w:hanging="360"/>
            </w:pPr>
          </w:p>
        </w:tc>
        <w:tc>
          <w:tcPr>
            <w:tcW w:w="3459" w:type="dxa"/>
          </w:tcPr>
          <w:p w:rsidR="007C00B4" w:rsidRPr="009B3C18" w:rsidRDefault="00A9052E" w:rsidP="00735C25">
            <w:r w:rsidRPr="009B3C18">
              <w:t>Indirect Costs Allowed</w:t>
            </w:r>
          </w:p>
          <w:p w:rsidR="007C00B4" w:rsidRPr="009B3C18" w:rsidRDefault="00A9052E" w:rsidP="00735C25">
            <w:r w:rsidRPr="009B3C18">
              <w:t>Restrictions on Indirect Costs</w:t>
            </w:r>
          </w:p>
          <w:p w:rsidR="007C00B4" w:rsidRPr="009B3C18" w:rsidRDefault="007C00B4" w:rsidP="00735C25"/>
        </w:tc>
        <w:tc>
          <w:tcPr>
            <w:tcW w:w="5685" w:type="dxa"/>
          </w:tcPr>
          <w:p w:rsidR="007C00B4" w:rsidRPr="0086473C" w:rsidRDefault="00A9052E" w:rsidP="00735C25">
            <w:r w:rsidRPr="009B3C18">
              <w:t xml:space="preserve">X </w:t>
            </w:r>
            <w:r w:rsidRPr="0086473C">
              <w:t xml:space="preserve">Yes    □ No   </w:t>
            </w:r>
          </w:p>
          <w:p w:rsidR="007C00B4" w:rsidRPr="009B3C18" w:rsidRDefault="00A9052E" w:rsidP="00735C25">
            <w:r w:rsidRPr="009B3C18">
              <w:t xml:space="preserve">□ Yes    X No   </w:t>
            </w:r>
          </w:p>
          <w:p w:rsidR="007C00B4" w:rsidRPr="009B3C18" w:rsidRDefault="00A9052E" w:rsidP="00735C25">
            <w:r w:rsidRPr="009B3C18">
              <w:t xml:space="preserve">If yes, provide the citation governing the restriction:  </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 xml:space="preserve">Posted Date: </w:t>
            </w:r>
            <w:r w:rsidRPr="009B3C18">
              <w:rPr>
                <w:color w:val="333333"/>
              </w:rPr>
              <w:tab/>
            </w:r>
          </w:p>
        </w:tc>
        <w:tc>
          <w:tcPr>
            <w:tcW w:w="5685" w:type="dxa"/>
          </w:tcPr>
          <w:p w:rsidR="007C00B4" w:rsidRPr="009B3C18" w:rsidRDefault="003D122E" w:rsidP="006E5FD5">
            <w:r>
              <w:t>May 24, 2019</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Closing Date for Applications:</w:t>
            </w:r>
          </w:p>
        </w:tc>
        <w:tc>
          <w:tcPr>
            <w:tcW w:w="5685" w:type="dxa"/>
          </w:tcPr>
          <w:p w:rsidR="007C00B4" w:rsidRPr="009B3C18" w:rsidRDefault="00166335" w:rsidP="006E5FD5">
            <w:r>
              <w:rPr>
                <w:b/>
              </w:rPr>
              <w:t>Ju</w:t>
            </w:r>
            <w:r w:rsidR="00B72FF8">
              <w:rPr>
                <w:b/>
              </w:rPr>
              <w:t>ly 0</w:t>
            </w:r>
            <w:r w:rsidR="00B62880">
              <w:rPr>
                <w:b/>
              </w:rPr>
              <w:t>1</w:t>
            </w:r>
            <w:r w:rsidR="0075477F">
              <w:rPr>
                <w:b/>
              </w:rPr>
              <w:t>, 201</w:t>
            </w:r>
            <w:r w:rsidR="00B62880">
              <w:rPr>
                <w:b/>
              </w:rPr>
              <w:t>9</w:t>
            </w:r>
          </w:p>
        </w:tc>
      </w:tr>
      <w:tr w:rsidR="007C00B4" w:rsidRPr="009B3C18">
        <w:tc>
          <w:tcPr>
            <w:tcW w:w="429" w:type="dxa"/>
          </w:tcPr>
          <w:p w:rsidR="007C00B4" w:rsidRPr="009B3C18" w:rsidRDefault="007C00B4" w:rsidP="006057F6">
            <w:pPr>
              <w:numPr>
                <w:ilvl w:val="0"/>
                <w:numId w:val="1"/>
              </w:numPr>
              <w:spacing w:after="200"/>
              <w:ind w:hanging="360"/>
              <w:rPr>
                <w:color w:val="333333"/>
              </w:rPr>
            </w:pPr>
          </w:p>
        </w:tc>
        <w:tc>
          <w:tcPr>
            <w:tcW w:w="3459" w:type="dxa"/>
          </w:tcPr>
          <w:p w:rsidR="007C00B4" w:rsidRPr="009B3C18" w:rsidRDefault="00A9052E" w:rsidP="00735C25">
            <w:r w:rsidRPr="009B3C18">
              <w:rPr>
                <w:color w:val="333333"/>
              </w:rPr>
              <w:t>Technical Assistance Session:</w:t>
            </w:r>
          </w:p>
        </w:tc>
        <w:tc>
          <w:tcPr>
            <w:tcW w:w="5685" w:type="dxa"/>
          </w:tcPr>
          <w:p w:rsidR="007C00B4" w:rsidRPr="009B3C18" w:rsidRDefault="00A9052E" w:rsidP="00735C25">
            <w:r w:rsidRPr="009B3C18">
              <w:t xml:space="preserve">Session Offered:   □ Yes    X No   </w:t>
            </w:r>
          </w:p>
          <w:p w:rsidR="007C00B4" w:rsidRPr="009B3C18" w:rsidRDefault="00A9052E" w:rsidP="00735C25">
            <w:r w:rsidRPr="009B3C18">
              <w:t>Sessi</w:t>
            </w:r>
            <w:r w:rsidR="009B3C18">
              <w:t xml:space="preserve">on Mandatory:   □ Yes  □   No </w:t>
            </w:r>
          </w:p>
        </w:tc>
      </w:tr>
    </w:tbl>
    <w:p w:rsidR="00735C25" w:rsidRDefault="00735C25" w:rsidP="006877EA">
      <w:pPr>
        <w:ind w:left="0"/>
      </w:pPr>
    </w:p>
    <w:p w:rsidR="00544A50" w:rsidRDefault="00544A50">
      <w:r>
        <w:br w:type="page"/>
      </w:r>
    </w:p>
    <w:p w:rsidR="007C00B4" w:rsidRPr="002F0DF0" w:rsidRDefault="001C16C4" w:rsidP="006057F6">
      <w:pPr>
        <w:numPr>
          <w:ilvl w:val="0"/>
          <w:numId w:val="2"/>
        </w:numPr>
        <w:spacing w:line="276" w:lineRule="auto"/>
        <w:ind w:left="0" w:hanging="360"/>
        <w:contextualSpacing/>
        <w:rPr>
          <w:smallCaps/>
        </w:rPr>
      </w:pPr>
      <w:r w:rsidRPr="001C16C4">
        <w:rPr>
          <w:b/>
          <w:sz w:val="28"/>
          <w:szCs w:val="28"/>
        </w:rPr>
        <w:lastRenderedPageBreak/>
        <w:t>Federal Grant P</w:t>
      </w:r>
      <w:r w:rsidR="00EC04C5" w:rsidRPr="006877EA">
        <w:rPr>
          <w:b/>
          <w:sz w:val="28"/>
          <w:szCs w:val="28"/>
        </w:rPr>
        <w:t>rogram Description</w:t>
      </w:r>
    </w:p>
    <w:p w:rsidR="007C00B4" w:rsidRPr="009B3C18" w:rsidRDefault="007C00B4" w:rsidP="00735C25">
      <w:pPr>
        <w:spacing w:line="276" w:lineRule="auto"/>
      </w:pPr>
    </w:p>
    <w:p w:rsidR="00CA27A8" w:rsidRPr="00381087" w:rsidRDefault="00CA27A8" w:rsidP="00CA27A8">
      <w:pPr>
        <w:spacing w:line="276" w:lineRule="auto"/>
        <w:ind w:left="0"/>
      </w:pPr>
      <w:r w:rsidRPr="00381087">
        <w:t>The Illinois 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rsidR="00CA27A8" w:rsidRPr="00381087" w:rsidRDefault="00CA27A8" w:rsidP="00CA27A8">
      <w:pPr>
        <w:spacing w:line="276" w:lineRule="auto"/>
        <w:ind w:left="0"/>
      </w:pPr>
    </w:p>
    <w:p w:rsidR="00CA27A8" w:rsidRPr="00381087" w:rsidRDefault="00CA27A8" w:rsidP="00CA27A8">
      <w:pPr>
        <w:spacing w:line="276" w:lineRule="auto"/>
        <w:ind w:left="0"/>
      </w:pPr>
      <w:r w:rsidRPr="00381087">
        <w:t xml:space="preserve">The federal Victims of Crime Act (VOCA) was passed in 1984 </w:t>
      </w:r>
      <w:r w:rsidR="005F5705" w:rsidRPr="00381087">
        <w:t>to</w:t>
      </w:r>
      <w:r w:rsidRPr="00381087">
        <w:t xml:space="preserve"> </w:t>
      </w:r>
      <w:r w:rsidR="005F5705" w:rsidRPr="00381087">
        <w:t>compensat</w:t>
      </w:r>
      <w:r w:rsidR="005F5705">
        <w:t>e</w:t>
      </w:r>
      <w:r w:rsidR="005F5705" w:rsidRPr="00381087">
        <w:t xml:space="preserve"> </w:t>
      </w:r>
      <w:r w:rsidRPr="00381087">
        <w:t xml:space="preserve">and assist victims of crime and providing funds for training and technical assistance. </w:t>
      </w:r>
    </w:p>
    <w:p w:rsidR="00CA27A8" w:rsidRPr="00381087" w:rsidRDefault="00CA27A8" w:rsidP="00CA27A8">
      <w:pPr>
        <w:spacing w:line="276" w:lineRule="auto"/>
        <w:ind w:left="0"/>
      </w:pPr>
    </w:p>
    <w:p w:rsidR="00CA27A8" w:rsidRPr="00381087" w:rsidRDefault="00CA27A8" w:rsidP="00CA27A8">
      <w:pPr>
        <w:spacing w:line="276" w:lineRule="auto"/>
        <w:ind w:left="0"/>
      </w:pPr>
      <w:r w:rsidRPr="00381087">
        <w:t>ICJIA is the state agency charged with the administration of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201</w:t>
      </w:r>
      <w:r w:rsidR="00B62880">
        <w:t>7</w:t>
      </w:r>
      <w:r w:rsidRPr="00381087">
        <w:t>, Illinois received a VOCA award of $</w:t>
      </w:r>
      <w:r w:rsidR="00B62880">
        <w:t>71.7</w:t>
      </w:r>
      <w:r w:rsidRPr="00381087">
        <w:t xml:space="preserve"> million. </w:t>
      </w:r>
    </w:p>
    <w:p w:rsidR="00CA27A8" w:rsidRPr="00381087" w:rsidRDefault="00CA27A8" w:rsidP="00CA27A8">
      <w:pPr>
        <w:spacing w:line="276" w:lineRule="auto"/>
        <w:ind w:left="0"/>
      </w:pPr>
    </w:p>
    <w:p w:rsidR="00CA27A8" w:rsidRPr="00381087" w:rsidRDefault="00CA27A8" w:rsidP="00CA27A8">
      <w:pPr>
        <w:spacing w:line="276" w:lineRule="auto"/>
        <w:ind w:left="0"/>
      </w:pPr>
      <w:r w:rsidRPr="00381087">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381087">
        <w:rPr>
          <w:b/>
          <w:u w:val="single"/>
        </w:rPr>
        <w:t>VOCA funds may not be used to supplant or replace state and local funds that would otherwise be available for crime victim services and must be used to develop new projects or expand existing projects.</w:t>
      </w:r>
    </w:p>
    <w:p w:rsidR="00CA27A8" w:rsidRPr="00381087" w:rsidRDefault="00CA27A8" w:rsidP="00CA27A8">
      <w:pPr>
        <w:spacing w:line="276" w:lineRule="auto"/>
        <w:ind w:left="0"/>
      </w:pPr>
    </w:p>
    <w:p w:rsidR="00CA27A8" w:rsidRPr="00381087" w:rsidRDefault="00CA27A8" w:rsidP="00CA27A8">
      <w:pPr>
        <w:spacing w:line="276" w:lineRule="auto"/>
        <w:ind w:left="0"/>
      </w:pPr>
      <w:r w:rsidRPr="00381087">
        <w:t xml:space="preserve">For more information on the VOCA Program please visit: </w:t>
      </w:r>
      <w:hyperlink r:id="rId8">
        <w:r w:rsidRPr="00381087">
          <w:rPr>
            <w:color w:val="0000FF"/>
            <w:u w:val="single"/>
          </w:rPr>
          <w:t>http://ojp.gov/ovc/about/victimsfund.html</w:t>
        </w:r>
      </w:hyperlink>
      <w:r w:rsidRPr="00381087">
        <w:t xml:space="preserve">.   </w:t>
      </w:r>
    </w:p>
    <w:p w:rsidR="00CA27A8" w:rsidRPr="00381087" w:rsidRDefault="00CA27A8" w:rsidP="00CA27A8">
      <w:pPr>
        <w:spacing w:line="276" w:lineRule="auto"/>
        <w:ind w:left="0"/>
      </w:pPr>
    </w:p>
    <w:p w:rsidR="00CA27A8" w:rsidRPr="00381087" w:rsidRDefault="0060748A" w:rsidP="003C044D">
      <w:pPr>
        <w:spacing w:line="276" w:lineRule="auto"/>
        <w:ind w:left="0"/>
      </w:pPr>
      <w:r>
        <w:t>In 2016</w:t>
      </w:r>
      <w:r w:rsidR="005F5705">
        <w:t>,</w:t>
      </w:r>
      <w:r>
        <w:t xml:space="preserve"> ICJIA </w:t>
      </w:r>
      <w:r w:rsidR="00CA27A8" w:rsidRPr="00381087">
        <w:t xml:space="preserve">completed a statewide assessment of victim services in Illinois. The report was presented to the Ad Hoc Victim Services Committee for consultation and coordination with other state agencies and victim stakeholder groups. The final report’s recommendations were approved by ICJIA Board in January 2017. These recommendations outline a comprehensive plan to address victims’ needs in Illinois and are reflected in this funding opportunity where appropriate. Please see the following link to access the report and </w:t>
      </w:r>
      <w:r w:rsidR="001C16C4">
        <w:br/>
      </w:r>
      <w:r w:rsidR="00CA27A8" w:rsidRPr="00381087">
        <w:t xml:space="preserve">recommendations. </w:t>
      </w:r>
      <w:hyperlink r:id="rId9">
        <w:r w:rsidR="00CA27A8" w:rsidRPr="00381087">
          <w:rPr>
            <w:rFonts w:eastAsia="Source Sans Pro"/>
            <w:color w:val="0000FF"/>
            <w:u w:val="single"/>
          </w:rPr>
          <w:t>http://www.icjia.state.il.us/articles/ad-hoc-victim-services-committee-research-report</w:t>
        </w:r>
      </w:hyperlink>
      <w:hyperlink r:id="rId10"/>
      <w:hyperlink r:id="rId11"/>
    </w:p>
    <w:p w:rsidR="00CA27A8" w:rsidRPr="00BA1113" w:rsidRDefault="001C16C4" w:rsidP="006057F6">
      <w:pPr>
        <w:numPr>
          <w:ilvl w:val="0"/>
          <w:numId w:val="2"/>
        </w:numPr>
        <w:spacing w:line="276" w:lineRule="auto"/>
        <w:ind w:left="0" w:hanging="360"/>
        <w:contextualSpacing/>
        <w:rPr>
          <w:b/>
          <w:smallCaps/>
        </w:rPr>
      </w:pPr>
      <w:r>
        <w:rPr>
          <w:b/>
          <w:sz w:val="28"/>
          <w:szCs w:val="28"/>
        </w:rPr>
        <w:lastRenderedPageBreak/>
        <w:t xml:space="preserve">Authorizing </w:t>
      </w:r>
      <w:r w:rsidR="00CA27A8" w:rsidRPr="006877EA">
        <w:rPr>
          <w:b/>
          <w:sz w:val="28"/>
          <w:szCs w:val="28"/>
        </w:rPr>
        <w:t>Statutes</w:t>
      </w:r>
    </w:p>
    <w:p w:rsidR="00CA27A8" w:rsidRPr="00381087" w:rsidRDefault="00CA27A8" w:rsidP="00CA27A8">
      <w:pPr>
        <w:spacing w:line="276" w:lineRule="auto"/>
        <w:ind w:left="0"/>
      </w:pPr>
      <w:r w:rsidRPr="00381087">
        <w:t xml:space="preserve"> </w:t>
      </w:r>
    </w:p>
    <w:p w:rsidR="00CA27A8" w:rsidRPr="00381087" w:rsidRDefault="00CA27A8" w:rsidP="00CA27A8">
      <w:pPr>
        <w:spacing w:line="276" w:lineRule="auto"/>
        <w:ind w:left="0"/>
      </w:pPr>
      <w:r w:rsidRPr="00381087">
        <w:t>The Victims of Crime Act of 1984 established the Crime Victims Fund (34 U.S.C. 20101(c)) for the purpose of creating a special mandatory spending account dedicated to helping victims of all types of crimes. Programs authorized by the Victims of Crime Act are:</w:t>
      </w:r>
    </w:p>
    <w:p w:rsidR="00CA27A8" w:rsidRPr="00381087" w:rsidRDefault="00CA27A8" w:rsidP="00CA27A8">
      <w:pPr>
        <w:spacing w:line="276" w:lineRule="auto"/>
        <w:ind w:left="360"/>
      </w:pPr>
    </w:p>
    <w:p w:rsidR="00CA27A8" w:rsidRPr="00381087" w:rsidRDefault="00CA27A8" w:rsidP="006057F6">
      <w:pPr>
        <w:numPr>
          <w:ilvl w:val="0"/>
          <w:numId w:val="3"/>
        </w:numPr>
        <w:spacing w:line="276" w:lineRule="auto"/>
        <w:ind w:left="1080" w:hanging="360"/>
        <w:contextualSpacing/>
      </w:pPr>
      <w:r w:rsidRPr="00381087">
        <w:t>Children’s Justice Act grants</w:t>
      </w:r>
    </w:p>
    <w:p w:rsidR="00CA27A8" w:rsidRPr="00381087" w:rsidRDefault="00CA27A8" w:rsidP="006057F6">
      <w:pPr>
        <w:numPr>
          <w:ilvl w:val="0"/>
          <w:numId w:val="3"/>
        </w:numPr>
        <w:spacing w:line="276" w:lineRule="auto"/>
        <w:ind w:left="1080" w:hanging="360"/>
        <w:contextualSpacing/>
      </w:pPr>
      <w:r w:rsidRPr="00381087">
        <w:t>U.S. Attorney’s victim/witness coordinators</w:t>
      </w:r>
    </w:p>
    <w:p w:rsidR="00CA27A8" w:rsidRPr="00381087" w:rsidRDefault="00CA27A8" w:rsidP="006057F6">
      <w:pPr>
        <w:numPr>
          <w:ilvl w:val="0"/>
          <w:numId w:val="3"/>
        </w:numPr>
        <w:spacing w:line="276" w:lineRule="auto"/>
        <w:ind w:left="1080" w:hanging="360"/>
        <w:contextualSpacing/>
      </w:pPr>
      <w:r w:rsidRPr="00381087">
        <w:t>FBI victim assistance specialists</w:t>
      </w:r>
    </w:p>
    <w:p w:rsidR="00CA27A8" w:rsidRPr="00381087" w:rsidRDefault="00CA27A8" w:rsidP="006057F6">
      <w:pPr>
        <w:numPr>
          <w:ilvl w:val="0"/>
          <w:numId w:val="3"/>
        </w:numPr>
        <w:spacing w:line="276" w:lineRule="auto"/>
        <w:ind w:left="1080" w:hanging="360"/>
        <w:contextualSpacing/>
      </w:pPr>
      <w:r w:rsidRPr="00381087">
        <w:t>Federal victim notification system</w:t>
      </w:r>
    </w:p>
    <w:p w:rsidR="00CA27A8" w:rsidRPr="00381087" w:rsidRDefault="00CA27A8" w:rsidP="006057F6">
      <w:pPr>
        <w:numPr>
          <w:ilvl w:val="0"/>
          <w:numId w:val="3"/>
        </w:numPr>
        <w:spacing w:line="276" w:lineRule="auto"/>
        <w:ind w:left="1080" w:hanging="360"/>
        <w:contextualSpacing/>
      </w:pPr>
      <w:r w:rsidRPr="00381087">
        <w:t>OVC discretionary grants</w:t>
      </w:r>
    </w:p>
    <w:p w:rsidR="00CA27A8" w:rsidRPr="00381087" w:rsidRDefault="00CA27A8" w:rsidP="006057F6">
      <w:pPr>
        <w:numPr>
          <w:ilvl w:val="0"/>
          <w:numId w:val="3"/>
        </w:numPr>
        <w:spacing w:line="276" w:lineRule="auto"/>
        <w:ind w:left="1080" w:hanging="360"/>
        <w:contextualSpacing/>
      </w:pPr>
      <w:r w:rsidRPr="00381087">
        <w:t>State compensation formula grants</w:t>
      </w:r>
    </w:p>
    <w:p w:rsidR="00CA27A8" w:rsidRPr="00381087" w:rsidRDefault="00CA27A8" w:rsidP="006057F6">
      <w:pPr>
        <w:numPr>
          <w:ilvl w:val="0"/>
          <w:numId w:val="3"/>
        </w:numPr>
        <w:spacing w:line="276" w:lineRule="auto"/>
        <w:ind w:left="1080" w:hanging="360"/>
        <w:contextualSpacing/>
      </w:pPr>
      <w:r w:rsidRPr="00381087">
        <w:t>State victim assistance formula grants</w:t>
      </w:r>
    </w:p>
    <w:p w:rsidR="00CA27A8" w:rsidRPr="00381087" w:rsidRDefault="00CA27A8" w:rsidP="006057F6">
      <w:pPr>
        <w:numPr>
          <w:ilvl w:val="0"/>
          <w:numId w:val="3"/>
        </w:numPr>
        <w:spacing w:line="276" w:lineRule="auto"/>
        <w:ind w:left="1080" w:hanging="360"/>
        <w:contextualSpacing/>
      </w:pPr>
      <w:r w:rsidRPr="00381087">
        <w:t>Antiterrorism Emergency Reserve</w:t>
      </w:r>
    </w:p>
    <w:p w:rsidR="00CA27A8" w:rsidRPr="00381087" w:rsidRDefault="00CA27A8" w:rsidP="00CA27A8">
      <w:pPr>
        <w:spacing w:line="276" w:lineRule="auto"/>
        <w:ind w:left="360"/>
      </w:pPr>
      <w:r w:rsidRPr="00381087">
        <w:t xml:space="preserve"> </w:t>
      </w:r>
    </w:p>
    <w:p w:rsidR="00CA27A8" w:rsidRPr="00381087" w:rsidRDefault="00CA27A8" w:rsidP="00CA27A8">
      <w:pPr>
        <w:spacing w:line="276" w:lineRule="auto"/>
        <w:ind w:left="0"/>
      </w:pPr>
      <w:r w:rsidRPr="00381087">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p>
    <w:p w:rsidR="00CA27A8" w:rsidRPr="00381087" w:rsidRDefault="00CA27A8" w:rsidP="00CA27A8">
      <w:pPr>
        <w:spacing w:line="276" w:lineRule="auto"/>
        <w:ind w:left="0"/>
      </w:pPr>
      <w:r w:rsidRPr="00381087">
        <w:t xml:space="preserve"> </w:t>
      </w:r>
    </w:p>
    <w:p w:rsidR="00CA27A8" w:rsidRPr="00381087" w:rsidRDefault="00CA27A8" w:rsidP="00CA27A8">
      <w:pPr>
        <w:spacing w:line="276" w:lineRule="auto"/>
        <w:ind w:left="0"/>
      </w:pPr>
      <w:r w:rsidRPr="00381087">
        <w:t>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rsidR="00CA27A8" w:rsidRPr="00381087" w:rsidRDefault="00CA27A8" w:rsidP="00CA27A8">
      <w:pPr>
        <w:spacing w:line="276" w:lineRule="auto"/>
        <w:ind w:left="0"/>
      </w:pPr>
    </w:p>
    <w:p w:rsidR="00CA27A8" w:rsidRPr="00381087" w:rsidRDefault="00CA27A8" w:rsidP="00CA27A8">
      <w:pPr>
        <w:spacing w:line="276" w:lineRule="auto"/>
        <w:ind w:left="0"/>
      </w:pPr>
      <w:r w:rsidRPr="00381087">
        <w:t>The agency must comply with all applicable provisions of state and federal laws and regulations pertaining to nondiscrimination, sexual harassment</w:t>
      </w:r>
      <w:r w:rsidR="005F5705">
        <w:t>,</w:t>
      </w:r>
      <w:r w:rsidRPr="00381087">
        <w:t xml:space="preserve"> and equal employment opportunity, including, but not limited to: </w:t>
      </w:r>
      <w:r w:rsidR="005F5705">
        <w:t>t</w:t>
      </w:r>
      <w:r w:rsidRPr="00381087">
        <w:t xml:space="preserve">he Illinois Human Rights Act (775 ILCS 5/1-101 </w:t>
      </w:r>
      <w:r w:rsidRPr="00381087">
        <w:rPr>
          <w:i/>
        </w:rPr>
        <w:t>et seq</w:t>
      </w:r>
      <w:r w:rsidRPr="00381087">
        <w:t xml:space="preserve">.), </w:t>
      </w:r>
      <w:r w:rsidR="005F5705">
        <w:t>t</w:t>
      </w:r>
      <w:r w:rsidR="005F5705" w:rsidRPr="00381087">
        <w:t xml:space="preserve">he </w:t>
      </w:r>
      <w:r w:rsidRPr="00381087">
        <w:t xml:space="preserve">Public Works Employment Discrimination Act (775 ILCS 10/1 </w:t>
      </w:r>
      <w:r w:rsidRPr="00381087">
        <w:rPr>
          <w:i/>
        </w:rPr>
        <w:t>et seq</w:t>
      </w:r>
      <w:r w:rsidRPr="00381087">
        <w:t xml:space="preserve">), </w:t>
      </w:r>
      <w:r w:rsidR="005F5705">
        <w:t>t</w:t>
      </w:r>
      <w:r w:rsidR="005F5705" w:rsidRPr="00381087">
        <w:t xml:space="preserve">he </w:t>
      </w:r>
      <w:r w:rsidRPr="00381087">
        <w:t xml:space="preserve">United States Civil Rights Act of 1964 ( as amended) (42 USC 2000a-and 2000H-6), </w:t>
      </w:r>
      <w:r w:rsidRPr="00381087">
        <w:lastRenderedPageBreak/>
        <w:t xml:space="preserve">Section 504 of the Rehabilitation Act of 1973 (29 USC 794), </w:t>
      </w:r>
      <w:r w:rsidR="005F5705">
        <w:t>t</w:t>
      </w:r>
      <w:r w:rsidR="005F5705" w:rsidRPr="00381087">
        <w:t xml:space="preserve">he </w:t>
      </w:r>
      <w:r w:rsidRPr="00381087">
        <w:t xml:space="preserve">Americans with Disabilities Act of 1990 (42 USC 12101 </w:t>
      </w:r>
      <w:r w:rsidRPr="00381087">
        <w:rPr>
          <w:i/>
        </w:rPr>
        <w:t>et seq</w:t>
      </w:r>
      <w:r w:rsidRPr="00381087">
        <w:t xml:space="preserve">.), and </w:t>
      </w:r>
      <w:r w:rsidR="005F5705">
        <w:t>t</w:t>
      </w:r>
      <w:r w:rsidR="005F5705" w:rsidRPr="00381087">
        <w:t xml:space="preserve">he </w:t>
      </w:r>
      <w:r w:rsidRPr="00381087">
        <w:t xml:space="preserve">Age Discrimination Act (42 USC 6101 </w:t>
      </w:r>
      <w:r w:rsidRPr="00381087">
        <w:rPr>
          <w:i/>
        </w:rPr>
        <w:t>et seq.).</w:t>
      </w:r>
    </w:p>
    <w:p w:rsidR="009C2476" w:rsidRPr="00BA1113" w:rsidRDefault="009C2476" w:rsidP="00A32C87">
      <w:pPr>
        <w:widowControl/>
        <w:ind w:left="360"/>
        <w:rPr>
          <w:b/>
          <w:color w:val="auto"/>
          <w:sz w:val="28"/>
        </w:rPr>
      </w:pPr>
    </w:p>
    <w:p w:rsidR="009C2476" w:rsidRPr="00BA1113" w:rsidRDefault="001C16C4" w:rsidP="006057F6">
      <w:pPr>
        <w:numPr>
          <w:ilvl w:val="0"/>
          <w:numId w:val="2"/>
        </w:numPr>
        <w:spacing w:line="276" w:lineRule="auto"/>
        <w:ind w:left="0" w:hanging="360"/>
        <w:contextualSpacing/>
        <w:rPr>
          <w:b/>
          <w:smallCaps/>
        </w:rPr>
      </w:pPr>
      <w:r w:rsidRPr="006877EA">
        <w:rPr>
          <w:b/>
          <w:sz w:val="28"/>
          <w:szCs w:val="28"/>
        </w:rPr>
        <w:t>Program-Specific Information</w:t>
      </w:r>
      <w:r w:rsidRPr="006877EA">
        <w:rPr>
          <w:b/>
          <w:smallCaps/>
          <w:sz w:val="28"/>
          <w:szCs w:val="28"/>
        </w:rPr>
        <w:t xml:space="preserve">    </w:t>
      </w:r>
      <w:r>
        <w:rPr>
          <w:b/>
          <w:smallCaps/>
        </w:rPr>
        <w:t xml:space="preserve"> </w:t>
      </w:r>
    </w:p>
    <w:p w:rsidR="009C2476" w:rsidRPr="00381087" w:rsidRDefault="009C2476" w:rsidP="009C2476">
      <w:pPr>
        <w:spacing w:line="276" w:lineRule="auto"/>
      </w:pPr>
    </w:p>
    <w:p w:rsidR="007E6C53" w:rsidRDefault="007E6C53" w:rsidP="007E6C53">
      <w:pPr>
        <w:spacing w:line="276" w:lineRule="auto"/>
        <w:ind w:left="0"/>
      </w:pPr>
      <w:r>
        <w:rPr>
          <w:b/>
        </w:rPr>
        <w:t>Victim Needs Background</w:t>
      </w:r>
    </w:p>
    <w:p w:rsidR="007E6C53" w:rsidRDefault="007E6C53" w:rsidP="007E6C53">
      <w:pPr>
        <w:spacing w:line="276" w:lineRule="auto"/>
        <w:ind w:left="0"/>
      </w:pPr>
    </w:p>
    <w:p w:rsidR="007E6C53" w:rsidRDefault="007E6C53" w:rsidP="007E6C53">
      <w:pPr>
        <w:spacing w:line="276" w:lineRule="auto"/>
        <w:ind w:left="0"/>
      </w:pPr>
      <w:r>
        <w:t>According to the Office on Violence Against Women, domestic violence is a pattern of physical, sexual, emotional, economic, or psychological abuse committed by a partner with the intent of exerting power and control over the victim.</w:t>
      </w:r>
      <w:r>
        <w:rPr>
          <w:vertAlign w:val="superscript"/>
        </w:rPr>
        <w:footnoteReference w:id="1"/>
      </w:r>
      <w:r>
        <w:rPr>
          <w:vertAlign w:val="superscript"/>
        </w:rPr>
        <w:t xml:space="preserve"> </w:t>
      </w:r>
      <w:r>
        <w:t xml:space="preserve"> More than 118,000 offenses occurring between family and household members were reported to law enforcement in Illinois in 2016. However, research shows many victims never report their experiences, with fewer than half of all violent crimes reported to police.</w:t>
      </w:r>
      <w:r>
        <w:rPr>
          <w:vertAlign w:val="superscript"/>
        </w:rPr>
        <w:footnoteReference w:id="2"/>
      </w:r>
    </w:p>
    <w:p w:rsidR="007E6C53" w:rsidRDefault="007E6C53" w:rsidP="007E6C53">
      <w:pPr>
        <w:spacing w:line="276" w:lineRule="auto"/>
        <w:ind w:left="0"/>
      </w:pPr>
    </w:p>
    <w:p w:rsidR="007E6C53" w:rsidRDefault="007E6C53" w:rsidP="007E6C53">
      <w:pPr>
        <w:spacing w:line="276" w:lineRule="auto"/>
        <w:ind w:left="0"/>
      </w:pPr>
      <w:r>
        <w:t>Domestic violence victims may encounter a variety of psychosocial, physical, and economic impacts because of the violence they have experienced. For instance, victims may experience anxiety, depression, PTSD symptoms, inability to trust others, emotional detachment, sleep disturbances, flashbacks, and suicidal behavior.</w:t>
      </w:r>
      <w:r>
        <w:rPr>
          <w:vertAlign w:val="superscript"/>
        </w:rPr>
        <w:footnoteReference w:id="3"/>
      </w:r>
      <w:r>
        <w:rPr>
          <w:vertAlign w:val="superscript"/>
        </w:rPr>
        <w:t xml:space="preserve"> </w:t>
      </w:r>
      <w:r>
        <w:t xml:space="preserve">Isolation from social networks, strained relationships with health providers and employers, and homelessness can often also </w:t>
      </w:r>
      <w:r w:rsidR="00006AE8">
        <w:t xml:space="preserve">may </w:t>
      </w:r>
      <w:r>
        <w:t>occur, which can further exacerbate the impacts of victimization.</w:t>
      </w:r>
      <w:r>
        <w:rPr>
          <w:vertAlign w:val="superscript"/>
        </w:rPr>
        <w:footnoteReference w:id="4"/>
      </w:r>
      <w:r>
        <w:t xml:space="preserve"> To address these impacts, victims may choose to seek out various medical, financial, and safety services. The utilization of hotlines is one avenue through which victims may receive crisis support, as well as connections to the other resources and services that they need; particularly when there is no other contact made with formal service providers. </w:t>
      </w:r>
    </w:p>
    <w:p w:rsidR="007E6C53" w:rsidRDefault="007E6C53" w:rsidP="007E6C53">
      <w:pPr>
        <w:spacing w:line="276" w:lineRule="auto"/>
        <w:ind w:left="0"/>
      </w:pPr>
    </w:p>
    <w:p w:rsidR="007E6C53" w:rsidRDefault="007E6C53" w:rsidP="007E6C53">
      <w:pPr>
        <w:spacing w:line="276" w:lineRule="auto"/>
        <w:ind w:left="0"/>
      </w:pPr>
      <w:r>
        <w:lastRenderedPageBreak/>
        <w:t>For subpopulations that are particularly vulnerable or marginalized, such as elderly victims of crime, hotlines can be exceedingly helpful in accessing highly-prioritized resources that would not otherwise have been, such as behavioral and mental health services.</w:t>
      </w:r>
      <w:r>
        <w:rPr>
          <w:vertAlign w:val="superscript"/>
        </w:rPr>
        <w:footnoteReference w:id="5"/>
      </w:r>
      <w:r>
        <w:rPr>
          <w:vertAlign w:val="superscript"/>
        </w:rPr>
        <w:t xml:space="preserve"> </w:t>
      </w:r>
      <w:r>
        <w:t>Hotlines are able to provide a safe, confidential space to reach out to resources and support systems that are crucial as a crisis response service during this period.</w:t>
      </w:r>
      <w:r>
        <w:rPr>
          <w:vertAlign w:val="superscript"/>
        </w:rPr>
        <w:footnoteReference w:id="6"/>
      </w:r>
      <w:r>
        <w:rPr>
          <w:vertAlign w:val="superscript"/>
        </w:rPr>
        <w:t xml:space="preserve"> </w:t>
      </w:r>
      <w:r>
        <w:t>Additionally, they are essential in building rapport so callers feel more comfortable with disclosing sensitive information regarding these traumatic events, and are encouraged to foster an ongoing relationship with the hotline that will help them continue to access resources in the long run.</w:t>
      </w:r>
      <w:r>
        <w:rPr>
          <w:vertAlign w:val="superscript"/>
        </w:rPr>
        <w:footnoteReference w:id="7"/>
      </w:r>
    </w:p>
    <w:p w:rsidR="007E6C53" w:rsidRDefault="007E6C53" w:rsidP="007E6C53">
      <w:pPr>
        <w:spacing w:line="276" w:lineRule="auto"/>
        <w:ind w:left="0"/>
      </w:pPr>
    </w:p>
    <w:p w:rsidR="007E6C53" w:rsidRDefault="007E6C53" w:rsidP="007E6C53">
      <w:pPr>
        <w:spacing w:line="276" w:lineRule="auto"/>
        <w:ind w:left="0"/>
      </w:pPr>
      <w:r>
        <w:t>According to a study from the University of Georgia, men and women who contact hotlines after victimization experiences do so with very different intents.</w:t>
      </w:r>
      <w:r>
        <w:rPr>
          <w:vertAlign w:val="superscript"/>
        </w:rPr>
        <w:footnoteReference w:id="8"/>
      </w:r>
      <w:r>
        <w:t xml:space="preserve"> While women were more likely to access a telephone hotline seeking specific advice on accessing resources, such as medical and legal services and more, men tended to use the hotline as a safe space to vent and disclose their stories, oftentimes disconnecting without seeking additional resources or even finishing their accounts.</w:t>
      </w:r>
      <w:r>
        <w:rPr>
          <w:vertAlign w:val="superscript"/>
        </w:rPr>
        <w:footnoteReference w:id="9"/>
      </w:r>
      <w:r>
        <w:t xml:space="preserve"> But for both men and women, use of hotlines in dealing with the aftermath of a traumatic event was associated with being a preventative barrier against some of the negative consequences of their experience, including lowering the likelihood of suicide and suicidal ideations.</w:t>
      </w:r>
      <w:r>
        <w:rPr>
          <w:vertAlign w:val="superscript"/>
        </w:rPr>
        <w:footnoteReference w:id="10"/>
      </w:r>
    </w:p>
    <w:p w:rsidR="007E6C53" w:rsidRDefault="007E6C53" w:rsidP="007E6C53">
      <w:pPr>
        <w:spacing w:line="276" w:lineRule="auto"/>
        <w:ind w:left="0"/>
        <w:rPr>
          <w:vertAlign w:val="superscript"/>
        </w:rPr>
      </w:pPr>
    </w:p>
    <w:p w:rsidR="007E6C53" w:rsidRDefault="007E6C53" w:rsidP="007E6C53">
      <w:pPr>
        <w:spacing w:line="276" w:lineRule="auto"/>
        <w:ind w:left="0"/>
        <w:rPr>
          <w:vertAlign w:val="superscript"/>
        </w:rPr>
      </w:pPr>
      <w:r>
        <w:t>The State of Illinois Domestic Violence Hotline, facilitated collaboratively by the Chicago Metropolitan Battered Women’s Network and the City of Chicago Department of Family and Support Services, is a confidential, toll-free hotline that is available 24/7 to help all victims of domestic violence in Illinois, along with their children.</w:t>
      </w:r>
      <w:r>
        <w:rPr>
          <w:vertAlign w:val="superscript"/>
        </w:rPr>
        <w:footnoteReference w:id="11"/>
      </w:r>
      <w:r>
        <w:rPr>
          <w:vertAlign w:val="superscript"/>
        </w:rPr>
        <w:t xml:space="preserve"> </w:t>
      </w:r>
      <w:r>
        <w:t xml:space="preserve">Staffed by trained </w:t>
      </w:r>
      <w:r>
        <w:lastRenderedPageBreak/>
        <w:t>Victim Information and Referral Advocates, the hotline provides information about domestic violence shelters, counseling, legal assistance (including the procurement of an order of protection), medical assistance</w:t>
      </w:r>
      <w:r w:rsidR="00F4001E">
        <w:t>,</w:t>
      </w:r>
      <w:r>
        <w:t xml:space="preserve"> and children’s services, as well as other immediate assistance, including safety planning and referrals to an array of domestic violence service providers across the state.</w:t>
      </w:r>
      <w:r>
        <w:rPr>
          <w:vertAlign w:val="superscript"/>
        </w:rPr>
        <w:footnoteReference w:id="12"/>
      </w:r>
      <w:r>
        <w:rPr>
          <w:vertAlign w:val="superscript"/>
        </w:rPr>
        <w:t xml:space="preserve"> </w:t>
      </w:r>
      <w:bookmarkStart w:id="1" w:name="_Hlk8045785"/>
      <w:r>
        <w:t xml:space="preserve">In </w:t>
      </w:r>
      <w:r w:rsidR="00AC19C8">
        <w:t>federal</w:t>
      </w:r>
      <w:r>
        <w:t xml:space="preserve"> Fiscal </w:t>
      </w:r>
      <w:r w:rsidR="00524DDD">
        <w:t xml:space="preserve">year </w:t>
      </w:r>
      <w:r>
        <w:t xml:space="preserve">2018, </w:t>
      </w:r>
      <w:r w:rsidR="00524DDD">
        <w:t xml:space="preserve">the </w:t>
      </w:r>
      <w:r>
        <w:t>VOCA</w:t>
      </w:r>
      <w:r w:rsidR="00524DDD">
        <w:t>-</w:t>
      </w:r>
      <w:r>
        <w:t>supported the State of Illinois Domestic Violence Hotline respond</w:t>
      </w:r>
      <w:r w:rsidR="00524DDD">
        <w:t>ed</w:t>
      </w:r>
      <w:r>
        <w:t xml:space="preserve"> to 15,209 calls.</w:t>
      </w:r>
      <w:r>
        <w:rPr>
          <w:vertAlign w:val="superscript"/>
        </w:rPr>
        <w:footnoteReference w:id="13"/>
      </w:r>
      <w:r>
        <w:rPr>
          <w:vertAlign w:val="superscript"/>
        </w:rPr>
        <w:t xml:space="preserve"> </w:t>
      </w:r>
      <w:bookmarkEnd w:id="1"/>
    </w:p>
    <w:p w:rsidR="007E6C53" w:rsidRDefault="007E6C53" w:rsidP="007E6C53"/>
    <w:p w:rsidR="0034001C" w:rsidRPr="00F972BD" w:rsidRDefault="0034001C" w:rsidP="000428EC">
      <w:pPr>
        <w:spacing w:line="276" w:lineRule="auto"/>
        <w:ind w:left="0"/>
      </w:pPr>
    </w:p>
    <w:p w:rsidR="00914D6C" w:rsidRPr="00B754E8" w:rsidRDefault="002118E8" w:rsidP="00914D6C">
      <w:pPr>
        <w:ind w:left="0"/>
        <w:rPr>
          <w:b/>
          <w:sz w:val="28"/>
          <w:szCs w:val="28"/>
        </w:rPr>
      </w:pPr>
      <w:r w:rsidRPr="008859E4">
        <w:rPr>
          <w:b/>
        </w:rPr>
        <w:t>II.</w:t>
      </w:r>
      <w:r w:rsidRPr="008859E4">
        <w:t xml:space="preserve"> </w:t>
      </w:r>
      <w:r w:rsidRPr="008859E4">
        <w:tab/>
      </w:r>
      <w:r w:rsidR="00914D6C" w:rsidRPr="00B754E8">
        <w:rPr>
          <w:b/>
          <w:sz w:val="28"/>
          <w:szCs w:val="28"/>
        </w:rPr>
        <w:t>Program Design</w:t>
      </w:r>
    </w:p>
    <w:p w:rsidR="00914D6C" w:rsidRDefault="00914D6C" w:rsidP="00914D6C">
      <w:pPr>
        <w:ind w:left="0"/>
        <w:rPr>
          <w:rFonts w:eastAsia="Calibri"/>
          <w:color w:val="auto"/>
        </w:rPr>
      </w:pPr>
    </w:p>
    <w:p w:rsidR="00914D6C" w:rsidRDefault="00914D6C" w:rsidP="00914D6C">
      <w:pPr>
        <w:ind w:left="0"/>
      </w:pPr>
      <w:r w:rsidRPr="00D817C0">
        <w:rPr>
          <w:rFonts w:eastAsia="Calibri"/>
          <w:color w:val="auto"/>
        </w:rPr>
        <w:t>The purpose of this Notice of Funding Opportunity is to fund</w:t>
      </w:r>
      <w:r>
        <w:rPr>
          <w:rFonts w:eastAsia="Calibri"/>
          <w:color w:val="auto"/>
        </w:rPr>
        <w:t xml:space="preserve"> statewide domestic violence hotline services for victims of domestic violence through</w:t>
      </w:r>
      <w:r w:rsidRPr="00D817C0">
        <w:rPr>
          <w:rFonts w:eastAsia="Calibri"/>
          <w:color w:val="auto"/>
        </w:rPr>
        <w:t xml:space="preserve"> </w:t>
      </w:r>
      <w:r>
        <w:rPr>
          <w:rFonts w:eastAsia="Calibri"/>
          <w:color w:val="auto"/>
        </w:rPr>
        <w:t xml:space="preserve">the City of Chicago Department of Family and Support Services. </w:t>
      </w:r>
      <w:r>
        <w:t xml:space="preserve"> </w:t>
      </w:r>
    </w:p>
    <w:p w:rsidR="00914D6C" w:rsidRDefault="00914D6C" w:rsidP="00914D6C">
      <w:pPr>
        <w:ind w:left="0"/>
      </w:pPr>
    </w:p>
    <w:p w:rsidR="00914D6C" w:rsidRPr="00476BC7" w:rsidRDefault="00914D6C" w:rsidP="00914D6C">
      <w:pPr>
        <w:ind w:left="0"/>
        <w:rPr>
          <w:b/>
          <w:sz w:val="28"/>
          <w:szCs w:val="28"/>
        </w:rPr>
      </w:pPr>
      <w:r>
        <w:rPr>
          <w:b/>
          <w:sz w:val="28"/>
          <w:szCs w:val="28"/>
        </w:rPr>
        <w:t>Program Design Requirements</w:t>
      </w:r>
    </w:p>
    <w:p w:rsidR="00914D6C" w:rsidRDefault="00914D6C" w:rsidP="00914D6C">
      <w:pPr>
        <w:ind w:left="0"/>
        <w:rPr>
          <w:rFonts w:eastAsia="Calibri"/>
          <w:color w:val="auto"/>
        </w:rPr>
      </w:pPr>
    </w:p>
    <w:p w:rsidR="00914D6C" w:rsidRDefault="00914D6C" w:rsidP="00914D6C">
      <w:pPr>
        <w:pStyle w:val="BodyText"/>
        <w:jc w:val="both"/>
        <w:rPr>
          <w:szCs w:val="24"/>
        </w:rPr>
      </w:pPr>
    </w:p>
    <w:p w:rsidR="00914D6C" w:rsidRDefault="00615C48" w:rsidP="00914D6C">
      <w:pPr>
        <w:pStyle w:val="BodyText"/>
        <w:jc w:val="both"/>
        <w:rPr>
          <w:szCs w:val="24"/>
        </w:rPr>
      </w:pPr>
      <w:r>
        <w:rPr>
          <w:szCs w:val="24"/>
        </w:rPr>
        <w:t xml:space="preserve">The </w:t>
      </w:r>
      <w:r w:rsidR="0030357E">
        <w:rPr>
          <w:szCs w:val="24"/>
        </w:rPr>
        <w:t>Statewide Domestic Violence Hotline Services</w:t>
      </w:r>
      <w:r w:rsidR="00914D6C">
        <w:rPr>
          <w:szCs w:val="24"/>
        </w:rPr>
        <w:t xml:space="preserve"> program will fund advocate position(s) to provide direct services to victims </w:t>
      </w:r>
      <w:r w:rsidR="0030357E">
        <w:rPr>
          <w:szCs w:val="24"/>
        </w:rPr>
        <w:t>through a statewide hotline</w:t>
      </w:r>
      <w:r w:rsidR="00914D6C">
        <w:rPr>
          <w:szCs w:val="24"/>
        </w:rPr>
        <w:t xml:space="preserve">. </w:t>
      </w:r>
      <w:r w:rsidR="0030357E">
        <w:rPr>
          <w:szCs w:val="24"/>
        </w:rPr>
        <w:t xml:space="preserve">The City of Chicago Department of Family and Support Services may contract with an </w:t>
      </w:r>
      <w:r w:rsidR="00066336">
        <w:rPr>
          <w:szCs w:val="24"/>
        </w:rPr>
        <w:t>external</w:t>
      </w:r>
      <w:r w:rsidR="0030357E">
        <w:rPr>
          <w:szCs w:val="24"/>
        </w:rPr>
        <w:t xml:space="preserve"> victim service </w:t>
      </w:r>
      <w:r w:rsidR="00066336">
        <w:rPr>
          <w:szCs w:val="24"/>
        </w:rPr>
        <w:t>provider</w:t>
      </w:r>
      <w:r w:rsidR="0030357E">
        <w:rPr>
          <w:szCs w:val="24"/>
        </w:rPr>
        <w:t xml:space="preserve"> to staff hotline services </w:t>
      </w:r>
      <w:r w:rsidR="00914D6C" w:rsidRPr="004C5A7B">
        <w:t xml:space="preserve">but </w:t>
      </w:r>
      <w:r w:rsidR="00524DDD">
        <w:t>it will be</w:t>
      </w:r>
      <w:r w:rsidR="0034243B" w:rsidRPr="004C5A7B">
        <w:t xml:space="preserve"> </w:t>
      </w:r>
      <w:r w:rsidR="00914D6C" w:rsidRPr="004C5A7B">
        <w:t xml:space="preserve">required to submit a </w:t>
      </w:r>
      <w:r w:rsidR="00E75AD7">
        <w:t xml:space="preserve">proposed </w:t>
      </w:r>
      <w:r w:rsidR="000C23F9">
        <w:t>contract</w:t>
      </w:r>
      <w:r w:rsidR="00914D6C" w:rsidRPr="004C5A7B">
        <w:t xml:space="preserve"> between the agency and the</w:t>
      </w:r>
      <w:r w:rsidR="0030357E">
        <w:t xml:space="preserve"> victim service </w:t>
      </w:r>
      <w:r w:rsidR="00066336">
        <w:t>provider</w:t>
      </w:r>
      <w:r>
        <w:t xml:space="preserve"> </w:t>
      </w:r>
      <w:r w:rsidR="00914D6C" w:rsidRPr="004C5A7B">
        <w:t>detailing advocate services and costs</w:t>
      </w:r>
      <w:r>
        <w:t xml:space="preserve"> </w:t>
      </w:r>
      <w:r w:rsidR="00914D6C" w:rsidRPr="004C5A7B">
        <w:t xml:space="preserve">at time of application. </w:t>
      </w:r>
    </w:p>
    <w:p w:rsidR="00914D6C" w:rsidRDefault="00914D6C" w:rsidP="00914D6C">
      <w:pPr>
        <w:pStyle w:val="BodyText"/>
        <w:jc w:val="both"/>
        <w:rPr>
          <w:szCs w:val="24"/>
        </w:rPr>
      </w:pPr>
    </w:p>
    <w:p w:rsidR="00914D6C" w:rsidRPr="003D48CC" w:rsidRDefault="00422A3A" w:rsidP="00914D6C">
      <w:pPr>
        <w:ind w:left="0"/>
        <w:rPr>
          <w:b/>
          <w:sz w:val="28"/>
          <w:szCs w:val="28"/>
        </w:rPr>
      </w:pPr>
      <w:r>
        <w:rPr>
          <w:b/>
          <w:sz w:val="28"/>
          <w:szCs w:val="28"/>
        </w:rPr>
        <w:t>Program</w:t>
      </w:r>
      <w:r w:rsidRPr="003D48CC">
        <w:rPr>
          <w:b/>
          <w:sz w:val="28"/>
          <w:szCs w:val="28"/>
        </w:rPr>
        <w:t xml:space="preserve"> </w:t>
      </w:r>
      <w:r w:rsidR="00914D6C" w:rsidRPr="003D48CC">
        <w:rPr>
          <w:b/>
          <w:sz w:val="28"/>
          <w:szCs w:val="28"/>
        </w:rPr>
        <w:t xml:space="preserve">Activities     </w:t>
      </w:r>
      <w:r w:rsidRPr="003D48CC">
        <w:rPr>
          <w:b/>
          <w:sz w:val="28"/>
          <w:szCs w:val="28"/>
        </w:rPr>
        <w:t xml:space="preserve">     </w:t>
      </w:r>
    </w:p>
    <w:p w:rsidR="00694141" w:rsidRDefault="00694141" w:rsidP="00914D6C">
      <w:pPr>
        <w:pStyle w:val="BodyText"/>
        <w:jc w:val="both"/>
      </w:pPr>
    </w:p>
    <w:p w:rsidR="00914D6C" w:rsidRDefault="00694141" w:rsidP="00914D6C">
      <w:pPr>
        <w:pStyle w:val="BodyText"/>
        <w:jc w:val="both"/>
        <w:rPr>
          <w:szCs w:val="24"/>
        </w:rPr>
      </w:pPr>
      <w:r>
        <w:t>The a</w:t>
      </w:r>
      <w:r w:rsidRPr="00876F31">
        <w:t>pplicant’s completed program narrative should</w:t>
      </w:r>
      <w:r>
        <w:t xml:space="preserve"> be reflective of the </w:t>
      </w:r>
      <w:r w:rsidRPr="00876F31">
        <w:t>program requirements</w:t>
      </w:r>
      <w:r>
        <w:t xml:space="preserve"> outlined below.</w:t>
      </w:r>
    </w:p>
    <w:p w:rsidR="00694141" w:rsidRDefault="00694141" w:rsidP="00914D6C">
      <w:pPr>
        <w:pStyle w:val="BodyText"/>
        <w:jc w:val="both"/>
      </w:pPr>
    </w:p>
    <w:p w:rsidR="00914D6C" w:rsidRPr="0030357E" w:rsidRDefault="00914D6C" w:rsidP="00914D6C">
      <w:pPr>
        <w:pStyle w:val="BodyText"/>
        <w:jc w:val="both"/>
      </w:pPr>
      <w:r w:rsidRPr="0030357E">
        <w:t>Advocates are to provide crisis intervention and case management:</w:t>
      </w:r>
    </w:p>
    <w:p w:rsidR="00914D6C" w:rsidRPr="0030357E" w:rsidRDefault="00914D6C" w:rsidP="006057F6">
      <w:pPr>
        <w:pStyle w:val="ListParagraph"/>
        <w:widowControl/>
        <w:numPr>
          <w:ilvl w:val="0"/>
          <w:numId w:val="9"/>
        </w:numPr>
        <w:ind w:left="720"/>
        <w:rPr>
          <w:rFonts w:ascii="Times New Roman" w:eastAsia="Times New Roman" w:hAnsi="Times New Roman" w:cs="Times New Roman"/>
          <w:color w:val="auto"/>
          <w:sz w:val="24"/>
          <w:szCs w:val="20"/>
        </w:rPr>
      </w:pPr>
      <w:r w:rsidRPr="0030357E">
        <w:rPr>
          <w:rFonts w:ascii="Times New Roman" w:eastAsia="Times New Roman" w:hAnsi="Times New Roman" w:cs="Times New Roman"/>
          <w:color w:val="auto"/>
          <w:sz w:val="24"/>
          <w:szCs w:val="20"/>
        </w:rPr>
        <w:t xml:space="preserve">Crisis Intervention: Refers to victim de-escalation, emotional support, and guidance provided by advocates. May occur at the scene of a crime, immediately after a crime, or be provided on an ongoing basis. </w:t>
      </w:r>
    </w:p>
    <w:p w:rsidR="00914D6C" w:rsidRPr="0030357E" w:rsidRDefault="00914D6C" w:rsidP="006057F6">
      <w:pPr>
        <w:pStyle w:val="ListParagraph"/>
        <w:widowControl/>
        <w:numPr>
          <w:ilvl w:val="0"/>
          <w:numId w:val="9"/>
        </w:numPr>
        <w:ind w:left="720"/>
        <w:rPr>
          <w:rFonts w:ascii="Times New Roman" w:eastAsia="Times New Roman" w:hAnsi="Times New Roman" w:cs="Times New Roman"/>
          <w:color w:val="auto"/>
          <w:sz w:val="24"/>
          <w:szCs w:val="20"/>
        </w:rPr>
      </w:pPr>
      <w:r w:rsidRPr="0030357E">
        <w:rPr>
          <w:rFonts w:ascii="Times New Roman" w:eastAsia="Times New Roman" w:hAnsi="Times New Roman" w:cs="Times New Roman"/>
          <w:color w:val="auto"/>
          <w:sz w:val="24"/>
          <w:szCs w:val="20"/>
        </w:rPr>
        <w:t xml:space="preserve">Case Management: Refers to assisting victim(s) in identifying and achieving their needs and goals and </w:t>
      </w:r>
      <w:r w:rsidR="00E732F5">
        <w:rPr>
          <w:rFonts w:ascii="Times New Roman" w:eastAsia="Times New Roman" w:hAnsi="Times New Roman" w:cs="Times New Roman"/>
          <w:color w:val="auto"/>
          <w:sz w:val="24"/>
          <w:szCs w:val="20"/>
        </w:rPr>
        <w:t xml:space="preserve">can </w:t>
      </w:r>
      <w:r w:rsidRPr="0030357E">
        <w:rPr>
          <w:rFonts w:ascii="Times New Roman" w:eastAsia="Times New Roman" w:hAnsi="Times New Roman" w:cs="Times New Roman"/>
          <w:color w:val="auto"/>
          <w:sz w:val="24"/>
          <w:szCs w:val="20"/>
        </w:rPr>
        <w:t>include</w:t>
      </w:r>
      <w:r w:rsidR="00FE6BE3">
        <w:rPr>
          <w:rFonts w:ascii="Times New Roman" w:eastAsia="Times New Roman" w:hAnsi="Times New Roman" w:cs="Times New Roman"/>
          <w:color w:val="auto"/>
          <w:sz w:val="24"/>
          <w:szCs w:val="20"/>
        </w:rPr>
        <w:t>:</w:t>
      </w:r>
      <w:r w:rsidRPr="0030357E">
        <w:rPr>
          <w:rFonts w:ascii="Times New Roman" w:eastAsia="Times New Roman" w:hAnsi="Times New Roman" w:cs="Times New Roman"/>
          <w:color w:val="auto"/>
          <w:sz w:val="24"/>
          <w:szCs w:val="20"/>
        </w:rPr>
        <w:t xml:space="preserve"> </w:t>
      </w:r>
    </w:p>
    <w:p w:rsidR="00914D6C" w:rsidRPr="0030357E" w:rsidRDefault="00914D6C" w:rsidP="00914D6C">
      <w:pPr>
        <w:ind w:left="1080"/>
        <w:contextualSpacing/>
        <w:jc w:val="both"/>
        <w:rPr>
          <w:color w:val="auto"/>
          <w:szCs w:val="20"/>
        </w:rPr>
      </w:pPr>
      <w:r w:rsidRPr="0030357E">
        <w:rPr>
          <w:color w:val="auto"/>
          <w:szCs w:val="20"/>
        </w:rPr>
        <w:t>a) Assessment and development of service plan to facilitate a client’s progress</w:t>
      </w:r>
      <w:r w:rsidR="00B72D6E">
        <w:rPr>
          <w:color w:val="auto"/>
          <w:szCs w:val="20"/>
        </w:rPr>
        <w:t>.</w:t>
      </w:r>
    </w:p>
    <w:p w:rsidR="00914D6C" w:rsidRPr="0030357E" w:rsidRDefault="00914D6C" w:rsidP="00914D6C">
      <w:pPr>
        <w:ind w:left="1080"/>
        <w:contextualSpacing/>
        <w:jc w:val="both"/>
        <w:rPr>
          <w:color w:val="auto"/>
          <w:szCs w:val="20"/>
        </w:rPr>
      </w:pPr>
      <w:r w:rsidRPr="0030357E">
        <w:rPr>
          <w:color w:val="auto"/>
          <w:szCs w:val="20"/>
        </w:rPr>
        <w:lastRenderedPageBreak/>
        <w:t>b) Information and referral to needed services</w:t>
      </w:r>
      <w:r w:rsidR="00B72D6E">
        <w:rPr>
          <w:color w:val="auto"/>
          <w:szCs w:val="20"/>
        </w:rPr>
        <w:t>.</w:t>
      </w:r>
    </w:p>
    <w:p w:rsidR="00914D6C" w:rsidRPr="0030357E" w:rsidRDefault="00914D6C" w:rsidP="00914D6C">
      <w:pPr>
        <w:ind w:left="1080"/>
        <w:contextualSpacing/>
        <w:jc w:val="both"/>
        <w:rPr>
          <w:color w:val="auto"/>
          <w:szCs w:val="20"/>
        </w:rPr>
      </w:pPr>
      <w:r w:rsidRPr="0030357E">
        <w:rPr>
          <w:color w:val="auto"/>
          <w:szCs w:val="20"/>
        </w:rPr>
        <w:t>c) Advocacy that includes one or more of the following</w:t>
      </w:r>
      <w:r w:rsidR="0034001C">
        <w:rPr>
          <w:color w:val="auto"/>
          <w:szCs w:val="20"/>
        </w:rPr>
        <w:t>:</w:t>
      </w:r>
      <w:r w:rsidR="00B44310">
        <w:rPr>
          <w:color w:val="auto"/>
          <w:szCs w:val="20"/>
        </w:rPr>
        <w:t xml:space="preserve"> </w:t>
      </w:r>
      <w:r w:rsidRPr="0030357E">
        <w:rPr>
          <w:color w:val="auto"/>
          <w:szCs w:val="20"/>
        </w:rPr>
        <w:t xml:space="preserve">assisting victims in securing rights and services from other agencies; notifying </w:t>
      </w:r>
      <w:r w:rsidR="00B047FF">
        <w:rPr>
          <w:color w:val="auto"/>
          <w:szCs w:val="20"/>
        </w:rPr>
        <w:t>victims about</w:t>
      </w:r>
      <w:r w:rsidRPr="0030357E">
        <w:rPr>
          <w:color w:val="auto"/>
          <w:szCs w:val="20"/>
        </w:rPr>
        <w:t xml:space="preserve"> victim compensation paperwork;</w:t>
      </w:r>
      <w:r w:rsidR="00581DC9">
        <w:rPr>
          <w:color w:val="auto"/>
          <w:szCs w:val="20"/>
        </w:rPr>
        <w:t xml:space="preserve"> </w:t>
      </w:r>
      <w:r w:rsidR="00B047FF">
        <w:rPr>
          <w:color w:val="auto"/>
          <w:szCs w:val="20"/>
        </w:rPr>
        <w:t xml:space="preserve">providing </w:t>
      </w:r>
      <w:r w:rsidR="00581DC9">
        <w:rPr>
          <w:color w:val="auto"/>
          <w:szCs w:val="20"/>
        </w:rPr>
        <w:t xml:space="preserve">assistance concerning orders of protection; interpretation services, </w:t>
      </w:r>
      <w:r w:rsidR="00341B1E">
        <w:rPr>
          <w:color w:val="auto"/>
          <w:szCs w:val="20"/>
        </w:rPr>
        <w:t xml:space="preserve">and </w:t>
      </w:r>
      <w:r w:rsidR="00B72D6E">
        <w:rPr>
          <w:color w:val="auto"/>
          <w:szCs w:val="20"/>
        </w:rPr>
        <w:t>other advocacy, as needed.</w:t>
      </w:r>
    </w:p>
    <w:p w:rsidR="00914D6C" w:rsidRPr="0030357E" w:rsidRDefault="00914D6C" w:rsidP="00914D6C">
      <w:pPr>
        <w:ind w:left="1080"/>
        <w:contextualSpacing/>
        <w:jc w:val="both"/>
        <w:rPr>
          <w:color w:val="auto"/>
          <w:szCs w:val="20"/>
        </w:rPr>
      </w:pPr>
      <w:r w:rsidRPr="0030357E">
        <w:rPr>
          <w:color w:val="auto"/>
          <w:szCs w:val="20"/>
        </w:rPr>
        <w:t>d) Ongoing emotional support</w:t>
      </w:r>
      <w:r w:rsidR="00B72D6E">
        <w:rPr>
          <w:color w:val="auto"/>
          <w:szCs w:val="20"/>
        </w:rPr>
        <w:t>.</w:t>
      </w:r>
      <w:r w:rsidRPr="0030357E">
        <w:rPr>
          <w:color w:val="auto"/>
          <w:szCs w:val="20"/>
        </w:rPr>
        <w:t xml:space="preserve"> </w:t>
      </w:r>
    </w:p>
    <w:p w:rsidR="00914D6C" w:rsidRDefault="00914D6C" w:rsidP="00914D6C">
      <w:pPr>
        <w:contextualSpacing/>
        <w:jc w:val="both"/>
        <w:rPr>
          <w:rFonts w:eastAsia="Calibri"/>
          <w:u w:val="single"/>
        </w:rPr>
      </w:pPr>
    </w:p>
    <w:p w:rsidR="00914D6C" w:rsidRPr="0004214D" w:rsidRDefault="00422A3A" w:rsidP="00914D6C">
      <w:pPr>
        <w:tabs>
          <w:tab w:val="right" w:pos="8910"/>
        </w:tabs>
        <w:ind w:left="0"/>
        <w:rPr>
          <w:b/>
          <w:sz w:val="28"/>
          <w:szCs w:val="28"/>
        </w:rPr>
      </w:pPr>
      <w:r>
        <w:rPr>
          <w:b/>
          <w:sz w:val="28"/>
          <w:szCs w:val="28"/>
        </w:rPr>
        <w:t>Program</w:t>
      </w:r>
      <w:r w:rsidR="006B64D7">
        <w:rPr>
          <w:b/>
          <w:sz w:val="28"/>
          <w:szCs w:val="28"/>
        </w:rPr>
        <w:t xml:space="preserve"> </w:t>
      </w:r>
      <w:r w:rsidR="00914D6C" w:rsidRPr="0004214D">
        <w:rPr>
          <w:b/>
          <w:sz w:val="28"/>
          <w:szCs w:val="28"/>
        </w:rPr>
        <w:t>Staffing</w:t>
      </w:r>
      <w:r w:rsidR="00914D6C">
        <w:rPr>
          <w:b/>
          <w:sz w:val="28"/>
          <w:szCs w:val="28"/>
        </w:rPr>
        <w:tab/>
      </w:r>
    </w:p>
    <w:p w:rsidR="00914D6C" w:rsidRPr="00D817C0" w:rsidRDefault="00914D6C" w:rsidP="00914D6C">
      <w:pPr>
        <w:ind w:left="0"/>
        <w:rPr>
          <w:rFonts w:eastAsia="Calibri"/>
          <w:color w:val="auto"/>
        </w:rPr>
      </w:pPr>
    </w:p>
    <w:p w:rsidR="008333DF" w:rsidRDefault="00914D6C" w:rsidP="008333DF">
      <w:pPr>
        <w:pStyle w:val="BodyText"/>
        <w:jc w:val="both"/>
        <w:rPr>
          <w:rFonts w:eastAsia="Calibri"/>
        </w:rPr>
      </w:pPr>
      <w:r>
        <w:t xml:space="preserve">The applicant is responsible for including </w:t>
      </w:r>
      <w:r w:rsidR="0038488D">
        <w:t xml:space="preserve">personnel </w:t>
      </w:r>
      <w:r>
        <w:t xml:space="preserve">costs in the budget and budget </w:t>
      </w:r>
      <w:r w:rsidR="00FE6BE3">
        <w:t>narrative needed</w:t>
      </w:r>
      <w:r>
        <w:t xml:space="preserve"> to accomplish </w:t>
      </w:r>
      <w:r w:rsidR="00694141">
        <w:t xml:space="preserve">program </w:t>
      </w:r>
      <w:r>
        <w:t xml:space="preserve">requirements. </w:t>
      </w:r>
      <w:r w:rsidR="008333DF">
        <w:rPr>
          <w:rFonts w:eastAsia="Calibri"/>
        </w:rPr>
        <w:t xml:space="preserve">Funding for this program is limited to salary and benefits for personnel providing direct services and </w:t>
      </w:r>
      <w:r w:rsidR="008333DF">
        <w:t>direct supervision of victim service providers</w:t>
      </w:r>
      <w:r w:rsidR="008333DF">
        <w:rPr>
          <w:rFonts w:eastAsia="Calibri"/>
        </w:rPr>
        <w:t xml:space="preserve">. </w:t>
      </w:r>
    </w:p>
    <w:p w:rsidR="008333DF" w:rsidRPr="00D817C0" w:rsidRDefault="008333DF" w:rsidP="00914D6C">
      <w:pPr>
        <w:ind w:left="0"/>
        <w:rPr>
          <w:rFonts w:eastAsia="Calibri"/>
          <w:color w:val="auto"/>
        </w:rPr>
      </w:pPr>
    </w:p>
    <w:p w:rsidR="00914D6C" w:rsidRPr="00876F31" w:rsidRDefault="00914D6C" w:rsidP="00914D6C">
      <w:pPr>
        <w:textAlignment w:val="baseline"/>
        <w:rPr>
          <w:rFonts w:ascii="Arial" w:hAnsi="Arial" w:cs="Arial"/>
        </w:rPr>
      </w:pPr>
      <w:r w:rsidRPr="000F3F5F">
        <w:rPr>
          <w:b/>
          <w:color w:val="auto"/>
        </w:rPr>
        <w:t>Direct Service Staff:</w:t>
      </w:r>
      <w:r w:rsidRPr="00876F31">
        <w:rPr>
          <w:color w:val="auto"/>
        </w:rPr>
        <w:t xml:space="preserve"> Sufficient staffing to provide the </w:t>
      </w:r>
      <w:r>
        <w:rPr>
          <w:color w:val="auto"/>
        </w:rPr>
        <w:t>required</w:t>
      </w:r>
      <w:r w:rsidRPr="00876F31">
        <w:rPr>
          <w:color w:val="auto"/>
        </w:rPr>
        <w:t xml:space="preserve"> services for all clients to be served. Staffing plan should include ability to serve clients with various levels and length of service needs.</w:t>
      </w:r>
      <w:r w:rsidRPr="00D817C0">
        <w:rPr>
          <w:rFonts w:eastAsia="Calibri"/>
          <w:color w:val="auto"/>
          <w:sz w:val="16"/>
          <w:szCs w:val="16"/>
        </w:rPr>
        <w:t xml:space="preserve"> </w:t>
      </w:r>
      <w:r w:rsidRPr="00876F31">
        <w:rPr>
          <w:rFonts w:ascii="Arial" w:hAnsi="Arial" w:cs="Arial"/>
        </w:rPr>
        <w:t xml:space="preserve"> </w:t>
      </w:r>
    </w:p>
    <w:p w:rsidR="00914D6C" w:rsidRDefault="00914D6C" w:rsidP="0030357E">
      <w:pPr>
        <w:ind w:left="0"/>
        <w:textAlignment w:val="baseline"/>
      </w:pPr>
    </w:p>
    <w:p w:rsidR="00706F4E" w:rsidRPr="00706F4E" w:rsidRDefault="00FE3E8F" w:rsidP="00706F4E">
      <w:pPr>
        <w:textAlignment w:val="baseline"/>
        <w:rPr>
          <w:color w:val="auto"/>
        </w:rPr>
      </w:pPr>
      <w:r w:rsidRPr="000F3F5F">
        <w:rPr>
          <w:b/>
          <w:color w:val="auto"/>
        </w:rPr>
        <w:t xml:space="preserve">Direct </w:t>
      </w:r>
      <w:r w:rsidR="00706F4E">
        <w:rPr>
          <w:b/>
          <w:color w:val="auto"/>
        </w:rPr>
        <w:t xml:space="preserve">Supervision of Victim </w:t>
      </w:r>
      <w:r w:rsidRPr="000F3F5F">
        <w:rPr>
          <w:b/>
          <w:color w:val="auto"/>
        </w:rPr>
        <w:t xml:space="preserve">Service </w:t>
      </w:r>
      <w:r w:rsidR="00706F4E">
        <w:rPr>
          <w:b/>
          <w:color w:val="auto"/>
        </w:rPr>
        <w:t>Providers:</w:t>
      </w:r>
      <w:r w:rsidR="00706F4E" w:rsidRPr="00706F4E">
        <w:rPr>
          <w:color w:val="auto"/>
        </w:rPr>
        <w:t xml:space="preserve"> Refers to the training and </w:t>
      </w:r>
      <w:r w:rsidR="001603CD">
        <w:rPr>
          <w:color w:val="auto"/>
        </w:rPr>
        <w:t xml:space="preserve">direct </w:t>
      </w:r>
      <w:r w:rsidR="00706F4E" w:rsidRPr="00706F4E">
        <w:rPr>
          <w:color w:val="auto"/>
        </w:rPr>
        <w:t xml:space="preserve">supervision of </w:t>
      </w:r>
      <w:r w:rsidR="00706F4E">
        <w:rPr>
          <w:color w:val="auto"/>
        </w:rPr>
        <w:t xml:space="preserve">hotline </w:t>
      </w:r>
      <w:r w:rsidR="00706F4E" w:rsidRPr="00706F4E">
        <w:rPr>
          <w:color w:val="auto"/>
        </w:rPr>
        <w:t xml:space="preserve">advocates who provide direct services to </w:t>
      </w:r>
      <w:r w:rsidR="00706F4E">
        <w:rPr>
          <w:color w:val="auto"/>
        </w:rPr>
        <w:t>victims of domestic violence</w:t>
      </w:r>
      <w:r w:rsidR="00706F4E" w:rsidRPr="00706F4E">
        <w:rPr>
          <w:color w:val="auto"/>
        </w:rPr>
        <w:t xml:space="preserve">. </w:t>
      </w:r>
      <w:r w:rsidR="00496B33">
        <w:rPr>
          <w:color w:val="auto"/>
        </w:rPr>
        <w:t>Supervision</w:t>
      </w:r>
      <w:r w:rsidR="00496B33" w:rsidRPr="00706F4E">
        <w:rPr>
          <w:color w:val="auto"/>
        </w:rPr>
        <w:t xml:space="preserve"> </w:t>
      </w:r>
      <w:r w:rsidR="00706F4E" w:rsidRPr="00706F4E">
        <w:rPr>
          <w:color w:val="auto"/>
        </w:rPr>
        <w:t xml:space="preserve">must include at a minimum: </w:t>
      </w:r>
    </w:p>
    <w:p w:rsidR="00706F4E" w:rsidRPr="00706F4E" w:rsidRDefault="00706F4E" w:rsidP="007C12D1">
      <w:pPr>
        <w:ind w:left="1440"/>
        <w:textAlignment w:val="baseline"/>
        <w:rPr>
          <w:color w:val="auto"/>
        </w:rPr>
      </w:pPr>
      <w:r w:rsidRPr="00706F4E">
        <w:rPr>
          <w:color w:val="auto"/>
        </w:rPr>
        <w:t>a) Training advocates</w:t>
      </w:r>
      <w:r w:rsidR="00B72D6E">
        <w:rPr>
          <w:color w:val="auto"/>
        </w:rPr>
        <w:t>.</w:t>
      </w:r>
    </w:p>
    <w:p w:rsidR="00706F4E" w:rsidRPr="00706F4E" w:rsidRDefault="00706F4E" w:rsidP="007C12D1">
      <w:pPr>
        <w:ind w:left="1440"/>
        <w:textAlignment w:val="baseline"/>
        <w:rPr>
          <w:color w:val="auto"/>
        </w:rPr>
      </w:pPr>
      <w:r>
        <w:rPr>
          <w:color w:val="auto"/>
        </w:rPr>
        <w:t>b</w:t>
      </w:r>
      <w:r w:rsidRPr="00706F4E">
        <w:rPr>
          <w:color w:val="auto"/>
        </w:rPr>
        <w:t>) Providing consultation on cases as needed</w:t>
      </w:r>
      <w:r w:rsidR="00B72D6E">
        <w:rPr>
          <w:color w:val="auto"/>
        </w:rPr>
        <w:t>.</w:t>
      </w:r>
      <w:r w:rsidRPr="00706F4E">
        <w:rPr>
          <w:color w:val="auto"/>
        </w:rPr>
        <w:t xml:space="preserve"> </w:t>
      </w:r>
    </w:p>
    <w:p w:rsidR="00706F4E" w:rsidRDefault="00706F4E" w:rsidP="007C12D1">
      <w:pPr>
        <w:ind w:left="1440"/>
        <w:textAlignment w:val="baseline"/>
        <w:rPr>
          <w:color w:val="auto"/>
        </w:rPr>
      </w:pPr>
      <w:r>
        <w:rPr>
          <w:color w:val="auto"/>
        </w:rPr>
        <w:t>c</w:t>
      </w:r>
      <w:r w:rsidRPr="00706F4E">
        <w:rPr>
          <w:color w:val="auto"/>
        </w:rPr>
        <w:t>) Evaluating and maintaining workloads.</w:t>
      </w:r>
    </w:p>
    <w:p w:rsidR="008333DF" w:rsidRPr="00706F4E" w:rsidRDefault="008333DF" w:rsidP="007C12D1">
      <w:pPr>
        <w:ind w:left="1440"/>
        <w:textAlignment w:val="baseline"/>
        <w:rPr>
          <w:color w:val="auto"/>
        </w:rPr>
      </w:pPr>
    </w:p>
    <w:p w:rsidR="006609F1" w:rsidRPr="00381087" w:rsidRDefault="006609F1" w:rsidP="006609F1">
      <w:pPr>
        <w:spacing w:line="276" w:lineRule="auto"/>
        <w:ind w:left="0"/>
        <w:rPr>
          <w:rFonts w:eastAsia="Cambria"/>
          <w:b/>
          <w:u w:val="single"/>
        </w:rPr>
      </w:pPr>
      <w:r w:rsidRPr="00381087">
        <w:rPr>
          <w:rFonts w:eastAsia="Cambria"/>
          <w:b/>
          <w:u w:val="single"/>
        </w:rPr>
        <w:t>Trauma</w:t>
      </w:r>
      <w:r w:rsidR="00524DDD">
        <w:rPr>
          <w:rFonts w:eastAsia="Cambria"/>
          <w:b/>
          <w:u w:val="single"/>
        </w:rPr>
        <w:t>-</w:t>
      </w:r>
      <w:r w:rsidRPr="00381087">
        <w:rPr>
          <w:rFonts w:eastAsia="Cambria"/>
          <w:b/>
          <w:u w:val="single"/>
        </w:rPr>
        <w:t>Informed Practices:</w:t>
      </w:r>
    </w:p>
    <w:p w:rsidR="006609F1" w:rsidRPr="00381087" w:rsidRDefault="006609F1" w:rsidP="006609F1">
      <w:pPr>
        <w:spacing w:line="276" w:lineRule="auto"/>
        <w:ind w:left="0"/>
        <w:rPr>
          <w:rFonts w:eastAsia="Cambria"/>
          <w:b/>
          <w:u w:val="single"/>
        </w:rPr>
      </w:pPr>
    </w:p>
    <w:p w:rsidR="006609F1" w:rsidRPr="00381087" w:rsidRDefault="006609F1" w:rsidP="006609F1">
      <w:pPr>
        <w:spacing w:line="276" w:lineRule="auto"/>
        <w:ind w:left="0"/>
        <w:rPr>
          <w:color w:val="auto"/>
        </w:rPr>
      </w:pPr>
      <w:r w:rsidRPr="00381087">
        <w:rPr>
          <w:color w:val="auto"/>
        </w:rPr>
        <w:t xml:space="preserve">The applicant is strongly urged to increase their knowledge of trauma-informed practices and, where appropriate, incorporate trauma-informed practices into proposed services. See </w:t>
      </w:r>
      <w:r w:rsidR="0025070A" w:rsidRPr="004007BA">
        <w:rPr>
          <w:color w:val="auto"/>
        </w:rPr>
        <w:t>provided</w:t>
      </w:r>
      <w:r w:rsidR="0025070A">
        <w:rPr>
          <w:color w:val="auto"/>
        </w:rPr>
        <w:t xml:space="preserve"> materials</w:t>
      </w:r>
      <w:r w:rsidR="0025070A" w:rsidRPr="00381087">
        <w:rPr>
          <w:color w:val="auto"/>
        </w:rPr>
        <w:t xml:space="preserve"> </w:t>
      </w:r>
      <w:r w:rsidRPr="00381087">
        <w:rPr>
          <w:color w:val="auto"/>
        </w:rPr>
        <w:t xml:space="preserve">for an overview of trauma-informed services. ICJIA understands that becoming trauma-informed is a continual process of organizational assessment and change. The applicant should describe </w:t>
      </w:r>
      <w:r w:rsidR="00B047FF">
        <w:rPr>
          <w:color w:val="auto"/>
        </w:rPr>
        <w:t>its</w:t>
      </w:r>
      <w:r w:rsidR="00B047FF" w:rsidRPr="00381087">
        <w:rPr>
          <w:color w:val="auto"/>
        </w:rPr>
        <w:t xml:space="preserve"> </w:t>
      </w:r>
      <w:r w:rsidRPr="00381087">
        <w:rPr>
          <w:color w:val="auto"/>
        </w:rPr>
        <w:t xml:space="preserve">current practices and identify how trauma-informed practices will be integrated into </w:t>
      </w:r>
      <w:r w:rsidR="00B047FF">
        <w:rPr>
          <w:color w:val="auto"/>
        </w:rPr>
        <w:t>its</w:t>
      </w:r>
      <w:r w:rsidR="00B047FF" w:rsidRPr="00381087">
        <w:rPr>
          <w:color w:val="auto"/>
        </w:rPr>
        <w:t xml:space="preserve"> </w:t>
      </w:r>
      <w:r w:rsidRPr="00381087">
        <w:rPr>
          <w:color w:val="auto"/>
        </w:rPr>
        <w:t xml:space="preserve">proposed services.  ICJIA reserves the right to survey the grantee and sub-grantees to assess their knowledge of </w:t>
      </w:r>
      <w:r w:rsidR="00B72D6E" w:rsidRPr="00381087">
        <w:rPr>
          <w:color w:val="auto"/>
        </w:rPr>
        <w:t>trauma</w:t>
      </w:r>
      <w:r w:rsidR="00B72D6E">
        <w:rPr>
          <w:color w:val="auto"/>
        </w:rPr>
        <w:t>-</w:t>
      </w:r>
      <w:r w:rsidRPr="00381087">
        <w:rPr>
          <w:color w:val="auto"/>
        </w:rPr>
        <w:t>informed practices and their implementation of these practices, which may serve a grant monitoring function.  Through conducting periodic assessments, agencies and ICJIA can identify areas of strength and growth for adopting a trauma-informed approach to services that help to prevent the re-traumatization of victims.</w:t>
      </w:r>
    </w:p>
    <w:p w:rsidR="000428EC" w:rsidRPr="00381087" w:rsidRDefault="000428EC" w:rsidP="006609F1">
      <w:pPr>
        <w:spacing w:line="276" w:lineRule="auto"/>
        <w:ind w:left="0"/>
      </w:pPr>
    </w:p>
    <w:p w:rsidR="000428EC" w:rsidRDefault="000428EC" w:rsidP="003C044D">
      <w:pPr>
        <w:ind w:left="0"/>
        <w:rPr>
          <w:b/>
          <w:shd w:val="clear" w:color="auto" w:fill="FFFFFF"/>
        </w:rPr>
      </w:pPr>
      <w:r w:rsidRPr="00D7126C">
        <w:rPr>
          <w:b/>
          <w:shd w:val="clear" w:color="auto" w:fill="FFFFFF"/>
        </w:rPr>
        <w:t>Goals, Objectives and Performance Metrics</w:t>
      </w:r>
    </w:p>
    <w:p w:rsidR="00B72D6E" w:rsidRPr="00D7126C" w:rsidRDefault="00B72D6E" w:rsidP="003C044D">
      <w:pPr>
        <w:ind w:left="0"/>
        <w:rPr>
          <w:b/>
          <w:shd w:val="clear" w:color="auto" w:fill="FFFFFF"/>
        </w:rPr>
      </w:pPr>
    </w:p>
    <w:p w:rsidR="000428EC" w:rsidRPr="00B92A38" w:rsidRDefault="000428EC" w:rsidP="00C94FEE">
      <w:pPr>
        <w:ind w:left="0"/>
        <w:rPr>
          <w:shd w:val="clear" w:color="auto" w:fill="FFFFFF"/>
        </w:rPr>
      </w:pPr>
      <w:r w:rsidRPr="00B92A38">
        <w:rPr>
          <w:shd w:val="clear" w:color="auto" w:fill="FFFFFF"/>
        </w:rPr>
        <w:t>The following table depict</w:t>
      </w:r>
      <w:r w:rsidR="009C0555">
        <w:rPr>
          <w:shd w:val="clear" w:color="auto" w:fill="FFFFFF"/>
        </w:rPr>
        <w:t>s</w:t>
      </w:r>
      <w:r w:rsidRPr="00B92A38">
        <w:rPr>
          <w:shd w:val="clear" w:color="auto" w:fill="FFFFFF"/>
        </w:rPr>
        <w:t xml:space="preserve"> objectives linked to performance indicators that show progress toward the proposed program goal. Complete the tables by entering ambitious yet realistic numbers for each objective based on your proposed program. </w:t>
      </w:r>
    </w:p>
    <w:p w:rsidR="0038488D" w:rsidRDefault="0038488D" w:rsidP="0038488D">
      <w:pPr>
        <w:ind w:left="0"/>
        <w:rPr>
          <w:shd w:val="clear" w:color="auto" w:fill="FFFFFF"/>
        </w:rPr>
      </w:pPr>
    </w:p>
    <w:p w:rsidR="000428EC" w:rsidRDefault="000428EC" w:rsidP="00C94FEE">
      <w:pPr>
        <w:ind w:left="0"/>
        <w:rPr>
          <w:shd w:val="clear" w:color="auto" w:fill="FFFFFF"/>
        </w:rPr>
      </w:pPr>
      <w:r w:rsidRPr="00D7126C">
        <w:rPr>
          <w:shd w:val="clear" w:color="auto" w:fill="FFFFFF"/>
        </w:rPr>
        <w:t>The applicant will be required to submit quarterly data reports reflecting information about these performance measures and may be asked to collect additional measures to track program progress and outcomes.</w:t>
      </w:r>
      <w:r w:rsidRPr="00C94FEE">
        <w:rPr>
          <w:i/>
          <w:shd w:val="clear" w:color="auto" w:fill="FFFFFF"/>
        </w:rPr>
        <w:t xml:space="preserve"> Some objectives may not apply to your program</w:t>
      </w:r>
      <w:r w:rsidR="00B72D6E">
        <w:rPr>
          <w:i/>
          <w:shd w:val="clear" w:color="auto" w:fill="FFFFFF"/>
        </w:rPr>
        <w:t>. For</w:t>
      </w:r>
      <w:r w:rsidRPr="00C94FEE">
        <w:rPr>
          <w:i/>
          <w:shd w:val="clear" w:color="auto" w:fill="FFFFFF"/>
        </w:rPr>
        <w:t xml:space="preserve"> those objectives, please enter </w:t>
      </w:r>
      <w:r w:rsidR="00FB7663" w:rsidRPr="00C94FEE">
        <w:rPr>
          <w:i/>
          <w:shd w:val="clear" w:color="auto" w:fill="FFFFFF"/>
        </w:rPr>
        <w:t>N/A</w:t>
      </w:r>
      <w:r w:rsidRPr="00C94FEE">
        <w:rPr>
          <w:i/>
          <w:shd w:val="clear" w:color="auto" w:fill="FFFFFF"/>
        </w:rPr>
        <w:t>.</w:t>
      </w:r>
    </w:p>
    <w:p w:rsidR="000428EC" w:rsidRPr="00D7126C" w:rsidRDefault="000428EC" w:rsidP="000428EC">
      <w:pPr>
        <w:rPr>
          <w:shd w:val="clear" w:color="auto" w:fill="FFFFFF"/>
        </w:rPr>
      </w:pPr>
    </w:p>
    <w:tbl>
      <w:tblPr>
        <w:tblStyle w:val="TableGrid11"/>
        <w:tblW w:w="5000" w:type="pct"/>
        <w:tblLook w:val="04A0" w:firstRow="1" w:lastRow="0" w:firstColumn="1" w:lastColumn="0" w:noHBand="0" w:noVBand="1"/>
      </w:tblPr>
      <w:tblGrid>
        <w:gridCol w:w="4493"/>
        <w:gridCol w:w="4407"/>
      </w:tblGrid>
      <w:tr w:rsidR="000428EC" w:rsidRPr="007C05C2" w:rsidTr="00B3648B">
        <w:tc>
          <w:tcPr>
            <w:tcW w:w="5000" w:type="pct"/>
            <w:gridSpan w:val="2"/>
            <w:shd w:val="clear" w:color="auto" w:fill="E7E6E6" w:themeFill="background2"/>
          </w:tcPr>
          <w:p w:rsidR="000428EC" w:rsidRDefault="000428EC" w:rsidP="00B3648B">
            <w:pPr>
              <w:rPr>
                <w:rFonts w:ascii="Times New Roman" w:hAnsi="Times New Roman" w:cs="Times New Roman"/>
              </w:rPr>
            </w:pPr>
            <w:r w:rsidRPr="007C05C2">
              <w:rPr>
                <w:rFonts w:ascii="Times New Roman" w:hAnsi="Times New Roman" w:cs="Times New Roman"/>
                <w:b/>
              </w:rPr>
              <w:t>Goal</w:t>
            </w:r>
            <w:r w:rsidRPr="007C05C2">
              <w:rPr>
                <w:rFonts w:ascii="Times New Roman" w:hAnsi="Times New Roman" w:cs="Times New Roman"/>
              </w:rPr>
              <w:t xml:space="preserve">:  </w:t>
            </w:r>
          </w:p>
          <w:p w:rsidR="000428EC" w:rsidRDefault="000428EC" w:rsidP="00B3648B">
            <w:pPr>
              <w:rPr>
                <w:rFonts w:ascii="Times New Roman" w:hAnsi="Times New Roman" w:cs="Times New Roman"/>
              </w:rPr>
            </w:pPr>
          </w:p>
          <w:p w:rsidR="000428EC"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shd w:val="clear" w:color="auto" w:fill="D9D9D9"/>
              </w:rPr>
            </w:pPr>
          </w:p>
        </w:tc>
      </w:tr>
      <w:tr w:rsidR="000428EC" w:rsidRPr="007C05C2" w:rsidTr="00B3648B">
        <w:tc>
          <w:tcPr>
            <w:tcW w:w="2524" w:type="pct"/>
          </w:tcPr>
          <w:p w:rsidR="000428EC" w:rsidRPr="007C05C2" w:rsidRDefault="000428EC" w:rsidP="00B3648B">
            <w:pPr>
              <w:jc w:val="center"/>
              <w:rPr>
                <w:rFonts w:ascii="Times New Roman" w:hAnsi="Times New Roman" w:cs="Times New Roman"/>
                <w:b/>
              </w:rPr>
            </w:pPr>
            <w:r w:rsidRPr="007C05C2">
              <w:rPr>
                <w:rFonts w:ascii="Times New Roman" w:hAnsi="Times New Roman" w:cs="Times New Roman"/>
                <w:b/>
              </w:rPr>
              <w:t>Objective</w:t>
            </w:r>
          </w:p>
          <w:p w:rsidR="000428EC" w:rsidRPr="007C05C2" w:rsidRDefault="000428EC" w:rsidP="00B3648B">
            <w:pPr>
              <w:jc w:val="center"/>
              <w:rPr>
                <w:rFonts w:ascii="Times New Roman" w:hAnsi="Times New Roman" w:cs="Times New Roman"/>
                <w:b/>
              </w:rPr>
            </w:pPr>
          </w:p>
        </w:tc>
        <w:tc>
          <w:tcPr>
            <w:tcW w:w="2476" w:type="pct"/>
          </w:tcPr>
          <w:p w:rsidR="000428EC" w:rsidRPr="007C05C2" w:rsidRDefault="000428EC" w:rsidP="00B3648B">
            <w:pPr>
              <w:jc w:val="center"/>
              <w:rPr>
                <w:rFonts w:ascii="Times New Roman" w:hAnsi="Times New Roman" w:cs="Times New Roman"/>
                <w:b/>
              </w:rPr>
            </w:pPr>
            <w:r w:rsidRPr="007C05C2">
              <w:rPr>
                <w:rFonts w:ascii="Times New Roman" w:hAnsi="Times New Roman" w:cs="Times New Roman"/>
                <w:b/>
              </w:rPr>
              <w:t>Performance Measure</w:t>
            </w:r>
          </w:p>
        </w:tc>
      </w:tr>
      <w:tr w:rsidR="000428EC" w:rsidRPr="007C05C2" w:rsidTr="00B3648B">
        <w:tc>
          <w:tcPr>
            <w:tcW w:w="5000" w:type="pct"/>
            <w:gridSpan w:val="2"/>
            <w:shd w:val="clear" w:color="auto" w:fill="FFF2CC" w:themeFill="accent4" w:themeFillTint="33"/>
          </w:tcPr>
          <w:p w:rsidR="000428EC" w:rsidRPr="007C05C2" w:rsidRDefault="000428EC" w:rsidP="00B3648B">
            <w:pPr>
              <w:tabs>
                <w:tab w:val="right" w:pos="5274"/>
              </w:tabs>
              <w:rPr>
                <w:rFonts w:ascii="Times New Roman" w:hAnsi="Times New Roman" w:cs="Times New Roman"/>
                <w:i/>
              </w:rPr>
            </w:pPr>
            <w:r w:rsidRPr="007C05C2">
              <w:rPr>
                <w:rFonts w:ascii="Times New Roman" w:hAnsi="Times New Roman" w:cs="Times New Roman"/>
                <w:i/>
              </w:rPr>
              <w:t>INFORMATION &amp; REFERRAL</w:t>
            </w:r>
            <w:r w:rsidRPr="007C05C2">
              <w:rPr>
                <w:rFonts w:ascii="Times New Roman" w:hAnsi="Times New Roman" w:cs="Times New Roman"/>
                <w:i/>
              </w:rPr>
              <w:tab/>
            </w:r>
          </w:p>
        </w:tc>
      </w:tr>
      <w:tr w:rsidR="000428EC" w:rsidRPr="007C05C2" w:rsidTr="00B3648B">
        <w:trPr>
          <w:trHeight w:val="557"/>
        </w:trPr>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____ client will receive information about </w:t>
            </w:r>
            <w:r>
              <w:rPr>
                <w:rFonts w:ascii="Times New Roman" w:hAnsi="Times New Roman" w:cs="Times New Roman"/>
              </w:rPr>
              <w:t>the criminal justice process</w:t>
            </w:r>
          </w:p>
        </w:tc>
        <w:tc>
          <w:tcPr>
            <w:tcW w:w="2476" w:type="pct"/>
          </w:tcPr>
          <w:p w:rsidR="000428EC" w:rsidRPr="007C05C2" w:rsidRDefault="000428EC" w:rsidP="00B3648B">
            <w:pPr>
              <w:rPr>
                <w:rFonts w:ascii="Times New Roman" w:hAnsi="Times New Roman" w:cs="Times New Roman"/>
              </w:rPr>
            </w:pPr>
            <w:r>
              <w:rPr>
                <w:rFonts w:ascii="Times New Roman" w:hAnsi="Times New Roman" w:cs="Times New Roman"/>
              </w:rPr>
              <w:t xml:space="preserve"># ____ client provided with </w:t>
            </w:r>
            <w:r w:rsidRPr="007C05C2">
              <w:rPr>
                <w:rFonts w:ascii="Times New Roman" w:hAnsi="Times New Roman" w:cs="Times New Roman"/>
              </w:rPr>
              <w:t xml:space="preserve">information about </w:t>
            </w:r>
            <w:r>
              <w:rPr>
                <w:rFonts w:ascii="Times New Roman" w:hAnsi="Times New Roman" w:cs="Times New Roman"/>
              </w:rPr>
              <w:t>the criminal justice process</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____ client will receive information about victims’ rights, how to obtain notifications, etc. </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clients provided with information about victims’ rights, how to obtain notifications, etc. </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____ clients will receive referrals to other victim service providers.</w:t>
            </w: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 of clients provided with referrals to other victim service providers.</w:t>
            </w:r>
          </w:p>
          <w:p w:rsidR="000428EC" w:rsidRPr="007C05C2" w:rsidRDefault="000428EC" w:rsidP="00B3648B">
            <w:pPr>
              <w:rPr>
                <w:rFonts w:ascii="Times New Roman" w:hAnsi="Times New Roman" w:cs="Times New Roman"/>
              </w:rPr>
            </w:pPr>
          </w:p>
        </w:tc>
      </w:tr>
      <w:tr w:rsidR="000428EC" w:rsidRPr="007C05C2" w:rsidTr="00B3648B">
        <w:trPr>
          <w:trHeight w:val="1250"/>
        </w:trPr>
        <w:tc>
          <w:tcPr>
            <w:tcW w:w="2524" w:type="pct"/>
          </w:tcPr>
          <w:p w:rsidR="000428EC" w:rsidRDefault="000428EC" w:rsidP="00B3648B">
            <w:pPr>
              <w:rPr>
                <w:rFonts w:ascii="Times New Roman" w:hAnsi="Times New Roman" w:cs="Times New Roman"/>
              </w:rPr>
            </w:pPr>
            <w:r w:rsidRPr="007C05C2">
              <w:rPr>
                <w:rFonts w:ascii="Times New Roman" w:hAnsi="Times New Roman" w:cs="Times New Roman"/>
              </w:rPr>
              <w:t># ____ clients will receive referrals to other services, supports and resources (</w:t>
            </w:r>
            <w:r w:rsidRPr="007C05C2">
              <w:rPr>
                <w:rFonts w:ascii="Times New Roman" w:hAnsi="Times New Roman" w:cs="Times New Roman"/>
                <w:i/>
              </w:rPr>
              <w:t>includes legal, medical, faith-based organizations, address-confidentiality programs, etc</w:t>
            </w:r>
            <w:r w:rsidRPr="007C05C2">
              <w:rPr>
                <w:rFonts w:ascii="Times New Roman" w:hAnsi="Times New Roman" w:cs="Times New Roman"/>
              </w:rPr>
              <w:t>.)</w:t>
            </w: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of clients received referrals to other services, supports and resources</w:t>
            </w:r>
          </w:p>
        </w:tc>
      </w:tr>
      <w:tr w:rsidR="000428EC" w:rsidRPr="007C05C2" w:rsidTr="00B3648B">
        <w:tc>
          <w:tcPr>
            <w:tcW w:w="5000" w:type="pct"/>
            <w:gridSpan w:val="2"/>
            <w:shd w:val="clear" w:color="auto" w:fill="FFF2CC" w:themeFill="accent4" w:themeFillTint="33"/>
          </w:tcPr>
          <w:p w:rsidR="000428EC" w:rsidRPr="007C05C2" w:rsidRDefault="000428EC" w:rsidP="00B3648B">
            <w:pPr>
              <w:rPr>
                <w:rFonts w:ascii="Times New Roman" w:hAnsi="Times New Roman" w:cs="Times New Roman"/>
              </w:rPr>
            </w:pPr>
            <w:r w:rsidRPr="007C05C2">
              <w:rPr>
                <w:rFonts w:ascii="Times New Roman" w:hAnsi="Times New Roman" w:cs="Times New Roman"/>
                <w:i/>
              </w:rPr>
              <w:t>PERSONAL ADVOCACY/ACCOMPANIMENT</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#____ clients will receive individual advocacy (e.g., assistance applying for public benefits).</w:t>
            </w: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of clients provided individual advocacy (e.g., assistance applying for public benefits).</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of times staff provided individual advocacy (e.g., assistance applying for public benefits).</w:t>
            </w:r>
          </w:p>
        </w:tc>
      </w:tr>
      <w:tr w:rsidR="000428EC" w:rsidRPr="007C05C2" w:rsidTr="00B3648B">
        <w:tc>
          <w:tcPr>
            <w:tcW w:w="2524" w:type="pct"/>
          </w:tcPr>
          <w:p w:rsidR="000428EC" w:rsidRPr="00E07D8F" w:rsidRDefault="000428EC" w:rsidP="00B3648B">
            <w:pPr>
              <w:rPr>
                <w:rFonts w:ascii="Times New Roman" w:hAnsi="Times New Roman" w:cs="Times New Roman"/>
              </w:rPr>
            </w:pPr>
            <w:r w:rsidRPr="00E07D8F">
              <w:rPr>
                <w:rFonts w:ascii="Times New Roman" w:hAnsi="Times New Roman" w:cs="Times New Roman"/>
              </w:rPr>
              <w:t xml:space="preserve">#____ clients will receive assistance </w:t>
            </w:r>
            <w:r w:rsidRPr="00FC3B0D">
              <w:rPr>
                <w:rFonts w:ascii="Times New Roman" w:hAnsi="Times New Roman" w:cs="Times New Roman"/>
              </w:rPr>
              <w:t xml:space="preserve">or information about </w:t>
            </w:r>
            <w:r w:rsidRPr="00E07D8F">
              <w:rPr>
                <w:rFonts w:ascii="Times New Roman" w:hAnsi="Times New Roman" w:cs="Times New Roman"/>
              </w:rPr>
              <w:t>filing for victim compensation.</w:t>
            </w:r>
          </w:p>
          <w:p w:rsidR="000428EC" w:rsidRPr="007632F4" w:rsidRDefault="000428EC" w:rsidP="00B3648B">
            <w:pPr>
              <w:rPr>
                <w:rFonts w:ascii="Times New Roman" w:hAnsi="Times New Roman" w:cs="Times New Roman"/>
              </w:rPr>
            </w:pPr>
          </w:p>
        </w:tc>
        <w:tc>
          <w:tcPr>
            <w:tcW w:w="2476" w:type="pct"/>
          </w:tcPr>
          <w:p w:rsidR="000428EC" w:rsidRPr="00E07D8F" w:rsidRDefault="000428EC" w:rsidP="00B3648B">
            <w:pPr>
              <w:rPr>
                <w:rFonts w:ascii="Times New Roman" w:hAnsi="Times New Roman" w:cs="Times New Roman"/>
              </w:rPr>
            </w:pPr>
            <w:r w:rsidRPr="00B2159E">
              <w:rPr>
                <w:rFonts w:ascii="Times New Roman" w:hAnsi="Times New Roman" w:cs="Times New Roman"/>
              </w:rPr>
              <w:t xml:space="preserve"># of clients provided assistance </w:t>
            </w:r>
            <w:r w:rsidRPr="00FC3B0D">
              <w:rPr>
                <w:rFonts w:ascii="Times New Roman" w:hAnsi="Times New Roman" w:cs="Times New Roman"/>
              </w:rPr>
              <w:t xml:space="preserve">or information about </w:t>
            </w:r>
            <w:r w:rsidRPr="00E07D8F">
              <w:rPr>
                <w:rFonts w:ascii="Times New Roman" w:hAnsi="Times New Roman" w:cs="Times New Roman"/>
              </w:rPr>
              <w:t>filing for victim compensation.</w:t>
            </w:r>
          </w:p>
          <w:p w:rsidR="000428EC" w:rsidRPr="007632F4" w:rsidRDefault="000428EC" w:rsidP="00B3648B">
            <w:pPr>
              <w:rPr>
                <w:rFonts w:ascii="Times New Roman" w:hAnsi="Times New Roman" w:cs="Times New Roman"/>
              </w:rPr>
            </w:pPr>
          </w:p>
          <w:p w:rsidR="000428EC" w:rsidRPr="00E07D8F" w:rsidRDefault="000428EC" w:rsidP="00B3648B">
            <w:pPr>
              <w:rPr>
                <w:rFonts w:ascii="Times New Roman" w:hAnsi="Times New Roman" w:cs="Times New Roman"/>
              </w:rPr>
            </w:pPr>
            <w:r w:rsidRPr="00B2159E">
              <w:rPr>
                <w:rFonts w:ascii="Times New Roman" w:hAnsi="Times New Roman" w:cs="Times New Roman"/>
              </w:rPr>
              <w:t># of times staff provided assistance filing for victim compensation.</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lastRenderedPageBreak/>
              <w:t xml:space="preserve">#_____ clients will receive </w:t>
            </w:r>
            <w:r>
              <w:rPr>
                <w:rFonts w:ascii="Times New Roman" w:hAnsi="Times New Roman" w:cs="Times New Roman"/>
              </w:rPr>
              <w:t>immigration assistance (e.g., special visa, continued presence application, and other immigration relief).</w:t>
            </w: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clients provided with </w:t>
            </w:r>
            <w:r>
              <w:rPr>
                <w:rFonts w:ascii="Times New Roman" w:hAnsi="Times New Roman" w:cs="Times New Roman"/>
              </w:rPr>
              <w:t>immigration assistance (e.g., special visa, continued presence application, and other immigration relief).</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times staff provided </w:t>
            </w:r>
            <w:r>
              <w:rPr>
                <w:rFonts w:ascii="Times New Roman" w:hAnsi="Times New Roman" w:cs="Times New Roman"/>
              </w:rPr>
              <w:t>immigration assistance (e.g., special visa, continued presence application, and other immigration relief).</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#_____ clients will receive assistance intervening with an employer, creditor, landlord, or academic institution.</w:t>
            </w: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of clients provided with assistance intervening with an employer, creditor, landlord, or academic institution.</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of times staff provided assistance intervening with an employer, creditor, landlord, or academic institution.</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#____ clients will receive child or dependent care assistance.</w:t>
            </w: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of clients provided with child or dependent care assistance.</w:t>
            </w:r>
          </w:p>
          <w:p w:rsidR="000428EC" w:rsidRPr="007C05C2" w:rsidRDefault="000428EC" w:rsidP="00B3648B">
            <w:pPr>
              <w:rPr>
                <w:rFonts w:ascii="Times New Roman" w:hAnsi="Times New Roman" w:cs="Times New Roman"/>
              </w:rPr>
            </w:pPr>
            <w:r w:rsidRPr="007C05C2">
              <w:rPr>
                <w:rFonts w:ascii="Times New Roman" w:hAnsi="Times New Roman" w:cs="Times New Roman"/>
              </w:rPr>
              <w:t># of times staff provided child or dependent care assistance.</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#____ clients will receive transportation assistance.</w:t>
            </w: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of clients provided with transportation assistance.</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of times staff provided transportation assistance.</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#_____ clients will receive interpreter services.</w:t>
            </w: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clients provided with interpreter services. </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of times staff provided interpreter services.</w:t>
            </w:r>
          </w:p>
        </w:tc>
      </w:tr>
      <w:tr w:rsidR="000428EC" w:rsidRPr="007C05C2" w:rsidTr="00B3648B">
        <w:tc>
          <w:tcPr>
            <w:tcW w:w="5000" w:type="pct"/>
            <w:gridSpan w:val="2"/>
            <w:shd w:val="clear" w:color="auto" w:fill="FFF2CC" w:themeFill="accent4" w:themeFillTint="33"/>
          </w:tcPr>
          <w:p w:rsidR="000428EC" w:rsidRPr="007C05C2" w:rsidRDefault="000428EC" w:rsidP="00B3648B">
            <w:pPr>
              <w:rPr>
                <w:rFonts w:ascii="Times New Roman" w:hAnsi="Times New Roman" w:cs="Times New Roman"/>
                <w:i/>
              </w:rPr>
            </w:pPr>
            <w:r w:rsidRPr="007C05C2">
              <w:rPr>
                <w:rFonts w:ascii="Times New Roman" w:hAnsi="Times New Roman" w:cs="Times New Roman"/>
                <w:i/>
              </w:rPr>
              <w:t>EMOTIONAL SUPPORT OR SAFETY SERVICES</w:t>
            </w:r>
          </w:p>
        </w:tc>
      </w:tr>
      <w:tr w:rsidR="000428EC" w:rsidRPr="007C05C2" w:rsidTr="00B3648B">
        <w:tc>
          <w:tcPr>
            <w:tcW w:w="2524" w:type="pct"/>
          </w:tcPr>
          <w:p w:rsidR="000428EC" w:rsidRDefault="000428EC" w:rsidP="00B3648B">
            <w:pPr>
              <w:rPr>
                <w:rFonts w:ascii="Times New Roman" w:hAnsi="Times New Roman" w:cs="Times New Roman"/>
              </w:rPr>
            </w:pPr>
            <w:r>
              <w:rPr>
                <w:rFonts w:ascii="Times New Roman" w:hAnsi="Times New Roman" w:cs="Times New Roman"/>
              </w:rPr>
              <w:t># _____ clients will receive hotline/crisis line counseling.</w:t>
            </w:r>
          </w:p>
          <w:p w:rsidR="000428EC"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clients provided with </w:t>
            </w:r>
            <w:r>
              <w:rPr>
                <w:rFonts w:ascii="Times New Roman" w:hAnsi="Times New Roman" w:cs="Times New Roman"/>
              </w:rPr>
              <w:t>hotline/ crisis counseling</w:t>
            </w:r>
            <w:r w:rsidRPr="007C05C2">
              <w:rPr>
                <w:rFonts w:ascii="Times New Roman" w:hAnsi="Times New Roman" w:cs="Times New Roman"/>
              </w:rPr>
              <w:t>.</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w:t>
            </w:r>
            <w:r>
              <w:rPr>
                <w:rFonts w:ascii="Times New Roman" w:hAnsi="Times New Roman" w:cs="Times New Roman"/>
              </w:rPr>
              <w:t>hotline/crisis counseling</w:t>
            </w:r>
            <w:r w:rsidRPr="007C05C2">
              <w:rPr>
                <w:rFonts w:ascii="Times New Roman" w:hAnsi="Times New Roman" w:cs="Times New Roman"/>
              </w:rPr>
              <w:t xml:space="preserve"> sessions provided by staff</w:t>
            </w:r>
          </w:p>
        </w:tc>
      </w:tr>
      <w:tr w:rsidR="000428EC" w:rsidRPr="007C05C2" w:rsidTr="00B3648B">
        <w:tc>
          <w:tcPr>
            <w:tcW w:w="5000" w:type="pct"/>
            <w:gridSpan w:val="2"/>
            <w:shd w:val="clear" w:color="auto" w:fill="FFF2CC" w:themeFill="accent4" w:themeFillTint="33"/>
          </w:tcPr>
          <w:p w:rsidR="000428EC" w:rsidRPr="007C05C2" w:rsidRDefault="000428EC" w:rsidP="00B3648B">
            <w:pPr>
              <w:rPr>
                <w:rFonts w:ascii="Times New Roman" w:hAnsi="Times New Roman" w:cs="Times New Roman"/>
              </w:rPr>
            </w:pPr>
            <w:r w:rsidRPr="007C05C2">
              <w:rPr>
                <w:rFonts w:ascii="Times New Roman" w:hAnsi="Times New Roman" w:cs="Times New Roman"/>
                <w:i/>
              </w:rPr>
              <w:t>SHELTER/HOUSING SERVICES</w:t>
            </w:r>
            <w:r w:rsidRPr="007C05C2">
              <w:rPr>
                <w:rFonts w:ascii="Times New Roman" w:hAnsi="Times New Roman" w:cs="Times New Roman"/>
                <w:i/>
              </w:rPr>
              <w:tab/>
            </w:r>
          </w:p>
        </w:tc>
      </w:tr>
      <w:tr w:rsidR="000428EC" w:rsidRPr="007C05C2" w:rsidTr="00B3648B">
        <w:tc>
          <w:tcPr>
            <w:tcW w:w="2524" w:type="pct"/>
          </w:tcPr>
          <w:p w:rsidR="000428EC" w:rsidRPr="007632F4" w:rsidRDefault="000428EC" w:rsidP="00B3648B">
            <w:pPr>
              <w:rPr>
                <w:rFonts w:ascii="Times New Roman" w:hAnsi="Times New Roman" w:cs="Times New Roman"/>
              </w:rPr>
            </w:pPr>
            <w:r w:rsidRPr="007632F4">
              <w:rPr>
                <w:rFonts w:ascii="Times New Roman" w:hAnsi="Times New Roman" w:cs="Times New Roman"/>
              </w:rPr>
              <w:t xml:space="preserve"># ___ clients will receive housing advocacy, or help with implementing a plan for obtaining housing </w:t>
            </w:r>
          </w:p>
          <w:p w:rsidR="000428EC" w:rsidRPr="007632F4" w:rsidRDefault="000428EC" w:rsidP="00B3648B">
            <w:pPr>
              <w:rPr>
                <w:rFonts w:ascii="Times New Roman" w:hAnsi="Times New Roman" w:cs="Times New Roman"/>
              </w:rPr>
            </w:pPr>
          </w:p>
          <w:p w:rsidR="000428EC" w:rsidRPr="007632F4" w:rsidRDefault="000428EC" w:rsidP="00B3648B">
            <w:pPr>
              <w:rPr>
                <w:rFonts w:ascii="Times New Roman" w:hAnsi="Times New Roman" w:cs="Times New Roman"/>
              </w:rPr>
            </w:pPr>
          </w:p>
          <w:p w:rsidR="000428EC" w:rsidRPr="007632F4" w:rsidRDefault="000428EC" w:rsidP="00B3648B">
            <w:pPr>
              <w:rPr>
                <w:rFonts w:ascii="Times New Roman" w:hAnsi="Times New Roman" w:cs="Times New Roman"/>
              </w:rPr>
            </w:pPr>
          </w:p>
        </w:tc>
        <w:tc>
          <w:tcPr>
            <w:tcW w:w="2476" w:type="pct"/>
          </w:tcPr>
          <w:p w:rsidR="000428EC" w:rsidRPr="007632F4" w:rsidRDefault="000428EC" w:rsidP="00B3648B">
            <w:pPr>
              <w:rPr>
                <w:rFonts w:ascii="Times New Roman" w:hAnsi="Times New Roman" w:cs="Times New Roman"/>
              </w:rPr>
            </w:pPr>
            <w:r w:rsidRPr="007632F4">
              <w:rPr>
                <w:rFonts w:ascii="Times New Roman" w:hAnsi="Times New Roman" w:cs="Times New Roman"/>
              </w:rPr>
              <w:t xml:space="preserve"># of clients provided with receive housing advocacy, or help with implementing a plan for obtaining housing </w:t>
            </w:r>
          </w:p>
          <w:p w:rsidR="000428EC" w:rsidRPr="007632F4" w:rsidRDefault="000428EC" w:rsidP="00B3648B">
            <w:pPr>
              <w:rPr>
                <w:rFonts w:ascii="Times New Roman" w:hAnsi="Times New Roman" w:cs="Times New Roman"/>
              </w:rPr>
            </w:pPr>
          </w:p>
          <w:p w:rsidR="000428EC" w:rsidRPr="007632F4" w:rsidRDefault="000428EC" w:rsidP="00B3648B">
            <w:pPr>
              <w:rPr>
                <w:rFonts w:ascii="Times New Roman" w:hAnsi="Times New Roman" w:cs="Times New Roman"/>
              </w:rPr>
            </w:pPr>
            <w:r w:rsidRPr="007632F4">
              <w:rPr>
                <w:rFonts w:ascii="Times New Roman" w:hAnsi="Times New Roman" w:cs="Times New Roman"/>
              </w:rPr>
              <w:t xml:space="preserve"># of times staff provided assistance with receive housing advocacy, or help with implementing a plan for obtaining housing </w:t>
            </w:r>
          </w:p>
        </w:tc>
      </w:tr>
      <w:tr w:rsidR="000428EC" w:rsidRPr="007C05C2" w:rsidTr="00B3648B">
        <w:tc>
          <w:tcPr>
            <w:tcW w:w="5000" w:type="pct"/>
            <w:gridSpan w:val="2"/>
            <w:shd w:val="clear" w:color="auto" w:fill="FFF2CC" w:themeFill="accent4" w:themeFillTint="33"/>
          </w:tcPr>
          <w:p w:rsidR="000428EC" w:rsidRPr="007C05C2" w:rsidRDefault="000428EC" w:rsidP="00B3648B">
            <w:pPr>
              <w:rPr>
                <w:rFonts w:ascii="Times New Roman" w:hAnsi="Times New Roman" w:cs="Times New Roman"/>
              </w:rPr>
            </w:pPr>
            <w:r w:rsidRPr="007C05C2">
              <w:rPr>
                <w:rFonts w:ascii="Times New Roman" w:hAnsi="Times New Roman" w:cs="Times New Roman"/>
                <w:i/>
              </w:rPr>
              <w:t>CRIMINAL/CIVIL JUSTICE SYSTEM ASSISTANCE</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____ clients will receive </w:t>
            </w:r>
            <w:r>
              <w:rPr>
                <w:rFonts w:ascii="Times New Roman" w:hAnsi="Times New Roman" w:cs="Times New Roman"/>
              </w:rPr>
              <w:t>civil legal assistance in obtaining protection or restraining order.</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lastRenderedPageBreak/>
              <w:t xml:space="preserve"># of clients provided </w:t>
            </w:r>
            <w:r>
              <w:rPr>
                <w:rFonts w:ascii="Times New Roman" w:hAnsi="Times New Roman" w:cs="Times New Roman"/>
              </w:rPr>
              <w:t>civil legal assistance in obtaining protection or restraining order.</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times staff provided </w:t>
            </w:r>
            <w:r>
              <w:rPr>
                <w:rFonts w:ascii="Times New Roman" w:hAnsi="Times New Roman" w:cs="Times New Roman"/>
              </w:rPr>
              <w:t>civil legal assistance in obtaining protection or restraining order.</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lastRenderedPageBreak/>
              <w:t xml:space="preserve"># ____ clients will receive </w:t>
            </w:r>
            <w:r>
              <w:rPr>
                <w:rFonts w:ascii="Times New Roman" w:hAnsi="Times New Roman" w:cs="Times New Roman"/>
              </w:rPr>
              <w:t>civil legal assistance with family law issues (e.g., custody, visitation, or support)</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p>
        </w:tc>
        <w:tc>
          <w:tcPr>
            <w:tcW w:w="2476"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clients provided </w:t>
            </w:r>
            <w:r>
              <w:rPr>
                <w:rFonts w:ascii="Times New Roman" w:hAnsi="Times New Roman" w:cs="Times New Roman"/>
              </w:rPr>
              <w:t>civil legal assistance with family law issues (e.g., custody, visitation, or support)</w:t>
            </w:r>
          </w:p>
          <w:p w:rsidR="000428EC" w:rsidRPr="007C05C2"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times staff provided </w:t>
            </w:r>
            <w:r>
              <w:rPr>
                <w:rFonts w:ascii="Times New Roman" w:hAnsi="Times New Roman" w:cs="Times New Roman"/>
              </w:rPr>
              <w:t>civil legal assistance with family law issues (e.g., custody, visitation, or support)</w:t>
            </w:r>
          </w:p>
        </w:tc>
      </w:tr>
      <w:tr w:rsidR="000428EC" w:rsidRPr="007C05C2" w:rsidTr="00B3648B">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____ clients will receive </w:t>
            </w:r>
            <w:r>
              <w:rPr>
                <w:rFonts w:ascii="Times New Roman" w:hAnsi="Times New Roman" w:cs="Times New Roman"/>
              </w:rPr>
              <w:t>assistance with other justice-related issues.</w:t>
            </w:r>
          </w:p>
        </w:tc>
        <w:tc>
          <w:tcPr>
            <w:tcW w:w="2476" w:type="pct"/>
          </w:tcPr>
          <w:p w:rsidR="000428EC" w:rsidRDefault="000428EC" w:rsidP="00B3648B">
            <w:pPr>
              <w:rPr>
                <w:rFonts w:ascii="Times New Roman" w:hAnsi="Times New Roman" w:cs="Times New Roman"/>
              </w:rPr>
            </w:pPr>
            <w:r w:rsidRPr="007C05C2">
              <w:rPr>
                <w:rFonts w:ascii="Times New Roman" w:hAnsi="Times New Roman" w:cs="Times New Roman"/>
              </w:rPr>
              <w:t xml:space="preserve"># ____ clients </w:t>
            </w:r>
            <w:r>
              <w:rPr>
                <w:rFonts w:ascii="Times New Roman" w:hAnsi="Times New Roman" w:cs="Times New Roman"/>
              </w:rPr>
              <w:t>provided assistance with other justice-related issues.</w:t>
            </w:r>
          </w:p>
          <w:p w:rsidR="000428EC"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of times staff provided </w:t>
            </w:r>
            <w:r>
              <w:rPr>
                <w:rFonts w:ascii="Times New Roman" w:hAnsi="Times New Roman" w:cs="Times New Roman"/>
              </w:rPr>
              <w:t>assistance with other justice-related issues.</w:t>
            </w:r>
          </w:p>
        </w:tc>
      </w:tr>
      <w:tr w:rsidR="000428EC" w:rsidRPr="007C05C2" w:rsidTr="00B3648B">
        <w:trPr>
          <w:trHeight w:val="1340"/>
        </w:trPr>
        <w:tc>
          <w:tcPr>
            <w:tcW w:w="2524" w:type="pct"/>
          </w:tcPr>
          <w:p w:rsidR="000428EC" w:rsidRPr="007C05C2" w:rsidRDefault="000428EC" w:rsidP="00B3648B">
            <w:pPr>
              <w:rPr>
                <w:rFonts w:ascii="Times New Roman" w:hAnsi="Times New Roman" w:cs="Times New Roman"/>
              </w:rPr>
            </w:pPr>
            <w:r w:rsidRPr="007C05C2">
              <w:rPr>
                <w:rFonts w:ascii="Times New Roman" w:hAnsi="Times New Roman" w:cs="Times New Roman"/>
              </w:rPr>
              <w:t xml:space="preserve"># ____ clients will receive </w:t>
            </w:r>
            <w:r>
              <w:rPr>
                <w:rFonts w:ascii="Times New Roman" w:hAnsi="Times New Roman" w:cs="Times New Roman"/>
              </w:rPr>
              <w:t xml:space="preserve">criminal advocacy/accompaniment. </w:t>
            </w:r>
          </w:p>
        </w:tc>
        <w:tc>
          <w:tcPr>
            <w:tcW w:w="2476" w:type="pct"/>
          </w:tcPr>
          <w:p w:rsidR="000428EC" w:rsidRDefault="000428EC" w:rsidP="00B3648B">
            <w:pPr>
              <w:rPr>
                <w:rFonts w:ascii="Times New Roman" w:hAnsi="Times New Roman" w:cs="Times New Roman"/>
              </w:rPr>
            </w:pPr>
            <w:r w:rsidRPr="007C05C2">
              <w:rPr>
                <w:rFonts w:ascii="Times New Roman" w:hAnsi="Times New Roman" w:cs="Times New Roman"/>
              </w:rPr>
              <w:t xml:space="preserve"># ____ clients </w:t>
            </w:r>
            <w:r>
              <w:rPr>
                <w:rFonts w:ascii="Times New Roman" w:hAnsi="Times New Roman" w:cs="Times New Roman"/>
              </w:rPr>
              <w:t>provided criminal advocacy/accompaniment.</w:t>
            </w:r>
          </w:p>
          <w:p w:rsidR="000428EC" w:rsidRDefault="000428EC" w:rsidP="00B3648B">
            <w:pPr>
              <w:rPr>
                <w:rFonts w:ascii="Times New Roman" w:hAnsi="Times New Roman" w:cs="Times New Roman"/>
              </w:rPr>
            </w:pPr>
          </w:p>
          <w:p w:rsidR="000428EC" w:rsidRPr="007C05C2" w:rsidRDefault="000428EC" w:rsidP="00B3648B">
            <w:pPr>
              <w:rPr>
                <w:rFonts w:ascii="Times New Roman" w:hAnsi="Times New Roman" w:cs="Times New Roman"/>
              </w:rPr>
            </w:pPr>
            <w:r w:rsidRPr="007C05C2">
              <w:rPr>
                <w:rFonts w:ascii="Times New Roman" w:hAnsi="Times New Roman" w:cs="Times New Roman"/>
              </w:rPr>
              <w:t># ____</w:t>
            </w:r>
            <w:r>
              <w:rPr>
                <w:rFonts w:ascii="Times New Roman" w:hAnsi="Times New Roman" w:cs="Times New Roman"/>
              </w:rPr>
              <w:t>of times staff provided criminal advocacy/accompaniment.</w:t>
            </w:r>
          </w:p>
        </w:tc>
      </w:tr>
    </w:tbl>
    <w:p w:rsidR="000428EC" w:rsidRPr="00B06F40" w:rsidRDefault="000428EC" w:rsidP="000428EC"/>
    <w:p w:rsidR="006609F1" w:rsidRPr="00381087" w:rsidRDefault="006609F1" w:rsidP="006609F1">
      <w:pPr>
        <w:spacing w:line="276" w:lineRule="auto"/>
        <w:ind w:left="0"/>
        <w:rPr>
          <w:smallCaps/>
        </w:rPr>
      </w:pPr>
    </w:p>
    <w:p w:rsidR="006609F1" w:rsidRPr="00381087" w:rsidRDefault="006609F1" w:rsidP="006057F6">
      <w:pPr>
        <w:pStyle w:val="ListParagraph"/>
        <w:widowControl/>
        <w:numPr>
          <w:ilvl w:val="0"/>
          <w:numId w:val="8"/>
        </w:numPr>
        <w:tabs>
          <w:tab w:val="left" w:pos="0"/>
          <w:tab w:val="left" w:pos="90"/>
          <w:tab w:val="left" w:pos="450"/>
        </w:tabs>
        <w:rPr>
          <w:rFonts w:ascii="Times New Roman" w:hAnsi="Times New Roman" w:cs="Times New Roman"/>
          <w:b/>
          <w:i/>
          <w:sz w:val="28"/>
          <w:szCs w:val="28"/>
        </w:rPr>
      </w:pPr>
      <w:r w:rsidRPr="00381087">
        <w:rPr>
          <w:rFonts w:ascii="Times New Roman" w:hAnsi="Times New Roman" w:cs="Times New Roman"/>
          <w:b/>
          <w:i/>
          <w:sz w:val="28"/>
          <w:szCs w:val="28"/>
        </w:rPr>
        <w:t>Funding Information</w:t>
      </w:r>
    </w:p>
    <w:p w:rsidR="006609F1" w:rsidRPr="00381087" w:rsidRDefault="006609F1" w:rsidP="006609F1">
      <w:pPr>
        <w:pStyle w:val="ListParagraph"/>
        <w:widowControl/>
        <w:tabs>
          <w:tab w:val="left" w:pos="0"/>
          <w:tab w:val="left" w:pos="90"/>
          <w:tab w:val="left" w:pos="450"/>
        </w:tabs>
        <w:rPr>
          <w:rFonts w:ascii="Times New Roman" w:hAnsi="Times New Roman" w:cs="Times New Roman"/>
          <w:b/>
          <w:sz w:val="28"/>
          <w:szCs w:val="28"/>
        </w:rPr>
      </w:pPr>
    </w:p>
    <w:p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Award period</w:t>
      </w:r>
      <w:r w:rsidR="00B960CA">
        <w:rPr>
          <w:rFonts w:ascii="Times New Roman" w:eastAsia="Times New Roman" w:hAnsi="Times New Roman" w:cs="Times New Roman"/>
          <w:b/>
          <w:i/>
          <w:iCs/>
          <w:color w:val="auto"/>
          <w:sz w:val="24"/>
          <w:szCs w:val="24"/>
        </w:rPr>
        <w:br/>
      </w:r>
    </w:p>
    <w:p w:rsidR="00A11855" w:rsidRDefault="0046380D" w:rsidP="00A11855">
      <w:pPr>
        <w:pStyle w:val="ListParagraph"/>
        <w:ind w:left="0"/>
        <w:rPr>
          <w:rFonts w:ascii="Times New Roman" w:eastAsia="Times New Roman" w:hAnsi="Times New Roman" w:cs="Times New Roman"/>
          <w:sz w:val="24"/>
          <w:szCs w:val="24"/>
        </w:rPr>
      </w:pPr>
      <w:r w:rsidRPr="00A11855">
        <w:rPr>
          <w:rFonts w:ascii="Times New Roman" w:eastAsia="Times New Roman" w:hAnsi="Times New Roman" w:cs="Times New Roman"/>
          <w:sz w:val="24"/>
          <w:szCs w:val="24"/>
        </w:rPr>
        <w:t>Federal fiscal year 20</w:t>
      </w:r>
      <w:r w:rsidR="003D626B" w:rsidRPr="00A11855">
        <w:rPr>
          <w:rFonts w:ascii="Times New Roman" w:eastAsia="Times New Roman" w:hAnsi="Times New Roman" w:cs="Times New Roman"/>
          <w:sz w:val="24"/>
          <w:szCs w:val="24"/>
        </w:rPr>
        <w:t>17</w:t>
      </w:r>
      <w:r w:rsidR="006609F1" w:rsidRPr="00A11855">
        <w:rPr>
          <w:rFonts w:ascii="Times New Roman" w:eastAsia="Times New Roman" w:hAnsi="Times New Roman" w:cs="Times New Roman"/>
          <w:sz w:val="24"/>
          <w:szCs w:val="24"/>
        </w:rPr>
        <w:t xml:space="preserve"> Victims of Crime Act funds awarded by the U.S. Office for Victims of Crime to ICJIA will be used to support </w:t>
      </w:r>
      <w:r w:rsidR="009C0555" w:rsidRPr="00A11855">
        <w:rPr>
          <w:rFonts w:ascii="Times New Roman" w:eastAsia="Times New Roman" w:hAnsi="Times New Roman" w:cs="Times New Roman"/>
          <w:sz w:val="24"/>
          <w:szCs w:val="24"/>
        </w:rPr>
        <w:t xml:space="preserve">the </w:t>
      </w:r>
      <w:r w:rsidR="006609F1" w:rsidRPr="00A11855">
        <w:rPr>
          <w:rFonts w:ascii="Times New Roman" w:eastAsia="Times New Roman" w:hAnsi="Times New Roman" w:cs="Times New Roman"/>
          <w:sz w:val="24"/>
          <w:szCs w:val="24"/>
        </w:rPr>
        <w:t>program accepted throug</w:t>
      </w:r>
      <w:r w:rsidR="003D2173" w:rsidRPr="00A11855">
        <w:rPr>
          <w:rFonts w:ascii="Times New Roman" w:eastAsia="Times New Roman" w:hAnsi="Times New Roman" w:cs="Times New Roman"/>
          <w:sz w:val="24"/>
          <w:szCs w:val="24"/>
        </w:rPr>
        <w:t xml:space="preserve">h this </w:t>
      </w:r>
      <w:r w:rsidR="009C0555" w:rsidRPr="00A11855">
        <w:rPr>
          <w:rFonts w:ascii="Times New Roman" w:eastAsia="Times New Roman" w:hAnsi="Times New Roman" w:cs="Times New Roman"/>
          <w:sz w:val="24"/>
          <w:szCs w:val="24"/>
        </w:rPr>
        <w:t>funding opportunity</w:t>
      </w:r>
      <w:r w:rsidR="003D2173" w:rsidRPr="00A11855">
        <w:rPr>
          <w:rFonts w:ascii="Times New Roman" w:eastAsia="Times New Roman" w:hAnsi="Times New Roman" w:cs="Times New Roman"/>
          <w:sz w:val="24"/>
          <w:szCs w:val="24"/>
        </w:rPr>
        <w:t>. A designation of $455,000</w:t>
      </w:r>
      <w:r w:rsidR="006609F1" w:rsidRPr="00A11855">
        <w:rPr>
          <w:rFonts w:ascii="Times New Roman" w:eastAsia="Times New Roman" w:hAnsi="Times New Roman" w:cs="Times New Roman"/>
          <w:sz w:val="24"/>
          <w:szCs w:val="24"/>
        </w:rPr>
        <w:t xml:space="preserve"> </w:t>
      </w:r>
      <w:r w:rsidR="00135E23">
        <w:rPr>
          <w:rFonts w:ascii="Times New Roman" w:eastAsia="Times New Roman" w:hAnsi="Times New Roman" w:cs="Times New Roman"/>
          <w:sz w:val="24"/>
          <w:szCs w:val="24"/>
        </w:rPr>
        <w:t>will be</w:t>
      </w:r>
      <w:r w:rsidR="006609F1" w:rsidRPr="00A11855">
        <w:rPr>
          <w:rFonts w:ascii="Times New Roman" w:eastAsia="Times New Roman" w:hAnsi="Times New Roman" w:cs="Times New Roman"/>
          <w:sz w:val="24"/>
          <w:szCs w:val="24"/>
        </w:rPr>
        <w:t xml:space="preserve"> made available to the </w:t>
      </w:r>
      <w:r w:rsidR="003D2173" w:rsidRPr="00A11855">
        <w:rPr>
          <w:rFonts w:ascii="Times New Roman" w:eastAsia="Times New Roman" w:hAnsi="Times New Roman" w:cs="Times New Roman"/>
          <w:sz w:val="24"/>
          <w:szCs w:val="24"/>
        </w:rPr>
        <w:t>C</w:t>
      </w:r>
      <w:r w:rsidR="00060321" w:rsidRPr="00A11855">
        <w:rPr>
          <w:rFonts w:ascii="Times New Roman" w:eastAsia="Times New Roman" w:hAnsi="Times New Roman" w:cs="Times New Roman"/>
          <w:sz w:val="24"/>
          <w:szCs w:val="24"/>
        </w:rPr>
        <w:t>ity</w:t>
      </w:r>
      <w:r w:rsidR="003D2173" w:rsidRPr="00A11855">
        <w:rPr>
          <w:rFonts w:ascii="Times New Roman" w:eastAsia="Times New Roman" w:hAnsi="Times New Roman" w:cs="Times New Roman"/>
          <w:sz w:val="24"/>
          <w:szCs w:val="24"/>
        </w:rPr>
        <w:t xml:space="preserve"> of Chicago Department of Family and Support Services </w:t>
      </w:r>
      <w:r w:rsidR="00A11855">
        <w:rPr>
          <w:rFonts w:ascii="Times New Roman" w:eastAsia="Times New Roman" w:hAnsi="Times New Roman" w:cs="Times New Roman"/>
          <w:sz w:val="24"/>
          <w:szCs w:val="24"/>
        </w:rPr>
        <w:t xml:space="preserve">through this notice to support programming for </w:t>
      </w:r>
      <w:r w:rsidR="00524DDD">
        <w:rPr>
          <w:rFonts w:ascii="Times New Roman" w:eastAsia="Times New Roman" w:hAnsi="Times New Roman" w:cs="Times New Roman"/>
          <w:sz w:val="24"/>
          <w:szCs w:val="24"/>
        </w:rPr>
        <w:t>12 months, from</w:t>
      </w:r>
      <w:r w:rsidR="003D2173" w:rsidRPr="00A11855">
        <w:rPr>
          <w:rFonts w:ascii="Times New Roman" w:eastAsia="Times New Roman" w:hAnsi="Times New Roman" w:cs="Times New Roman"/>
          <w:sz w:val="24"/>
          <w:szCs w:val="24"/>
        </w:rPr>
        <w:t xml:space="preserve"> September </w:t>
      </w:r>
      <w:r w:rsidR="006609F1" w:rsidRPr="00A11855">
        <w:rPr>
          <w:rFonts w:ascii="Times New Roman" w:eastAsia="Times New Roman" w:hAnsi="Times New Roman" w:cs="Times New Roman"/>
          <w:sz w:val="24"/>
          <w:szCs w:val="24"/>
        </w:rPr>
        <w:t>1, 201</w:t>
      </w:r>
      <w:r w:rsidR="003D626B" w:rsidRPr="00A11855">
        <w:rPr>
          <w:rFonts w:ascii="Times New Roman" w:eastAsia="Times New Roman" w:hAnsi="Times New Roman" w:cs="Times New Roman"/>
          <w:sz w:val="24"/>
          <w:szCs w:val="24"/>
        </w:rPr>
        <w:t>9</w:t>
      </w:r>
      <w:r w:rsidR="006609F1" w:rsidRPr="00A11855">
        <w:rPr>
          <w:rFonts w:ascii="Times New Roman" w:eastAsia="Times New Roman" w:hAnsi="Times New Roman" w:cs="Times New Roman"/>
          <w:sz w:val="24"/>
          <w:szCs w:val="24"/>
        </w:rPr>
        <w:t>, t</w:t>
      </w:r>
      <w:r w:rsidR="00524DDD">
        <w:rPr>
          <w:rFonts w:ascii="Times New Roman" w:eastAsia="Times New Roman" w:hAnsi="Times New Roman" w:cs="Times New Roman"/>
          <w:sz w:val="24"/>
          <w:szCs w:val="24"/>
        </w:rPr>
        <w:t>o</w:t>
      </w:r>
      <w:r w:rsidR="006609F1" w:rsidRPr="00A11855">
        <w:rPr>
          <w:rFonts w:ascii="Times New Roman" w:eastAsia="Times New Roman" w:hAnsi="Times New Roman" w:cs="Times New Roman"/>
          <w:sz w:val="24"/>
          <w:szCs w:val="24"/>
        </w:rPr>
        <w:t xml:space="preserve"> </w:t>
      </w:r>
      <w:r w:rsidR="003D2173" w:rsidRPr="00A11855">
        <w:rPr>
          <w:rFonts w:ascii="Times New Roman" w:eastAsia="Times New Roman" w:hAnsi="Times New Roman" w:cs="Times New Roman"/>
          <w:sz w:val="24"/>
          <w:szCs w:val="24"/>
        </w:rPr>
        <w:t>August 31</w:t>
      </w:r>
      <w:r w:rsidR="006609F1" w:rsidRPr="00A11855">
        <w:rPr>
          <w:rFonts w:ascii="Times New Roman" w:eastAsia="Times New Roman" w:hAnsi="Times New Roman" w:cs="Times New Roman"/>
          <w:sz w:val="24"/>
          <w:szCs w:val="24"/>
        </w:rPr>
        <w:t>, 20</w:t>
      </w:r>
      <w:r w:rsidR="003D626B" w:rsidRPr="00A11855">
        <w:rPr>
          <w:rFonts w:ascii="Times New Roman" w:eastAsia="Times New Roman" w:hAnsi="Times New Roman" w:cs="Times New Roman"/>
          <w:sz w:val="24"/>
          <w:szCs w:val="24"/>
        </w:rPr>
        <w:t>20</w:t>
      </w:r>
      <w:r w:rsidR="006609F1" w:rsidRPr="00A11855">
        <w:rPr>
          <w:rFonts w:ascii="Times New Roman" w:eastAsia="Times New Roman" w:hAnsi="Times New Roman" w:cs="Times New Roman"/>
          <w:sz w:val="24"/>
          <w:szCs w:val="24"/>
        </w:rPr>
        <w:t xml:space="preserve">. </w:t>
      </w:r>
      <w:r w:rsidR="00A11855">
        <w:rPr>
          <w:rFonts w:ascii="Times New Roman" w:eastAsia="Times New Roman" w:hAnsi="Times New Roman" w:cs="Times New Roman"/>
          <w:sz w:val="24"/>
          <w:szCs w:val="24"/>
        </w:rPr>
        <w:t>The term of the grant agreement will commence upon its effective date. Based on program performance and fund availability, ICJIA may recommend allocation of funding to support an additional 24 months.</w:t>
      </w:r>
    </w:p>
    <w:p w:rsidR="006609F1" w:rsidRPr="00381087" w:rsidRDefault="006609F1" w:rsidP="006609F1">
      <w:pPr>
        <w:spacing w:line="276" w:lineRule="auto"/>
        <w:ind w:left="0"/>
      </w:pPr>
    </w:p>
    <w:p w:rsidR="006609F1" w:rsidRPr="00381087" w:rsidRDefault="006609F1" w:rsidP="006609F1">
      <w:pPr>
        <w:spacing w:line="276" w:lineRule="auto"/>
        <w:ind w:left="0"/>
      </w:pPr>
    </w:p>
    <w:p w:rsidR="006609F1" w:rsidRPr="00381087" w:rsidRDefault="003B0797" w:rsidP="006609F1">
      <w:pPr>
        <w:spacing w:line="276" w:lineRule="auto"/>
        <w:ind w:left="0"/>
      </w:pPr>
      <w:r>
        <w:t xml:space="preserve">The </w:t>
      </w:r>
      <w:r w:rsidR="00341B1E">
        <w:t>a</w:t>
      </w:r>
      <w:r w:rsidR="00341B1E" w:rsidRPr="00381087">
        <w:t xml:space="preserve">greement </w:t>
      </w:r>
      <w:r w:rsidR="006609F1" w:rsidRPr="00381087">
        <w:t>that result</w:t>
      </w:r>
      <w:r>
        <w:t>s</w:t>
      </w:r>
      <w:r w:rsidR="006609F1" w:rsidRPr="00381087">
        <w:t xml:space="preserve"> from this funding opportunity </w:t>
      </w:r>
      <w:r>
        <w:t>is</w:t>
      </w:r>
      <w:r w:rsidRPr="00381087">
        <w:t xml:space="preserve"> </w:t>
      </w:r>
      <w:r w:rsidR="006609F1" w:rsidRPr="00381087">
        <w:t xml:space="preserve">contingent upon and subject to the availability of funds. ICJIA, at its sole option,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ICJIA’s funding by reserving some or all of ICJIA </w:t>
      </w:r>
      <w:r w:rsidR="006609F1" w:rsidRPr="00381087">
        <w:lastRenderedPageBreak/>
        <w:t>appropriation(s) pursuant to power delegated to the Governor by the Illinois General Assembly, or (3) ICJIA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p>
    <w:p w:rsidR="006609F1" w:rsidRPr="00381087" w:rsidRDefault="006609F1" w:rsidP="006609F1">
      <w:pPr>
        <w:spacing w:line="276" w:lineRule="auto"/>
        <w:ind w:left="0"/>
      </w:pPr>
    </w:p>
    <w:p w:rsidR="006609F1" w:rsidRPr="00381087" w:rsidRDefault="006609F1" w:rsidP="006609F1">
      <w:pPr>
        <w:spacing w:line="276" w:lineRule="auto"/>
        <w:ind w:left="0"/>
      </w:pPr>
      <w:r w:rsidRPr="00381087">
        <w:t xml:space="preserve">The applicant will be required to submit an Implementation Schedule that describes how the program activities will be carried out. The Implementation Schedule should include necessary detail to enable ICJIA to assess grant activity relative to planned project performance.  </w:t>
      </w:r>
    </w:p>
    <w:p w:rsidR="006609F1" w:rsidRPr="00381087" w:rsidRDefault="006609F1" w:rsidP="006609F1">
      <w:pPr>
        <w:spacing w:line="276" w:lineRule="auto"/>
        <w:ind w:left="0"/>
      </w:pPr>
    </w:p>
    <w:p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Pre-award costs</w:t>
      </w:r>
      <w:r w:rsidR="00B960CA">
        <w:rPr>
          <w:rFonts w:ascii="Times New Roman" w:eastAsia="Times New Roman" w:hAnsi="Times New Roman" w:cs="Times New Roman"/>
          <w:b/>
          <w:i/>
          <w:iCs/>
          <w:color w:val="auto"/>
          <w:sz w:val="24"/>
          <w:szCs w:val="24"/>
        </w:rPr>
        <w:br/>
      </w:r>
    </w:p>
    <w:p w:rsidR="00FD21D9" w:rsidRPr="00381087" w:rsidRDefault="00FD21D9" w:rsidP="00FD21D9">
      <w:pPr>
        <w:spacing w:line="276" w:lineRule="auto"/>
        <w:ind w:left="0"/>
      </w:pPr>
      <w:r w:rsidRPr="00381087">
        <w:t xml:space="preserve">No costs incurred before the start date of </w:t>
      </w:r>
      <w:r>
        <w:t>a</w:t>
      </w:r>
      <w:r w:rsidRPr="00381087">
        <w:t xml:space="preserve"> </w:t>
      </w:r>
      <w:r>
        <w:t>subgrant</w:t>
      </w:r>
      <w:r w:rsidRPr="00381087">
        <w:t xml:space="preserve"> agreement may be charged to a </w:t>
      </w:r>
      <w:r>
        <w:t>sub</w:t>
      </w:r>
      <w:r w:rsidRPr="00381087">
        <w:t>grant award received as part of this funding opportunity.</w:t>
      </w:r>
    </w:p>
    <w:p w:rsidR="006609F1" w:rsidRPr="00381087" w:rsidRDefault="006609F1" w:rsidP="006609F1">
      <w:pPr>
        <w:spacing w:line="276" w:lineRule="auto"/>
        <w:ind w:left="0"/>
      </w:pPr>
    </w:p>
    <w:p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Cost Sharing or Matching</w:t>
      </w:r>
      <w:r w:rsidR="00B960CA">
        <w:rPr>
          <w:rFonts w:ascii="Times New Roman" w:eastAsia="Times New Roman" w:hAnsi="Times New Roman" w:cs="Times New Roman"/>
          <w:b/>
          <w:i/>
          <w:iCs/>
          <w:color w:val="auto"/>
          <w:sz w:val="24"/>
          <w:szCs w:val="24"/>
        </w:rPr>
        <w:br/>
      </w:r>
    </w:p>
    <w:p w:rsidR="006609F1" w:rsidRPr="00381087" w:rsidRDefault="00036496" w:rsidP="006609F1">
      <w:pPr>
        <w:ind w:left="0"/>
      </w:pPr>
      <w:r w:rsidRPr="00036496">
        <w:t xml:space="preserve">A 20-percent match is required for </w:t>
      </w:r>
      <w:r w:rsidR="009A467B">
        <w:t>the</w:t>
      </w:r>
      <w:r w:rsidR="009A467B" w:rsidRPr="00036496">
        <w:t xml:space="preserve"> </w:t>
      </w:r>
      <w:r w:rsidRPr="00036496">
        <w:t>subgrant resulting from this Notice of Funding Opportunity</w:t>
      </w:r>
      <w:r w:rsidR="006609F1" w:rsidRPr="00381087">
        <w:t xml:space="preserve">.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rsidR="006609F1" w:rsidRPr="00381087" w:rsidRDefault="006609F1" w:rsidP="006609F1">
      <w:pPr>
        <w:ind w:left="0"/>
      </w:pPr>
    </w:p>
    <w:p w:rsidR="006609F1" w:rsidRPr="00381087" w:rsidRDefault="006609F1" w:rsidP="006609F1">
      <w:pPr>
        <w:ind w:left="0"/>
      </w:pPr>
      <w:r w:rsidRPr="00381087">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rsidR="006609F1" w:rsidRPr="00381087" w:rsidRDefault="006609F1" w:rsidP="006609F1">
      <w:pPr>
        <w:ind w:left="0"/>
      </w:pPr>
    </w:p>
    <w:p w:rsidR="006609F1" w:rsidRPr="00381087" w:rsidRDefault="006609F1" w:rsidP="006609F1">
      <w:pPr>
        <w:ind w:left="0"/>
      </w:pPr>
      <w:r w:rsidRPr="00381087">
        <w:t xml:space="preserve">Refer to 28 CFR 200.306 for more information on match types and match requirements. </w:t>
      </w:r>
    </w:p>
    <w:p w:rsidR="006609F1" w:rsidRPr="00381087" w:rsidRDefault="006609F1" w:rsidP="006609F1">
      <w:pPr>
        <w:ind w:left="0"/>
      </w:pPr>
    </w:p>
    <w:p w:rsidR="006609F1" w:rsidRPr="00381087" w:rsidRDefault="006609F1" w:rsidP="006609F1">
      <w:pPr>
        <w:ind w:left="0"/>
      </w:pPr>
      <w:r w:rsidRPr="00381087">
        <w:rPr>
          <w:b/>
        </w:rPr>
        <w:t xml:space="preserve">Example: </w:t>
      </w:r>
    </w:p>
    <w:p w:rsidR="006609F1" w:rsidRPr="00381087" w:rsidRDefault="006609F1" w:rsidP="006609F1">
      <w:pPr>
        <w:ind w:left="0"/>
      </w:pPr>
    </w:p>
    <w:p w:rsidR="006609F1" w:rsidRPr="00381087" w:rsidRDefault="006609F1" w:rsidP="006609F1">
      <w:pPr>
        <w:ind w:left="0"/>
      </w:pPr>
      <w:r w:rsidRPr="00381087">
        <w:rPr>
          <w:b/>
          <w:u w:val="single"/>
        </w:rPr>
        <w:t>Total Project Cost</w:t>
      </w:r>
      <w:r w:rsidRPr="00381087">
        <w:t xml:space="preserve">: </w:t>
      </w:r>
      <w:r w:rsidRPr="00381087">
        <w:tab/>
      </w:r>
      <w:r w:rsidRPr="00381087">
        <w:tab/>
      </w:r>
      <w:r w:rsidRPr="00381087">
        <w:tab/>
      </w:r>
      <w:r w:rsidRPr="00381087">
        <w:tab/>
      </w:r>
      <w:r w:rsidRPr="00381087">
        <w:tab/>
        <w:t>$100,000</w:t>
      </w:r>
    </w:p>
    <w:p w:rsidR="006609F1" w:rsidRPr="00381087" w:rsidRDefault="006609F1" w:rsidP="006609F1">
      <w:pPr>
        <w:ind w:left="0"/>
      </w:pPr>
      <w:r w:rsidRPr="00381087">
        <w:lastRenderedPageBreak/>
        <w:t>20 percent matching funds ($100,000 x .20):</w:t>
      </w:r>
      <w:r w:rsidRPr="00381087">
        <w:tab/>
      </w:r>
      <w:r w:rsidRPr="00381087">
        <w:tab/>
        <w:t>$  20,000</w:t>
      </w:r>
    </w:p>
    <w:p w:rsidR="006609F1" w:rsidRPr="00381087" w:rsidRDefault="006609F1" w:rsidP="006609F1">
      <w:pPr>
        <w:ind w:left="0"/>
      </w:pPr>
      <w:r w:rsidRPr="00381087">
        <w:t>Federal funds requested ($100,000 x .80):</w:t>
      </w:r>
      <w:r w:rsidRPr="00381087">
        <w:tab/>
      </w:r>
      <w:r w:rsidRPr="00381087">
        <w:tab/>
        <w:t>$  80,000</w:t>
      </w:r>
    </w:p>
    <w:p w:rsidR="006609F1" w:rsidRPr="00381087" w:rsidRDefault="006609F1" w:rsidP="006609F1">
      <w:pPr>
        <w:ind w:left="0"/>
      </w:pPr>
    </w:p>
    <w:p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Indirect Cost Rate</w:t>
      </w:r>
      <w:r w:rsidR="00B960CA">
        <w:rPr>
          <w:rFonts w:ascii="Times New Roman" w:eastAsia="Times New Roman" w:hAnsi="Times New Roman" w:cs="Times New Roman"/>
          <w:b/>
          <w:i/>
          <w:iCs/>
          <w:color w:val="auto"/>
          <w:sz w:val="24"/>
          <w:szCs w:val="24"/>
        </w:rPr>
        <w:br/>
      </w:r>
      <w:r w:rsidRPr="00381087">
        <w:rPr>
          <w:rFonts w:ascii="Times New Roman" w:eastAsia="Times New Roman" w:hAnsi="Times New Roman" w:cs="Times New Roman"/>
          <w:b/>
          <w:i/>
          <w:iCs/>
          <w:color w:val="auto"/>
          <w:sz w:val="24"/>
          <w:szCs w:val="24"/>
        </w:rPr>
        <w:t xml:space="preserve">  </w:t>
      </w:r>
    </w:p>
    <w:p w:rsidR="009F4633" w:rsidRPr="00381087" w:rsidRDefault="00341B1E" w:rsidP="00C04D82">
      <w:pPr>
        <w:ind w:left="0"/>
      </w:pPr>
      <w:r w:rsidRPr="00381087">
        <w:t>To</w:t>
      </w:r>
      <w:r w:rsidR="009F4633" w:rsidRPr="00381087">
        <w:t xml:space="preserve"> charge indirect costs to a </w:t>
      </w:r>
      <w:r w:rsidR="009F4633">
        <w:t>sub</w:t>
      </w:r>
      <w:r w:rsidR="009F4633" w:rsidRPr="00381087">
        <w:t>grant,</w:t>
      </w:r>
      <w:r w:rsidR="00CB70EE">
        <w:t xml:space="preserve"> the</w:t>
      </w:r>
      <w:r w:rsidR="009F4633" w:rsidRPr="00381087">
        <w:t xml:space="preserve"> </w:t>
      </w:r>
      <w:r w:rsidR="009F4633">
        <w:t>subgrantee</w:t>
      </w:r>
      <w:r w:rsidR="009F4633" w:rsidRPr="00381087">
        <w:t xml:space="preserve"> must have an annually negotiated indirect cost rate agreement (NICRA).  The three types of NICRAs include: </w:t>
      </w:r>
    </w:p>
    <w:p w:rsidR="009F4633" w:rsidRPr="00381087" w:rsidRDefault="009F4633" w:rsidP="00C04D82">
      <w:pPr>
        <w:ind w:left="0"/>
      </w:pPr>
    </w:p>
    <w:p w:rsidR="00B960CA" w:rsidRPr="00381087" w:rsidRDefault="00B960CA" w:rsidP="00B960CA">
      <w:pPr>
        <w:ind w:left="0"/>
      </w:pPr>
      <w:r w:rsidRPr="00381087">
        <w:t xml:space="preserve">a) </w:t>
      </w:r>
      <w:r w:rsidRPr="00381087">
        <w:rPr>
          <w:u w:val="single"/>
        </w:rPr>
        <w:t>Federally Negotiated Rate:</w:t>
      </w:r>
      <w:r w:rsidRPr="00381087">
        <w:t xml:space="preserve"> </w:t>
      </w:r>
      <w:r>
        <w:t>Subgrantees</w:t>
      </w:r>
      <w:r w:rsidRPr="00381087">
        <w:t xml:space="preserve"> that receive direct federal funding may have an indirect cost rate that was negotiated with </w:t>
      </w:r>
      <w:r>
        <w:t>their</w:t>
      </w:r>
      <w:r w:rsidRPr="00381087">
        <w:t xml:space="preserve"> Fed</w:t>
      </w:r>
      <w:r>
        <w:t>eral Cognizant Agencies. The applicant</w:t>
      </w:r>
      <w:r w:rsidRPr="00381087">
        <w:t xml:space="preserve"> will accept the federally negotiated rate.  The </w:t>
      </w:r>
      <w:r>
        <w:t>subgrantee</w:t>
      </w:r>
      <w:r w:rsidRPr="00381087">
        <w:t xml:space="preserve"> must provide a copy of the federally NICRA at time of application.  </w:t>
      </w:r>
    </w:p>
    <w:p w:rsidR="00B960CA" w:rsidRPr="00381087" w:rsidRDefault="00B960CA" w:rsidP="00B960CA">
      <w:pPr>
        <w:ind w:left="0"/>
      </w:pPr>
    </w:p>
    <w:p w:rsidR="00B960CA" w:rsidRPr="00381087" w:rsidRDefault="00B960CA" w:rsidP="00B960CA">
      <w:pPr>
        <w:ind w:left="0"/>
      </w:pPr>
      <w:r w:rsidRPr="00381087">
        <w:t xml:space="preserve">b) </w:t>
      </w:r>
      <w:r w:rsidRPr="00381087">
        <w:rPr>
          <w:u w:val="single"/>
        </w:rPr>
        <w:t>State Negotiated Rate:</w:t>
      </w:r>
      <w:r w:rsidRPr="00381087">
        <w:t xml:space="preserve"> </w:t>
      </w:r>
      <w:r>
        <w:t>Subgrantees</w:t>
      </w:r>
      <w:r w:rsidRPr="00381087">
        <w:t xml:space="preserve"> may negotiate an indirect cost rate with the State of Illinois if they do not have </w:t>
      </w:r>
      <w:r>
        <w:t>f</w:t>
      </w:r>
      <w:r w:rsidRPr="00381087">
        <w:t xml:space="preserve">ederally </w:t>
      </w:r>
      <w:r>
        <w:t>n</w:t>
      </w:r>
      <w:r w:rsidRPr="00381087">
        <w:t xml:space="preserve">egotiated </w:t>
      </w:r>
      <w:r>
        <w:t>r</w:t>
      </w:r>
      <w:r w:rsidRPr="00381087">
        <w:t xml:space="preserve">ate or elect to use the </w:t>
      </w:r>
      <w:r>
        <w:t>d</w:t>
      </w:r>
      <w:r w:rsidRPr="00381087">
        <w:t xml:space="preserve">e </w:t>
      </w:r>
      <w:r>
        <w:t>m</w:t>
      </w:r>
      <w:r w:rsidRPr="00381087">
        <w:t xml:space="preserve">inimis </w:t>
      </w:r>
      <w:r>
        <w:t>r</w:t>
      </w:r>
      <w:r w:rsidRPr="00381087">
        <w:t xml:space="preserve">ate. The indirect cost rate proposal must be submitted to the State of Illinois within 90 days of the notice of award.  The </w:t>
      </w:r>
      <w:r>
        <w:t>subgrantee</w:t>
      </w:r>
      <w:r w:rsidRPr="00381087">
        <w:t xml:space="preserve"> must provide a copy of the state negotiated rate</w:t>
      </w:r>
      <w:r>
        <w:t>, if available,</w:t>
      </w:r>
      <w:r w:rsidRPr="00381087">
        <w:t xml:space="preserve"> at time of application.</w:t>
      </w:r>
    </w:p>
    <w:p w:rsidR="00B960CA" w:rsidRPr="00381087" w:rsidRDefault="00B960CA" w:rsidP="00B960CA">
      <w:pPr>
        <w:ind w:left="0"/>
      </w:pPr>
    </w:p>
    <w:p w:rsidR="00B960CA" w:rsidRDefault="00B960CA" w:rsidP="00B960CA">
      <w:pPr>
        <w:ind w:left="0"/>
      </w:pPr>
      <w:r w:rsidRPr="00381087">
        <w:t xml:space="preserve">c) </w:t>
      </w:r>
      <w:r w:rsidRPr="00381087">
        <w:rPr>
          <w:u w:val="single"/>
        </w:rPr>
        <w:t>De Minimis Rate:</w:t>
      </w:r>
      <w:r w:rsidRPr="00381087">
        <w:t xml:space="preserve"> </w:t>
      </w:r>
      <w:r>
        <w:t>Subgrantees</w:t>
      </w:r>
      <w:r w:rsidRPr="00381087">
        <w:t xml:space="preserve"> that have never received a Negotiated Indirect Cost Rate Agreement from either the </w:t>
      </w:r>
      <w:r>
        <w:t>f</w:t>
      </w:r>
      <w:r w:rsidRPr="00381087">
        <w:t xml:space="preserve">ederal government or the State of Illinois may elect a de minimis rate of 10 percent of modified total direct cost (MTDC). Once established, the de minimis rate may be used indefinitely. The </w:t>
      </w:r>
      <w:r>
        <w:t>applicant</w:t>
      </w:r>
      <w:r w:rsidRPr="00381087">
        <w:t xml:space="preserve"> must verify the calculation of the MTDC annually in order to accept the de minimis rate.</w:t>
      </w:r>
    </w:p>
    <w:p w:rsidR="006609F1" w:rsidRPr="003C044D" w:rsidRDefault="006609F1" w:rsidP="003C044D">
      <w:pPr>
        <w:widowControl/>
        <w:spacing w:line="276" w:lineRule="auto"/>
        <w:ind w:left="0"/>
        <w:rPr>
          <w:b/>
          <w:bCs/>
          <w:highlight w:val="yellow"/>
        </w:rPr>
      </w:pPr>
      <w:bookmarkStart w:id="2" w:name="_Hlk513115600"/>
    </w:p>
    <w:p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Unallowable Costs</w:t>
      </w:r>
      <w:r w:rsidR="00B960CA">
        <w:rPr>
          <w:rFonts w:ascii="Times New Roman" w:eastAsia="Times New Roman" w:hAnsi="Times New Roman" w:cs="Times New Roman"/>
          <w:b/>
          <w:i/>
          <w:iCs/>
          <w:color w:val="auto"/>
          <w:sz w:val="24"/>
          <w:szCs w:val="24"/>
        </w:rPr>
        <w:br/>
      </w:r>
    </w:p>
    <w:p w:rsidR="006609F1" w:rsidRPr="00341B1E" w:rsidRDefault="006609F1" w:rsidP="006609F1">
      <w:pPr>
        <w:keepLines/>
        <w:tabs>
          <w:tab w:val="left" w:pos="720"/>
        </w:tabs>
        <w:spacing w:line="276" w:lineRule="auto"/>
        <w:ind w:left="0"/>
      </w:pPr>
      <w:r w:rsidRPr="00381087">
        <w:t xml:space="preserve">The following is a non-exhaustive list of services, activities and costs that cannot be </w:t>
      </w:r>
      <w:r w:rsidRPr="00341B1E">
        <w:t xml:space="preserve">supported with VOCA Victim Assistance Formula Grant Program funding: </w:t>
      </w:r>
    </w:p>
    <w:p w:rsidR="006609F1" w:rsidRPr="00341B1E" w:rsidRDefault="006609F1" w:rsidP="006609F1">
      <w:pPr>
        <w:spacing w:line="276" w:lineRule="auto"/>
        <w:ind w:left="0"/>
        <w:jc w:val="both"/>
      </w:pP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Active investigation and prosecution of criminal activities, and witness activities</w:t>
      </w:r>
      <w:r w:rsidR="00341B1E" w:rsidRPr="003C044D">
        <w:rPr>
          <w:rFonts w:ascii="Times New Roman" w:hAnsi="Times New Roman" w:cs="Times New Roman"/>
          <w:sz w:val="24"/>
          <w:szCs w:val="24"/>
        </w:rPr>
        <w:t>.</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Audits (agencies receiving less than $750,000 in cumulative federal funds)</w:t>
      </w:r>
      <w:r w:rsidR="00B960CA" w:rsidRPr="003C044D">
        <w:rPr>
          <w:rFonts w:ascii="Times New Roman" w:hAnsi="Times New Roman" w:cs="Times New Roman"/>
          <w:sz w:val="24"/>
          <w:szCs w:val="24"/>
        </w:rPr>
        <w:t>.</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Capital expenses, including property losses and expenses, real estate purchases, mortgage payments, construction and most capital improvements.</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Compensation for victims of crime</w:t>
      </w:r>
      <w:r w:rsidR="00B960CA" w:rsidRPr="003C044D">
        <w:rPr>
          <w:rFonts w:ascii="Times New Roman" w:hAnsi="Times New Roman" w:cs="Times New Roman"/>
          <w:sz w:val="24"/>
          <w:szCs w:val="24"/>
        </w:rPr>
        <w:t>.</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 xml:space="preserve">Crime </w:t>
      </w:r>
      <w:r w:rsidR="00B960CA" w:rsidRPr="003C044D">
        <w:rPr>
          <w:rFonts w:ascii="Times New Roman" w:hAnsi="Times New Roman" w:cs="Times New Roman"/>
          <w:sz w:val="24"/>
          <w:szCs w:val="24"/>
        </w:rPr>
        <w:t>p</w:t>
      </w:r>
      <w:r w:rsidRPr="003C044D">
        <w:rPr>
          <w:rFonts w:ascii="Times New Roman" w:hAnsi="Times New Roman" w:cs="Times New Roman"/>
          <w:sz w:val="24"/>
          <w:szCs w:val="24"/>
        </w:rPr>
        <w:t>revention</w:t>
      </w:r>
      <w:r w:rsidR="00B960CA" w:rsidRPr="003C044D">
        <w:rPr>
          <w:rFonts w:ascii="Times New Roman" w:hAnsi="Times New Roman" w:cs="Times New Roman"/>
          <w:sz w:val="24"/>
          <w:szCs w:val="24"/>
        </w:rPr>
        <w:t>.</w:t>
      </w:r>
      <w:r w:rsidRPr="003C044D">
        <w:rPr>
          <w:rFonts w:ascii="Times New Roman" w:hAnsi="Times New Roman" w:cs="Times New Roman"/>
          <w:sz w:val="24"/>
          <w:szCs w:val="24"/>
        </w:rPr>
        <w:t xml:space="preserve"> </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Food and beverage costs, except for emergency food</w:t>
      </w:r>
      <w:r w:rsidR="00B960CA" w:rsidRPr="003C044D">
        <w:rPr>
          <w:rFonts w:ascii="Times New Roman" w:hAnsi="Times New Roman" w:cs="Times New Roman"/>
          <w:sz w:val="24"/>
          <w:szCs w:val="24"/>
        </w:rPr>
        <w:t>.</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Fundraising activities</w:t>
      </w:r>
      <w:r w:rsidR="00B960CA" w:rsidRPr="003C044D">
        <w:rPr>
          <w:rFonts w:ascii="Times New Roman" w:hAnsi="Times New Roman" w:cs="Times New Roman"/>
          <w:sz w:val="24"/>
          <w:szCs w:val="24"/>
        </w:rPr>
        <w:t>.</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In-patient mental health care including in-patient substance abuse counseling</w:t>
      </w:r>
      <w:r w:rsidR="00B960CA" w:rsidRPr="003C044D">
        <w:rPr>
          <w:rFonts w:ascii="Times New Roman" w:hAnsi="Times New Roman" w:cs="Times New Roman"/>
          <w:sz w:val="24"/>
          <w:szCs w:val="24"/>
        </w:rPr>
        <w:t>.</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lastRenderedPageBreak/>
        <w:t>Lobbying and advocacy with respect to legislation, regulations or administrative policy</w:t>
      </w:r>
      <w:r w:rsidR="00B960CA" w:rsidRPr="003C044D">
        <w:rPr>
          <w:rFonts w:ascii="Times New Roman" w:hAnsi="Times New Roman" w:cs="Times New Roman"/>
          <w:sz w:val="24"/>
          <w:szCs w:val="24"/>
        </w:rPr>
        <w:t>.</w:t>
      </w:r>
    </w:p>
    <w:p w:rsidR="00DE1776" w:rsidRPr="003C044D" w:rsidRDefault="00DE1776"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Most medical care costs</w:t>
      </w:r>
      <w:r w:rsidR="00D44A98" w:rsidRPr="003C044D">
        <w:rPr>
          <w:rFonts w:ascii="Times New Roman" w:hAnsi="Times New Roman" w:cs="Times New Roman"/>
          <w:sz w:val="24"/>
          <w:szCs w:val="24"/>
        </w:rPr>
        <w:t>.</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 xml:space="preserve">Research and studies, except for project evaluations </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 xml:space="preserve">Salaries and expenses for management, </w:t>
      </w:r>
      <w:r w:rsidR="00520A1B" w:rsidRPr="003C044D">
        <w:rPr>
          <w:rFonts w:ascii="Times New Roman" w:hAnsi="Times New Roman" w:cs="Times New Roman"/>
          <w:sz w:val="24"/>
          <w:szCs w:val="24"/>
        </w:rPr>
        <w:t>except for supervisors of direct service providers</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Training of allied professionals</w:t>
      </w:r>
    </w:p>
    <w:p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Tort or criminal defense services</w:t>
      </w:r>
    </w:p>
    <w:p w:rsidR="006609F1"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 xml:space="preserve">Vehicle </w:t>
      </w:r>
      <w:r w:rsidR="00341B1E">
        <w:rPr>
          <w:rFonts w:ascii="Times New Roman" w:hAnsi="Times New Roman" w:cs="Times New Roman"/>
          <w:sz w:val="24"/>
          <w:szCs w:val="24"/>
        </w:rPr>
        <w:t>p</w:t>
      </w:r>
      <w:r w:rsidRPr="003C044D">
        <w:rPr>
          <w:rFonts w:ascii="Times New Roman" w:hAnsi="Times New Roman" w:cs="Times New Roman"/>
          <w:sz w:val="24"/>
          <w:szCs w:val="24"/>
        </w:rPr>
        <w:t xml:space="preserve">urchase or </w:t>
      </w:r>
      <w:r w:rsidR="00341B1E">
        <w:rPr>
          <w:rFonts w:ascii="Times New Roman" w:hAnsi="Times New Roman" w:cs="Times New Roman"/>
          <w:sz w:val="24"/>
          <w:szCs w:val="24"/>
        </w:rPr>
        <w:t>l</w:t>
      </w:r>
      <w:r w:rsidRPr="003C044D">
        <w:rPr>
          <w:rFonts w:ascii="Times New Roman" w:hAnsi="Times New Roman" w:cs="Times New Roman"/>
          <w:sz w:val="24"/>
          <w:szCs w:val="24"/>
        </w:rPr>
        <w:t>easing and related personnel costs</w:t>
      </w:r>
    </w:p>
    <w:p w:rsidR="00283373" w:rsidRDefault="00283373" w:rsidP="00283373">
      <w:pPr>
        <w:spacing w:line="276" w:lineRule="auto"/>
        <w:ind w:left="0"/>
      </w:pPr>
    </w:p>
    <w:p w:rsidR="00283373" w:rsidRPr="00283373" w:rsidRDefault="00283373" w:rsidP="006057F6">
      <w:pPr>
        <w:pStyle w:val="ListParagraph"/>
        <w:numPr>
          <w:ilvl w:val="0"/>
          <w:numId w:val="5"/>
        </w:numPr>
        <w:ind w:hanging="90"/>
        <w:rPr>
          <w:rFonts w:ascii="Times New Roman" w:hAnsi="Times New Roman" w:cs="Times New Roman"/>
          <w:b/>
          <w:i/>
          <w:sz w:val="24"/>
          <w:szCs w:val="24"/>
        </w:rPr>
      </w:pPr>
      <w:r w:rsidRPr="00283373">
        <w:rPr>
          <w:rFonts w:ascii="Times New Roman" w:hAnsi="Times New Roman" w:cs="Times New Roman"/>
          <w:b/>
          <w:i/>
          <w:sz w:val="24"/>
          <w:szCs w:val="24"/>
        </w:rPr>
        <w:t>Proposed Subawards and Subcontracts</w:t>
      </w:r>
    </w:p>
    <w:p w:rsidR="00283373" w:rsidRDefault="00283373" w:rsidP="00283373"/>
    <w:p w:rsidR="00283373" w:rsidRDefault="00283373" w:rsidP="00283373">
      <w:pPr>
        <w:ind w:left="0"/>
      </w:pPr>
      <w:r>
        <w:t xml:space="preserve">Applicants may propose to make subawards or subcontracts under this award, each of which involve different rules and applicant responsibilities. A subaward carries out a portion of a grant agreement while a contract is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rsidR="00283373" w:rsidRDefault="00283373" w:rsidP="00283373">
      <w:pPr>
        <w:ind w:left="0"/>
      </w:pPr>
    </w:p>
    <w:p w:rsidR="00283373" w:rsidRDefault="00283373" w:rsidP="00283373">
      <w:pPr>
        <w:ind w:left="0"/>
      </w:pPr>
      <w:r>
        <w:t xml:space="preserve">Applicants must classify each expense in the contractual budget as a subaward or subcontract. The substance of the agreement, not the title or structure of the agreement, must determine whether it is a subaward of a subcontract. Applicants are advised to use ICJIA’s “Checklist for Contractor/Subrecipient Determinations” (attached).   </w:t>
      </w:r>
      <w:r>
        <w:rPr>
          <w:u w:val="single"/>
        </w:rPr>
        <w:t>Applicants are required to complete this checklist for all proposed contracts (not including contracts for supplies or utilities).</w:t>
      </w:r>
      <w:r>
        <w:t xml:space="preserve">  Applicants’ subaward/subcontract determinations will be subject to ICJIA review.</w:t>
      </w:r>
    </w:p>
    <w:p w:rsidR="00283373" w:rsidRPr="00283373" w:rsidRDefault="00283373" w:rsidP="00283373">
      <w:pPr>
        <w:ind w:left="0"/>
        <w:rPr>
          <w:b/>
        </w:rPr>
      </w:pPr>
    </w:p>
    <w:p w:rsidR="00283373" w:rsidRPr="00283373" w:rsidRDefault="00283373" w:rsidP="00283373">
      <w:pPr>
        <w:ind w:left="0" w:firstLine="720"/>
        <w:rPr>
          <w:b/>
        </w:rPr>
      </w:pPr>
      <w:r w:rsidRPr="00283373">
        <w:rPr>
          <w:b/>
        </w:rPr>
        <w:t>Subawards</w:t>
      </w:r>
    </w:p>
    <w:p w:rsidR="00283373" w:rsidRDefault="00283373" w:rsidP="00283373">
      <w:pPr>
        <w:ind w:left="0"/>
      </w:pPr>
    </w:p>
    <w:p w:rsidR="00283373" w:rsidRDefault="00283373" w:rsidP="00283373">
      <w:pPr>
        <w:ind w:left="0"/>
      </w:pPr>
      <w:r>
        <w:t>Applicants are required to justify their use of subawards and explain their capacity to serve as a “pass-through” entity in the program narrative.  Applicants will monitor subaward compliance with program terms, applicable federal and state law including Uniform Administrative Requirements, Cost Principles, and Audit Requirements for Federal Award, 2 C.F.R. Part 200, the Grant Accountability and Transparency Act, 44 Ill. Admin. Code 7000, and ICJIA policies. Proposed subrecipients must be identified, if possible, and their roles described in both the program and budget narratives.</w:t>
      </w:r>
    </w:p>
    <w:p w:rsidR="00283373" w:rsidRDefault="00283373" w:rsidP="00283373">
      <w:pPr>
        <w:ind w:left="0"/>
      </w:pPr>
    </w:p>
    <w:p w:rsidR="00283373" w:rsidRDefault="00283373" w:rsidP="00283373">
      <w:pPr>
        <w:ind w:left="0"/>
      </w:pPr>
      <w:r>
        <w:t>Grantees acting as pass-throughs must ensure subrecipients:</w:t>
      </w:r>
      <w:r>
        <w:rPr>
          <w:rStyle w:val="FootnoteReference"/>
        </w:rPr>
        <w:footnoteReference w:id="14"/>
      </w:r>
    </w:p>
    <w:p w:rsidR="00283373" w:rsidRDefault="00283373" w:rsidP="006057F6">
      <w:pPr>
        <w:widowControl/>
        <w:numPr>
          <w:ilvl w:val="0"/>
          <w:numId w:val="12"/>
        </w:numPr>
      </w:pPr>
      <w:r>
        <w:lastRenderedPageBreak/>
        <w:t>Maintain an active System Award Management (SAM) registration and are not on        the federal debarred list;</w:t>
      </w:r>
    </w:p>
    <w:p w:rsidR="00283373" w:rsidRDefault="00283373" w:rsidP="006057F6">
      <w:pPr>
        <w:widowControl/>
        <w:numPr>
          <w:ilvl w:val="0"/>
          <w:numId w:val="12"/>
        </w:numPr>
      </w:pPr>
      <w:r>
        <w:t>Provide all required certifications;</w:t>
      </w:r>
    </w:p>
    <w:p w:rsidR="00283373" w:rsidRDefault="00283373" w:rsidP="006057F6">
      <w:pPr>
        <w:widowControl/>
        <w:numPr>
          <w:ilvl w:val="0"/>
          <w:numId w:val="12"/>
        </w:numPr>
      </w:pPr>
      <w:r>
        <w:t>Receive all information required under 2 CFR 200.210 and 200.331(a), if applicable;</w:t>
      </w:r>
    </w:p>
    <w:p w:rsidR="00283373" w:rsidRDefault="00283373" w:rsidP="006057F6">
      <w:pPr>
        <w:widowControl/>
        <w:numPr>
          <w:ilvl w:val="0"/>
          <w:numId w:val="12"/>
        </w:numPr>
      </w:pPr>
      <w:r>
        <w:t>Comply with all federal and State grant laws, regulations, and requirements as well as conditions in grantee’s ICJIA agreement;</w:t>
      </w:r>
    </w:p>
    <w:p w:rsidR="00283373" w:rsidRDefault="00283373" w:rsidP="006057F6">
      <w:pPr>
        <w:widowControl/>
        <w:numPr>
          <w:ilvl w:val="0"/>
          <w:numId w:val="12"/>
        </w:numPr>
      </w:pPr>
      <w:r>
        <w:t>Undergo a risk assessment to determine appropriate monitoring levels;</w:t>
      </w:r>
    </w:p>
    <w:p w:rsidR="00283373" w:rsidRDefault="00283373" w:rsidP="006057F6">
      <w:pPr>
        <w:widowControl/>
        <w:numPr>
          <w:ilvl w:val="0"/>
          <w:numId w:val="12"/>
        </w:numPr>
      </w:pPr>
      <w:r>
        <w:t>Provide performance data and financial reports for grantee’s reports to funders;</w:t>
      </w:r>
    </w:p>
    <w:p w:rsidR="00283373" w:rsidRDefault="00283373" w:rsidP="006057F6">
      <w:pPr>
        <w:widowControl/>
        <w:numPr>
          <w:ilvl w:val="0"/>
          <w:numId w:val="12"/>
        </w:numPr>
      </w:pPr>
      <w:r>
        <w:t>Are subject to equivalent levels of monitoring as would be performed by ICJIA;</w:t>
      </w:r>
    </w:p>
    <w:p w:rsidR="00283373" w:rsidRDefault="00283373" w:rsidP="006057F6">
      <w:pPr>
        <w:widowControl/>
        <w:numPr>
          <w:ilvl w:val="0"/>
          <w:numId w:val="12"/>
        </w:numPr>
      </w:pPr>
      <w:r>
        <w:t xml:space="preserve">Are accountable to the grantee for how it uses the subgrant funds; </w:t>
      </w:r>
    </w:p>
    <w:p w:rsidR="00283373" w:rsidRDefault="00283373" w:rsidP="006057F6">
      <w:pPr>
        <w:widowControl/>
        <w:numPr>
          <w:ilvl w:val="0"/>
          <w:numId w:val="12"/>
        </w:numPr>
      </w:pPr>
      <w:r>
        <w:t>Are allowed to claim an indirect cost rate; and</w:t>
      </w:r>
    </w:p>
    <w:p w:rsidR="00283373" w:rsidRDefault="00283373" w:rsidP="006057F6">
      <w:pPr>
        <w:widowControl/>
        <w:numPr>
          <w:ilvl w:val="0"/>
          <w:numId w:val="12"/>
        </w:numPr>
      </w:pPr>
      <w:r>
        <w:t>Do not earn a profit.</w:t>
      </w:r>
    </w:p>
    <w:p w:rsidR="00283373" w:rsidRDefault="00283373" w:rsidP="00283373">
      <w:pPr>
        <w:ind w:left="0"/>
      </w:pPr>
    </w:p>
    <w:p w:rsidR="00283373" w:rsidRDefault="00283373" w:rsidP="00283373">
      <w:pPr>
        <w:ind w:left="0" w:firstLine="720"/>
        <w:rPr>
          <w:u w:val="single"/>
        </w:rPr>
      </w:pPr>
      <w:r>
        <w:rPr>
          <w:u w:val="single"/>
        </w:rPr>
        <w:t>Program Narrative Questions:</w:t>
      </w:r>
    </w:p>
    <w:p w:rsidR="00283373" w:rsidRDefault="00283373" w:rsidP="00283373">
      <w:pPr>
        <w:ind w:left="0"/>
      </w:pPr>
      <w:r>
        <w:t>If the applicant’s budget includes proposed subawards, answer the following questions:</w:t>
      </w:r>
    </w:p>
    <w:p w:rsidR="00283373" w:rsidRDefault="00283373" w:rsidP="00283373">
      <w:pPr>
        <w:ind w:left="0"/>
      </w:pPr>
    </w:p>
    <w:p w:rsidR="00283373" w:rsidRDefault="00283373" w:rsidP="006057F6">
      <w:pPr>
        <w:pStyle w:val="ListParagraph"/>
        <w:widowControl/>
        <w:numPr>
          <w:ilvl w:val="0"/>
          <w:numId w:val="11"/>
        </w:numPr>
        <w:ind w:left="630" w:hanging="540"/>
        <w:jc w:val="left"/>
        <w:rPr>
          <w:rFonts w:ascii="Times New Roman" w:hAnsi="Times New Roman" w:cs="Times New Roman"/>
          <w:sz w:val="24"/>
          <w:szCs w:val="24"/>
        </w:rPr>
      </w:pPr>
      <w:r>
        <w:rPr>
          <w:rFonts w:ascii="Times New Roman" w:hAnsi="Times New Roman" w:cs="Times New Roman"/>
          <w:sz w:val="24"/>
          <w:szCs w:val="24"/>
        </w:rPr>
        <w:t>Explain why your agency must serve as a pass-through for other organizations carrying out part of the grant program. Include information on special qualifications and areas of expertise.</w:t>
      </w:r>
    </w:p>
    <w:p w:rsidR="00283373" w:rsidRDefault="00283373" w:rsidP="006057F6">
      <w:pPr>
        <w:pStyle w:val="ListParagraph"/>
        <w:widowControl/>
        <w:numPr>
          <w:ilvl w:val="0"/>
          <w:numId w:val="11"/>
        </w:numPr>
        <w:ind w:left="63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your agency’s ability to comply with FFATA reporting and collection of certifications and financial and performance reports from subrecipients. </w:t>
      </w:r>
    </w:p>
    <w:p w:rsidR="00283373" w:rsidRDefault="00283373" w:rsidP="006057F6">
      <w:pPr>
        <w:pStyle w:val="ListParagraph"/>
        <w:widowControl/>
        <w:numPr>
          <w:ilvl w:val="0"/>
          <w:numId w:val="11"/>
        </w:numPr>
        <w:ind w:left="630" w:hanging="540"/>
        <w:jc w:val="left"/>
        <w:rPr>
          <w:rFonts w:ascii="Times New Roman" w:eastAsiaTheme="minorHAnsi" w:hAnsi="Times New Roman" w:cs="Times New Roman"/>
          <w:sz w:val="24"/>
          <w:szCs w:val="24"/>
        </w:rPr>
      </w:pPr>
      <w:r>
        <w:rPr>
          <w:rFonts w:ascii="Times New Roman" w:eastAsia="Times New Roman" w:hAnsi="Times New Roman" w:cs="Times New Roman"/>
          <w:sz w:val="24"/>
          <w:szCs w:val="24"/>
        </w:rPr>
        <w:t>E</w:t>
      </w:r>
      <w:r>
        <w:rPr>
          <w:rFonts w:ascii="Times New Roman" w:hAnsi="Times New Roman" w:cs="Times New Roman"/>
          <w:sz w:val="24"/>
          <w:szCs w:val="24"/>
        </w:rPr>
        <w:t>xplain how the applicant agency will monitor subawards for compliance with program terms and Federal and State regulations, detailing monitoring frequency and corrective action procedures, and agency ability to provide any needed technical assistance.</w:t>
      </w:r>
    </w:p>
    <w:p w:rsidR="00283373" w:rsidRDefault="00283373" w:rsidP="00283373">
      <w:pPr>
        <w:ind w:left="0"/>
        <w:rPr>
          <w:b/>
        </w:rPr>
      </w:pPr>
    </w:p>
    <w:p w:rsidR="00283373" w:rsidRPr="00283373" w:rsidRDefault="00283373" w:rsidP="00283373">
      <w:pPr>
        <w:ind w:left="0" w:firstLine="720"/>
        <w:rPr>
          <w:b/>
        </w:rPr>
      </w:pPr>
      <w:r w:rsidRPr="00283373">
        <w:rPr>
          <w:b/>
        </w:rPr>
        <w:t>Subcontracts</w:t>
      </w:r>
    </w:p>
    <w:p w:rsidR="00283373" w:rsidRDefault="00283373" w:rsidP="00283373">
      <w:pPr>
        <w:pStyle w:val="ListParagraph"/>
        <w:ind w:left="0"/>
        <w:rPr>
          <w:rFonts w:ascii="Times New Roman" w:hAnsi="Times New Roman" w:cs="Times New Roman"/>
          <w:sz w:val="24"/>
          <w:szCs w:val="24"/>
        </w:rPr>
      </w:pPr>
    </w:p>
    <w:p w:rsidR="00283373" w:rsidRPr="00283373" w:rsidRDefault="00283373" w:rsidP="00283373">
      <w:pPr>
        <w:ind w:left="0"/>
      </w:pPr>
      <w:r>
        <w:t xml:space="preserve">For procurement contracts, applicants are encouraged to promote free and open competition in awarding contracts. All subcontracts must comply with federal and state requirements as well as the ICJIA Subcontract Policy.  Some agreements may be entered into through a “sole source” process, however, other agreements must be competitively bid through a “Request for Proposal” process. </w:t>
      </w:r>
    </w:p>
    <w:bookmarkEnd w:id="2"/>
    <w:p w:rsidR="006609F1" w:rsidRPr="00381087" w:rsidRDefault="006609F1" w:rsidP="00283373">
      <w:pPr>
        <w:spacing w:line="276" w:lineRule="auto"/>
        <w:ind w:left="0"/>
      </w:pPr>
    </w:p>
    <w:p w:rsidR="006609F1" w:rsidRPr="00381087" w:rsidRDefault="006609F1" w:rsidP="006609F1">
      <w:pPr>
        <w:spacing w:line="276" w:lineRule="auto"/>
        <w:ind w:left="0"/>
        <w:rPr>
          <w:b/>
          <w:u w:val="single"/>
        </w:rPr>
      </w:pPr>
      <w:r w:rsidRPr="00381087">
        <w:rPr>
          <w:b/>
          <w:u w:val="single"/>
        </w:rPr>
        <w:t>Pre-approvals</w:t>
      </w:r>
    </w:p>
    <w:p w:rsidR="006609F1" w:rsidRPr="00381087" w:rsidRDefault="006609F1" w:rsidP="006609F1">
      <w:pPr>
        <w:spacing w:line="276" w:lineRule="auto"/>
        <w:ind w:left="0"/>
        <w:rPr>
          <w:b/>
          <w:u w:val="single"/>
        </w:rPr>
      </w:pPr>
    </w:p>
    <w:p w:rsidR="006609F1" w:rsidRPr="00381087" w:rsidRDefault="006609F1" w:rsidP="006609F1">
      <w:pPr>
        <w:spacing w:line="276" w:lineRule="auto"/>
        <w:ind w:left="0"/>
      </w:pPr>
      <w:r w:rsidRPr="00381087">
        <w:t>In compliance with federal guidance, ICJIA:</w:t>
      </w:r>
      <w:r w:rsidR="00B960CA">
        <w:br/>
      </w:r>
    </w:p>
    <w:p w:rsidR="006609F1" w:rsidRPr="00381087" w:rsidRDefault="006609F1" w:rsidP="006609F1">
      <w:pPr>
        <w:spacing w:line="276" w:lineRule="auto"/>
      </w:pPr>
      <w:r w:rsidRPr="00381087">
        <w:t xml:space="preserve">(1) Encourages minimization of conference, meeting, and training costs. </w:t>
      </w:r>
    </w:p>
    <w:p w:rsidR="006609F1" w:rsidRPr="00381087" w:rsidRDefault="006609F1" w:rsidP="006609F1">
      <w:pPr>
        <w:spacing w:line="276" w:lineRule="auto"/>
      </w:pPr>
      <w:r w:rsidRPr="00381087">
        <w:t xml:space="preserve">(2) Requires prior written approval of conference, meeting, and training costs for </w:t>
      </w:r>
      <w:r w:rsidR="00693FB5">
        <w:t>sub</w:t>
      </w:r>
      <w:r w:rsidRPr="00381087">
        <w:t>grant recipients. These prior approvals may affect project timelines.</w:t>
      </w:r>
    </w:p>
    <w:p w:rsidR="006609F1" w:rsidRPr="00381087" w:rsidRDefault="006609F1" w:rsidP="006609F1">
      <w:pPr>
        <w:spacing w:line="276" w:lineRule="auto"/>
      </w:pPr>
      <w:r w:rsidRPr="00381087">
        <w:lastRenderedPageBreak/>
        <w:t>(3) Sets cost limits, including a general prohibition of all food and beverage costs.</w:t>
      </w:r>
    </w:p>
    <w:p w:rsidR="006609F1" w:rsidRPr="00381087" w:rsidRDefault="006609F1" w:rsidP="006609F1">
      <w:pPr>
        <w:spacing w:line="276" w:lineRule="auto"/>
      </w:pPr>
    </w:p>
    <w:p w:rsidR="006609F1" w:rsidRPr="00381087" w:rsidRDefault="006609F1" w:rsidP="006057F6">
      <w:pPr>
        <w:pStyle w:val="ListParagraph"/>
        <w:widowControl/>
        <w:numPr>
          <w:ilvl w:val="0"/>
          <w:numId w:val="8"/>
        </w:numPr>
        <w:spacing w:line="276" w:lineRule="auto"/>
        <w:ind w:left="0" w:firstLine="0"/>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 xml:space="preserve">Eligibility Information </w:t>
      </w:r>
    </w:p>
    <w:p w:rsidR="006609F1" w:rsidRPr="00381087" w:rsidRDefault="006609F1" w:rsidP="006609F1">
      <w:pPr>
        <w:spacing w:line="276" w:lineRule="auto"/>
        <w:ind w:left="0"/>
      </w:pPr>
    </w:p>
    <w:p w:rsidR="006609F1" w:rsidRPr="00381087" w:rsidRDefault="006609F1" w:rsidP="006057F6">
      <w:pPr>
        <w:numPr>
          <w:ilvl w:val="0"/>
          <w:numId w:val="4"/>
        </w:numPr>
        <w:spacing w:line="276" w:lineRule="auto"/>
        <w:ind w:left="720" w:hanging="360"/>
        <w:contextualSpacing/>
      </w:pPr>
      <w:r w:rsidRPr="00381087">
        <w:rPr>
          <w:b/>
          <w:i/>
        </w:rPr>
        <w:t>Eligible Applicants</w:t>
      </w:r>
      <w:r w:rsidR="001C16C4">
        <w:br/>
      </w:r>
    </w:p>
    <w:p w:rsidR="006609F1" w:rsidRDefault="006609F1" w:rsidP="003C044D">
      <w:pPr>
        <w:spacing w:line="276" w:lineRule="auto"/>
        <w:ind w:left="0"/>
      </w:pPr>
      <w:r w:rsidRPr="00381087">
        <w:t xml:space="preserve">This solicitation is open to the </w:t>
      </w:r>
      <w:r w:rsidR="004442F9">
        <w:t>City of Chicago Department of Family and Support Services</w:t>
      </w:r>
      <w:r w:rsidR="00693FB5">
        <w:t xml:space="preserve">, </w:t>
      </w:r>
      <w:r w:rsidR="004442F9">
        <w:t>1615 West Chicago Avenue, Chicago, Illinois, 60622</w:t>
      </w:r>
      <w:r w:rsidR="00693FB5">
        <w:t>.</w:t>
      </w:r>
    </w:p>
    <w:p w:rsidR="004D1145" w:rsidRPr="00381087" w:rsidRDefault="004D1145" w:rsidP="003C044D">
      <w:pPr>
        <w:spacing w:line="276" w:lineRule="auto"/>
        <w:ind w:left="0"/>
      </w:pPr>
    </w:p>
    <w:p w:rsidR="006609F1" w:rsidRPr="00381087" w:rsidRDefault="006609F1" w:rsidP="006057F6">
      <w:pPr>
        <w:pStyle w:val="ListParagraph"/>
        <w:widowControl/>
        <w:numPr>
          <w:ilvl w:val="0"/>
          <w:numId w:val="4"/>
        </w:numPr>
        <w:spacing w:line="276" w:lineRule="auto"/>
        <w:ind w:left="720" w:hanging="360"/>
        <w:jc w:val="left"/>
        <w:rPr>
          <w:rFonts w:ascii="Times New Roman" w:eastAsia="Times New Roman" w:hAnsi="Times New Roman" w:cs="Times New Roman"/>
          <w:b/>
          <w:i/>
          <w:sz w:val="24"/>
          <w:szCs w:val="24"/>
        </w:rPr>
      </w:pPr>
      <w:r w:rsidRPr="00381087">
        <w:rPr>
          <w:rFonts w:ascii="Times New Roman" w:eastAsia="Times New Roman" w:hAnsi="Times New Roman" w:cs="Times New Roman"/>
          <w:b/>
          <w:i/>
          <w:sz w:val="24"/>
          <w:szCs w:val="24"/>
        </w:rPr>
        <w:t>GATA Compliance</w:t>
      </w:r>
      <w:r w:rsidR="00B960CA">
        <w:rPr>
          <w:rFonts w:ascii="Times New Roman" w:eastAsia="Times New Roman" w:hAnsi="Times New Roman" w:cs="Times New Roman"/>
          <w:b/>
          <w:i/>
          <w:sz w:val="24"/>
          <w:szCs w:val="24"/>
        </w:rPr>
        <w:br/>
      </w:r>
    </w:p>
    <w:p w:rsidR="00755C28" w:rsidRPr="00381087" w:rsidRDefault="00755C28" w:rsidP="00C04D82">
      <w:pPr>
        <w:ind w:left="0"/>
      </w:pPr>
      <w:r>
        <w:t>Applicant</w:t>
      </w:r>
      <w:r w:rsidRPr="00381087">
        <w:t xml:space="preserve"> must be pre-qualified through the Grant Accountability and Transparency Act (GATA) Grantee Portal, </w:t>
      </w:r>
      <w:hyperlink r:id="rId12" w:history="1">
        <w:r w:rsidRPr="008E2EC9">
          <w:rPr>
            <w:rStyle w:val="Hyperlink"/>
            <w:u w:val="none"/>
          </w:rPr>
          <w:t>www.grants.illinois.gov</w:t>
        </w:r>
      </w:hyperlink>
      <w:r w:rsidRPr="008E2EC9">
        <w:rPr>
          <w:rStyle w:val="Hyperlink"/>
          <w:color w:val="auto"/>
          <w:u w:val="none"/>
        </w:rPr>
        <w:t>, to become eligible to apply for an award</w:t>
      </w:r>
      <w:r w:rsidRPr="008E2EC9">
        <w:t>.</w:t>
      </w:r>
      <w:r w:rsidRPr="00381087">
        <w:t xml:space="preserve"> During pre-qualification, Dun and Bradstreet verifications are performed, including a check of Debarred and Suspended status and good standing with the Secretary of State. The pre-qualification process also includes a financial and administrative risk assessment utilizing an Internal Controls Questionnaire (ICQ).   </w:t>
      </w:r>
    </w:p>
    <w:p w:rsidR="00755C28" w:rsidRPr="00381087" w:rsidRDefault="00755C28" w:rsidP="00C04D82">
      <w:pPr>
        <w:ind w:left="0"/>
      </w:pPr>
    </w:p>
    <w:p w:rsidR="00755C28" w:rsidRPr="00381087" w:rsidRDefault="00755C28" w:rsidP="00755C28">
      <w:pPr>
        <w:ind w:left="0"/>
        <w:rPr>
          <w:color w:val="FF0000"/>
        </w:rPr>
      </w:pPr>
      <w:r>
        <w:rPr>
          <w:color w:val="auto"/>
        </w:rPr>
        <w:t>Applicant</w:t>
      </w:r>
      <w:r w:rsidRPr="00381087">
        <w:rPr>
          <w:color w:val="auto"/>
        </w:rPr>
        <w:t xml:space="preserve"> must have completed the GATA pre-qualification process </w:t>
      </w:r>
      <w:r w:rsidR="00EA5196">
        <w:rPr>
          <w:color w:val="auto"/>
        </w:rPr>
        <w:t xml:space="preserve">at time of application </w:t>
      </w:r>
      <w:r w:rsidRPr="00381087">
        <w:rPr>
          <w:color w:val="auto"/>
        </w:rPr>
        <w:t>and received approval of their</w:t>
      </w:r>
      <w:r w:rsidR="008737CC">
        <w:rPr>
          <w:color w:val="auto"/>
        </w:rPr>
        <w:t xml:space="preserve"> SFY19</w:t>
      </w:r>
      <w:r w:rsidRPr="00381087">
        <w:rPr>
          <w:color w:val="auto"/>
        </w:rPr>
        <w:t xml:space="preserve"> ICQ from a State cognizant agency</w:t>
      </w:r>
      <w:r w:rsidR="00520A1B">
        <w:rPr>
          <w:color w:val="auto"/>
        </w:rPr>
        <w:t xml:space="preserve"> prior to Agreement execution</w:t>
      </w:r>
      <w:r w:rsidRPr="00381087">
        <w:rPr>
          <w:color w:val="FF0000"/>
        </w:rPr>
        <w:t xml:space="preserve">. </w:t>
      </w:r>
    </w:p>
    <w:tbl>
      <w:tblPr>
        <w:tblW w:w="10926" w:type="dxa"/>
        <w:tblInd w:w="-460" w:type="dxa"/>
        <w:tblBorders>
          <w:top w:val="nil"/>
          <w:left w:val="nil"/>
          <w:bottom w:val="nil"/>
          <w:right w:val="nil"/>
          <w:insideH w:val="nil"/>
          <w:insideV w:val="nil"/>
        </w:tblBorders>
        <w:tblLayout w:type="fixed"/>
        <w:tblLook w:val="0400" w:firstRow="0" w:lastRow="0" w:firstColumn="0" w:lastColumn="0" w:noHBand="0" w:noVBand="1"/>
      </w:tblPr>
      <w:tblGrid>
        <w:gridCol w:w="10926"/>
      </w:tblGrid>
      <w:tr w:rsidR="006609F1" w:rsidRPr="00381087" w:rsidTr="0000074E">
        <w:tc>
          <w:tcPr>
            <w:tcW w:w="10926" w:type="dxa"/>
          </w:tcPr>
          <w:p w:rsidR="006609F1" w:rsidRPr="00381087" w:rsidRDefault="006609F1" w:rsidP="0000074E"/>
        </w:tc>
      </w:tr>
    </w:tbl>
    <w:p w:rsidR="006609F1" w:rsidRPr="00381087" w:rsidRDefault="006609F1" w:rsidP="006057F6">
      <w:pPr>
        <w:pStyle w:val="ListParagraph"/>
        <w:widowControl/>
        <w:numPr>
          <w:ilvl w:val="0"/>
          <w:numId w:val="8"/>
        </w:numPr>
        <w:spacing w:after="200" w:line="276" w:lineRule="auto"/>
        <w:ind w:left="0" w:firstLine="0"/>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Application and Submission Information</w:t>
      </w:r>
      <w:r w:rsidR="00B960CA">
        <w:rPr>
          <w:rFonts w:ascii="Times New Roman" w:eastAsia="Times New Roman" w:hAnsi="Times New Roman" w:cs="Times New Roman"/>
          <w:b/>
          <w:color w:val="auto"/>
          <w:sz w:val="28"/>
          <w:szCs w:val="28"/>
        </w:rPr>
        <w:br/>
      </w:r>
    </w:p>
    <w:p w:rsidR="006609F1" w:rsidRPr="00381087" w:rsidRDefault="006609F1" w:rsidP="006057F6">
      <w:pPr>
        <w:pStyle w:val="ListParagraph"/>
        <w:widowControl/>
        <w:numPr>
          <w:ilvl w:val="0"/>
          <w:numId w:val="6"/>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t>Obtaining Application Materials</w:t>
      </w:r>
      <w:r w:rsidR="00B960CA">
        <w:rPr>
          <w:rFonts w:ascii="Times New Roman" w:eastAsia="Times New Roman" w:hAnsi="Times New Roman" w:cs="Times New Roman"/>
          <w:b/>
          <w:i/>
          <w:iCs/>
          <w:sz w:val="24"/>
          <w:szCs w:val="24"/>
        </w:rPr>
        <w:br/>
      </w:r>
    </w:p>
    <w:p w:rsidR="006609F1" w:rsidRPr="00381087" w:rsidRDefault="006609F1" w:rsidP="006609F1">
      <w:pPr>
        <w:spacing w:line="276" w:lineRule="auto"/>
        <w:ind w:left="0"/>
      </w:pPr>
      <w:r w:rsidRPr="00381087">
        <w:t>Application materials will be provided to the</w:t>
      </w:r>
      <w:r w:rsidR="004442F9">
        <w:t xml:space="preserve"> City of Chicago Department of Family and Support Services</w:t>
      </w:r>
      <w:r w:rsidRPr="00381087">
        <w:t>.</w:t>
      </w:r>
    </w:p>
    <w:p w:rsidR="006609F1" w:rsidRPr="00381087" w:rsidRDefault="006609F1" w:rsidP="006609F1">
      <w:pPr>
        <w:spacing w:line="276" w:lineRule="auto"/>
        <w:ind w:left="0"/>
      </w:pPr>
    </w:p>
    <w:p w:rsidR="006609F1" w:rsidRPr="00381087" w:rsidRDefault="006609F1" w:rsidP="006057F6">
      <w:pPr>
        <w:pStyle w:val="ListParagraph"/>
        <w:widowControl/>
        <w:numPr>
          <w:ilvl w:val="0"/>
          <w:numId w:val="6"/>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t xml:space="preserve"> Document Submission</w:t>
      </w:r>
      <w:r w:rsidR="00B960CA">
        <w:rPr>
          <w:rFonts w:ascii="Times New Roman" w:eastAsia="Times New Roman" w:hAnsi="Times New Roman" w:cs="Times New Roman"/>
          <w:b/>
          <w:i/>
          <w:iCs/>
          <w:sz w:val="24"/>
          <w:szCs w:val="24"/>
        </w:rPr>
        <w:br/>
      </w:r>
    </w:p>
    <w:p w:rsidR="006609F1" w:rsidRPr="00381087" w:rsidRDefault="006609F1" w:rsidP="006609F1">
      <w:pPr>
        <w:ind w:left="0"/>
      </w:pPr>
      <w:r w:rsidRPr="00381087">
        <w:t xml:space="preserve">The application must be emailed to </w:t>
      </w:r>
      <w:r w:rsidR="00C94FEE">
        <w:t>ronnie.reichgelt@illinois.gov</w:t>
      </w:r>
      <w:r w:rsidRPr="00381087">
        <w:t xml:space="preserve">. The applicant agency name should appear in the Subject line of the email. Each document attached to the email must be submitted in the manner and method described below. </w:t>
      </w:r>
    </w:p>
    <w:p w:rsidR="006609F1" w:rsidRPr="00381087" w:rsidRDefault="006609F1" w:rsidP="006609F1"/>
    <w:tbl>
      <w:tblPr>
        <w:tblStyle w:val="TableGrid6"/>
        <w:tblW w:w="9090" w:type="dxa"/>
        <w:tblInd w:w="-5" w:type="dxa"/>
        <w:tblLayout w:type="fixed"/>
        <w:tblLook w:val="04A0" w:firstRow="1" w:lastRow="0" w:firstColumn="1" w:lastColumn="0" w:noHBand="0" w:noVBand="1"/>
      </w:tblPr>
      <w:tblGrid>
        <w:gridCol w:w="4031"/>
        <w:gridCol w:w="2371"/>
        <w:gridCol w:w="895"/>
        <w:gridCol w:w="895"/>
        <w:gridCol w:w="898"/>
      </w:tblGrid>
      <w:tr w:rsidR="006609F1" w:rsidRPr="00381087" w:rsidTr="0000074E">
        <w:trPr>
          <w:trHeight w:val="547"/>
        </w:trPr>
        <w:tc>
          <w:tcPr>
            <w:tcW w:w="9090" w:type="dxa"/>
            <w:gridSpan w:val="5"/>
            <w:shd w:val="clear" w:color="auto" w:fill="auto"/>
          </w:tcPr>
          <w:p w:rsidR="006609F1" w:rsidRPr="00381087" w:rsidRDefault="006609F1" w:rsidP="0000074E">
            <w:pPr>
              <w:rPr>
                <w:rFonts w:eastAsia="Calibri"/>
                <w:b/>
              </w:rPr>
            </w:pPr>
            <w:r w:rsidRPr="00381087">
              <w:rPr>
                <w:rFonts w:eastAsia="Calibri"/>
                <w:b/>
              </w:rPr>
              <w:t xml:space="preserve">The following materials MUST be submitted by </w:t>
            </w:r>
            <w:r w:rsidR="00520A1B">
              <w:rPr>
                <w:rFonts w:eastAsia="Calibri"/>
                <w:b/>
              </w:rPr>
              <w:t>the</w:t>
            </w:r>
            <w:r w:rsidR="00520A1B" w:rsidRPr="00381087">
              <w:rPr>
                <w:rFonts w:eastAsia="Calibri"/>
                <w:b/>
              </w:rPr>
              <w:t xml:space="preserve"> </w:t>
            </w:r>
            <w:r w:rsidRPr="00381087">
              <w:rPr>
                <w:rFonts w:eastAsia="Calibri"/>
                <w:b/>
              </w:rPr>
              <w:t xml:space="preserve">applicant. The applicant must submit the documents based on the instructions provided below. </w:t>
            </w:r>
          </w:p>
        </w:tc>
      </w:tr>
      <w:tr w:rsidR="006609F1" w:rsidRPr="00381087" w:rsidTr="0000074E">
        <w:trPr>
          <w:trHeight w:val="288"/>
        </w:trPr>
        <w:tc>
          <w:tcPr>
            <w:tcW w:w="4031" w:type="dxa"/>
            <w:shd w:val="clear" w:color="auto" w:fill="D9D9D9"/>
          </w:tcPr>
          <w:p w:rsidR="006609F1" w:rsidRPr="00381087" w:rsidRDefault="006609F1" w:rsidP="0000074E">
            <w:pPr>
              <w:jc w:val="center"/>
              <w:rPr>
                <w:rFonts w:eastAsia="Calibri"/>
                <w:b/>
              </w:rPr>
            </w:pPr>
            <w:r w:rsidRPr="00381087">
              <w:rPr>
                <w:rFonts w:eastAsia="Calibri"/>
                <w:b/>
              </w:rPr>
              <w:t>Document</w:t>
            </w:r>
          </w:p>
        </w:tc>
        <w:tc>
          <w:tcPr>
            <w:tcW w:w="2371" w:type="dxa"/>
            <w:shd w:val="clear" w:color="auto" w:fill="D9D9D9"/>
          </w:tcPr>
          <w:p w:rsidR="006609F1" w:rsidRPr="00381087" w:rsidRDefault="006609F1" w:rsidP="0000074E">
            <w:pPr>
              <w:jc w:val="center"/>
              <w:rPr>
                <w:rFonts w:eastAsia="Calibri"/>
                <w:b/>
              </w:rPr>
            </w:pPr>
            <w:r w:rsidRPr="00381087">
              <w:rPr>
                <w:rFonts w:eastAsia="Calibri"/>
                <w:b/>
              </w:rPr>
              <w:t>Document Name</w:t>
            </w:r>
          </w:p>
        </w:tc>
        <w:tc>
          <w:tcPr>
            <w:tcW w:w="895" w:type="dxa"/>
            <w:shd w:val="clear" w:color="auto" w:fill="D9D9D9"/>
          </w:tcPr>
          <w:p w:rsidR="006609F1" w:rsidRPr="00381087" w:rsidRDefault="006609F1" w:rsidP="0000074E">
            <w:pPr>
              <w:jc w:val="center"/>
              <w:rPr>
                <w:rFonts w:eastAsia="Calibri"/>
                <w:b/>
              </w:rPr>
            </w:pPr>
            <w:r w:rsidRPr="00381087">
              <w:rPr>
                <w:rFonts w:eastAsia="Calibri"/>
                <w:b/>
              </w:rPr>
              <w:t>PDF</w:t>
            </w:r>
          </w:p>
        </w:tc>
        <w:tc>
          <w:tcPr>
            <w:tcW w:w="895" w:type="dxa"/>
            <w:shd w:val="clear" w:color="auto" w:fill="D9D9D9"/>
          </w:tcPr>
          <w:p w:rsidR="006609F1" w:rsidRPr="00381087" w:rsidRDefault="006609F1" w:rsidP="0000074E">
            <w:pPr>
              <w:jc w:val="center"/>
              <w:rPr>
                <w:rFonts w:eastAsia="Calibri"/>
                <w:b/>
              </w:rPr>
            </w:pPr>
            <w:r w:rsidRPr="00381087">
              <w:rPr>
                <w:rFonts w:eastAsia="Calibri"/>
                <w:b/>
              </w:rPr>
              <w:t>Word</w:t>
            </w:r>
          </w:p>
        </w:tc>
        <w:tc>
          <w:tcPr>
            <w:tcW w:w="898" w:type="dxa"/>
            <w:shd w:val="clear" w:color="auto" w:fill="D9D9D9"/>
          </w:tcPr>
          <w:p w:rsidR="006609F1" w:rsidRPr="00381087" w:rsidRDefault="006609F1" w:rsidP="0000074E">
            <w:pPr>
              <w:jc w:val="center"/>
              <w:rPr>
                <w:rFonts w:eastAsia="Calibri"/>
                <w:b/>
              </w:rPr>
            </w:pPr>
            <w:r w:rsidRPr="00381087">
              <w:rPr>
                <w:rFonts w:eastAsia="Calibri"/>
                <w:b/>
              </w:rPr>
              <w:t>Excel</w:t>
            </w:r>
          </w:p>
        </w:tc>
      </w:tr>
      <w:tr w:rsidR="00B960CA" w:rsidRPr="00381087" w:rsidTr="0000074E">
        <w:trPr>
          <w:trHeight w:val="820"/>
        </w:trPr>
        <w:tc>
          <w:tcPr>
            <w:tcW w:w="4031" w:type="dxa"/>
          </w:tcPr>
          <w:p w:rsidR="00B960CA" w:rsidRPr="00381087" w:rsidRDefault="00B960CA" w:rsidP="00B960CA">
            <w:pPr>
              <w:contextualSpacing/>
              <w:jc w:val="both"/>
              <w:rPr>
                <w:rFonts w:eastAsia="Calibri"/>
              </w:rPr>
            </w:pPr>
            <w:r w:rsidRPr="00381087">
              <w:rPr>
                <w:rFonts w:eastAsia="Calibri"/>
                <w:b/>
              </w:rPr>
              <w:lastRenderedPageBreak/>
              <w:t>Uniform Application for State Grant Assistance</w:t>
            </w:r>
            <w:r w:rsidRPr="00381087">
              <w:rPr>
                <w:rFonts w:eastAsia="Calibri"/>
              </w:rPr>
              <w:t xml:space="preserve"> - This form must be completed, signed, and scanned.</w:t>
            </w:r>
          </w:p>
        </w:tc>
        <w:tc>
          <w:tcPr>
            <w:tcW w:w="2371" w:type="dxa"/>
            <w:vAlign w:val="center"/>
          </w:tcPr>
          <w:p w:rsidR="00B960CA" w:rsidRPr="00381087" w:rsidRDefault="00B960CA" w:rsidP="00B960CA">
            <w:pPr>
              <w:jc w:val="center"/>
              <w:rPr>
                <w:rFonts w:eastAsia="Calibri"/>
                <w:i/>
              </w:rPr>
            </w:pPr>
            <w:r>
              <w:rPr>
                <w:rFonts w:eastAsia="Calibri"/>
                <w:i/>
              </w:rPr>
              <w:t>[</w:t>
            </w:r>
            <w:r w:rsidRPr="00381087">
              <w:rPr>
                <w:rFonts w:eastAsia="Calibri"/>
                <w:i/>
              </w:rPr>
              <w:t>Agency Name</w:t>
            </w:r>
            <w:r>
              <w:rPr>
                <w:rFonts w:eastAsia="Calibri"/>
                <w:i/>
              </w:rPr>
              <w:t>]</w:t>
            </w:r>
            <w:r w:rsidRPr="00381087">
              <w:rPr>
                <w:rFonts w:eastAsia="Calibri"/>
                <w:i/>
              </w:rPr>
              <w:t xml:space="preserve"> – Application</w:t>
            </w:r>
          </w:p>
        </w:tc>
        <w:tc>
          <w:tcPr>
            <w:tcW w:w="895" w:type="dxa"/>
            <w:vAlign w:val="center"/>
          </w:tcPr>
          <w:p w:rsidR="00B960CA" w:rsidRPr="00381087" w:rsidRDefault="00B960CA" w:rsidP="00B960CA">
            <w:pPr>
              <w:jc w:val="center"/>
              <w:rPr>
                <w:rFonts w:eastAsia="Calibri"/>
              </w:rPr>
            </w:pPr>
            <w:r w:rsidRPr="00381087">
              <w:rPr>
                <w:rFonts w:eastAsia="Calibri"/>
              </w:rPr>
              <w:t>X</w:t>
            </w:r>
          </w:p>
        </w:tc>
        <w:tc>
          <w:tcPr>
            <w:tcW w:w="895" w:type="dxa"/>
            <w:vAlign w:val="center"/>
          </w:tcPr>
          <w:p w:rsidR="00B960CA" w:rsidRPr="00381087" w:rsidRDefault="00B960CA" w:rsidP="00B960CA">
            <w:pPr>
              <w:jc w:val="center"/>
              <w:rPr>
                <w:rFonts w:eastAsia="Calibri"/>
              </w:rPr>
            </w:pPr>
            <w:r w:rsidRPr="00381087">
              <w:rPr>
                <w:rFonts w:eastAsia="Calibri"/>
              </w:rPr>
              <w:t>X</w:t>
            </w:r>
          </w:p>
        </w:tc>
        <w:tc>
          <w:tcPr>
            <w:tcW w:w="898" w:type="dxa"/>
            <w:vAlign w:val="center"/>
          </w:tcPr>
          <w:p w:rsidR="00B960CA" w:rsidRPr="00381087" w:rsidRDefault="00B960CA" w:rsidP="00B960CA">
            <w:pPr>
              <w:jc w:val="center"/>
              <w:rPr>
                <w:rFonts w:eastAsia="Calibri"/>
              </w:rPr>
            </w:pPr>
          </w:p>
        </w:tc>
      </w:tr>
      <w:tr w:rsidR="00B960CA" w:rsidRPr="00381087" w:rsidTr="0000074E">
        <w:trPr>
          <w:trHeight w:val="1398"/>
        </w:trPr>
        <w:tc>
          <w:tcPr>
            <w:tcW w:w="4031" w:type="dxa"/>
          </w:tcPr>
          <w:p w:rsidR="00B960CA" w:rsidRPr="00381087" w:rsidRDefault="00B960CA" w:rsidP="00B960CA">
            <w:pPr>
              <w:contextualSpacing/>
              <w:jc w:val="both"/>
              <w:rPr>
                <w:rFonts w:eastAsia="Calibri"/>
              </w:rPr>
            </w:pPr>
            <w:r w:rsidRPr="00381087">
              <w:rPr>
                <w:rFonts w:eastAsia="Calibri"/>
                <w:b/>
              </w:rPr>
              <w:t>Program Narrative</w:t>
            </w:r>
            <w:r w:rsidRPr="00381087">
              <w:rPr>
                <w:rFonts w:eastAsia="Calibri"/>
              </w:rPr>
              <w:t xml:space="preserve"> – This document must meet the requirements outline in Section A. The narrative must be provided in this document. Do not change the format of this document. </w:t>
            </w:r>
            <w:r w:rsidR="002B3F09">
              <w:rPr>
                <w:rFonts w:eastAsia="Calibri"/>
              </w:rPr>
              <w:t xml:space="preserve"> Maximum of 30 pages.</w:t>
            </w:r>
          </w:p>
        </w:tc>
        <w:tc>
          <w:tcPr>
            <w:tcW w:w="2371" w:type="dxa"/>
            <w:vAlign w:val="center"/>
          </w:tcPr>
          <w:p w:rsidR="00B960CA" w:rsidRPr="00381087" w:rsidRDefault="00B960CA" w:rsidP="00B960CA">
            <w:pPr>
              <w:jc w:val="center"/>
              <w:rPr>
                <w:rFonts w:eastAsia="Calibri"/>
                <w:i/>
              </w:rPr>
            </w:pPr>
            <w:r>
              <w:rPr>
                <w:rFonts w:eastAsia="Calibri"/>
                <w:i/>
              </w:rPr>
              <w:t>[</w:t>
            </w:r>
            <w:r w:rsidRPr="00381087">
              <w:rPr>
                <w:rFonts w:eastAsia="Calibri"/>
                <w:i/>
              </w:rPr>
              <w:t>Agency Name</w:t>
            </w:r>
            <w:r>
              <w:rPr>
                <w:rFonts w:eastAsia="Calibri"/>
                <w:i/>
              </w:rPr>
              <w:t>]</w:t>
            </w:r>
            <w:r w:rsidRPr="00381087">
              <w:rPr>
                <w:rFonts w:eastAsia="Calibri"/>
                <w:i/>
              </w:rPr>
              <w:t xml:space="preserve"> – Program Narrative</w:t>
            </w:r>
          </w:p>
        </w:tc>
        <w:tc>
          <w:tcPr>
            <w:tcW w:w="895" w:type="dxa"/>
            <w:vAlign w:val="center"/>
          </w:tcPr>
          <w:p w:rsidR="00B960CA" w:rsidRPr="00381087" w:rsidRDefault="00B960CA" w:rsidP="00B960CA">
            <w:pPr>
              <w:jc w:val="center"/>
              <w:rPr>
                <w:rFonts w:eastAsia="Calibri"/>
              </w:rPr>
            </w:pPr>
          </w:p>
        </w:tc>
        <w:tc>
          <w:tcPr>
            <w:tcW w:w="895" w:type="dxa"/>
            <w:vAlign w:val="center"/>
          </w:tcPr>
          <w:p w:rsidR="00B960CA" w:rsidRPr="00381087" w:rsidRDefault="00B960CA" w:rsidP="00B960CA">
            <w:pPr>
              <w:jc w:val="center"/>
              <w:rPr>
                <w:rFonts w:eastAsia="Calibri"/>
              </w:rPr>
            </w:pPr>
            <w:r w:rsidRPr="00381087">
              <w:rPr>
                <w:rFonts w:eastAsia="Calibri"/>
              </w:rPr>
              <w:t>X</w:t>
            </w:r>
          </w:p>
        </w:tc>
        <w:tc>
          <w:tcPr>
            <w:tcW w:w="898" w:type="dxa"/>
            <w:vAlign w:val="center"/>
          </w:tcPr>
          <w:p w:rsidR="00B960CA" w:rsidRPr="00381087" w:rsidRDefault="00B960CA" w:rsidP="00B960CA">
            <w:pPr>
              <w:jc w:val="center"/>
              <w:rPr>
                <w:rFonts w:eastAsia="Calibri"/>
              </w:rPr>
            </w:pPr>
          </w:p>
        </w:tc>
      </w:tr>
      <w:tr w:rsidR="00B960CA" w:rsidRPr="00381087" w:rsidTr="0000074E">
        <w:trPr>
          <w:trHeight w:val="1398"/>
        </w:trPr>
        <w:tc>
          <w:tcPr>
            <w:tcW w:w="4031" w:type="dxa"/>
          </w:tcPr>
          <w:p w:rsidR="00B960CA" w:rsidRPr="00381087" w:rsidRDefault="00B960CA" w:rsidP="00B960CA">
            <w:pPr>
              <w:contextualSpacing/>
              <w:jc w:val="both"/>
              <w:rPr>
                <w:rFonts w:eastAsia="Calibri"/>
              </w:rPr>
            </w:pPr>
            <w:r w:rsidRPr="00381087">
              <w:rPr>
                <w:rFonts w:eastAsia="Calibri"/>
                <w:b/>
              </w:rPr>
              <w:t>Budget/Budget Narrative</w:t>
            </w:r>
            <w:r w:rsidRPr="00381087">
              <w:rPr>
                <w:rFonts w:eastAsia="Calibri"/>
              </w:rPr>
              <w:t xml:space="preserve"> – This document is an Excel Workbook, with several pages/tabs. The last tab are instructions, if clarifications are need for a </w:t>
            </w:r>
            <w:r w:rsidR="00341B1E" w:rsidRPr="00381087">
              <w:rPr>
                <w:rFonts w:eastAsia="Calibri"/>
              </w:rPr>
              <w:t>category</w:t>
            </w:r>
            <w:r w:rsidRPr="00381087">
              <w:rPr>
                <w:rFonts w:eastAsia="Calibri"/>
              </w:rPr>
              <w:t>.</w:t>
            </w:r>
            <w:r w:rsidRPr="00381087">
              <w:rPr>
                <w:rFonts w:eastAsia="Calibri"/>
                <w:i/>
              </w:rPr>
              <w:t xml:space="preserve"> </w:t>
            </w:r>
          </w:p>
        </w:tc>
        <w:tc>
          <w:tcPr>
            <w:tcW w:w="2371" w:type="dxa"/>
            <w:vAlign w:val="center"/>
          </w:tcPr>
          <w:p w:rsidR="00B960CA" w:rsidRPr="00381087" w:rsidRDefault="00B960CA" w:rsidP="00B960CA">
            <w:pPr>
              <w:jc w:val="center"/>
              <w:rPr>
                <w:rFonts w:eastAsia="Calibri"/>
                <w:i/>
              </w:rPr>
            </w:pPr>
            <w:r>
              <w:rPr>
                <w:rFonts w:eastAsia="Calibri"/>
                <w:i/>
              </w:rPr>
              <w:t>[</w:t>
            </w:r>
            <w:r w:rsidRPr="00381087">
              <w:rPr>
                <w:rFonts w:eastAsia="Calibri"/>
                <w:i/>
              </w:rPr>
              <w:t>Agency Name</w:t>
            </w:r>
            <w:r>
              <w:rPr>
                <w:rFonts w:eastAsia="Calibri"/>
                <w:i/>
              </w:rPr>
              <w:t>]</w:t>
            </w:r>
            <w:r w:rsidRPr="00381087">
              <w:rPr>
                <w:rFonts w:eastAsia="Calibri"/>
                <w:i/>
              </w:rPr>
              <w:t xml:space="preserve"> – Budget</w:t>
            </w:r>
          </w:p>
        </w:tc>
        <w:tc>
          <w:tcPr>
            <w:tcW w:w="895" w:type="dxa"/>
            <w:vAlign w:val="center"/>
          </w:tcPr>
          <w:p w:rsidR="00B960CA" w:rsidRPr="00381087" w:rsidRDefault="00B960CA" w:rsidP="00B960CA">
            <w:pPr>
              <w:jc w:val="center"/>
              <w:rPr>
                <w:rFonts w:eastAsia="Calibri"/>
              </w:rPr>
            </w:pPr>
          </w:p>
        </w:tc>
        <w:tc>
          <w:tcPr>
            <w:tcW w:w="895" w:type="dxa"/>
            <w:vAlign w:val="center"/>
          </w:tcPr>
          <w:p w:rsidR="00B960CA" w:rsidRPr="00381087" w:rsidRDefault="00B960CA" w:rsidP="00B960CA">
            <w:pPr>
              <w:jc w:val="center"/>
              <w:rPr>
                <w:rFonts w:eastAsia="Calibri"/>
              </w:rPr>
            </w:pPr>
          </w:p>
        </w:tc>
        <w:tc>
          <w:tcPr>
            <w:tcW w:w="898" w:type="dxa"/>
            <w:vAlign w:val="center"/>
          </w:tcPr>
          <w:p w:rsidR="00B960CA" w:rsidRPr="00381087" w:rsidRDefault="00B960CA" w:rsidP="00B960CA">
            <w:pPr>
              <w:jc w:val="center"/>
              <w:rPr>
                <w:rFonts w:eastAsia="Calibri"/>
              </w:rPr>
            </w:pPr>
            <w:r w:rsidRPr="00381087">
              <w:rPr>
                <w:rFonts w:eastAsia="Calibri"/>
              </w:rPr>
              <w:t>X</w:t>
            </w:r>
          </w:p>
        </w:tc>
      </w:tr>
    </w:tbl>
    <w:p w:rsidR="006609F1" w:rsidRPr="00381087" w:rsidRDefault="006609F1" w:rsidP="006609F1">
      <w:pPr>
        <w:ind w:left="0"/>
      </w:pPr>
    </w:p>
    <w:p w:rsidR="006609F1" w:rsidRPr="00381087" w:rsidRDefault="006609F1" w:rsidP="006057F6">
      <w:pPr>
        <w:pStyle w:val="ListParagraph"/>
        <w:widowControl/>
        <w:numPr>
          <w:ilvl w:val="0"/>
          <w:numId w:val="6"/>
        </w:numPr>
        <w:spacing w:line="276" w:lineRule="auto"/>
        <w:jc w:val="left"/>
      </w:pPr>
      <w:r w:rsidRPr="00381087">
        <w:rPr>
          <w:rFonts w:ascii="Times New Roman" w:eastAsia="Times New Roman" w:hAnsi="Times New Roman" w:cs="Times New Roman"/>
          <w:b/>
          <w:i/>
          <w:iCs/>
          <w:sz w:val="24"/>
          <w:szCs w:val="24"/>
        </w:rPr>
        <w:t xml:space="preserve">Dun and Bradstreet Universal Numbering System (DUNS) Number and System for Award Management (SAM) registration </w:t>
      </w:r>
      <w:r w:rsidR="001C16C4">
        <w:rPr>
          <w:rFonts w:ascii="Times New Roman" w:eastAsia="Times New Roman" w:hAnsi="Times New Roman" w:cs="Times New Roman"/>
          <w:b/>
          <w:i/>
          <w:iCs/>
          <w:sz w:val="24"/>
          <w:szCs w:val="24"/>
        </w:rPr>
        <w:br/>
      </w:r>
    </w:p>
    <w:p w:rsidR="006609F1" w:rsidRPr="00381087" w:rsidRDefault="008E2EC9" w:rsidP="006609F1">
      <w:pPr>
        <w:ind w:left="0"/>
      </w:pPr>
      <w:r>
        <w:t>A</w:t>
      </w:r>
      <w:r w:rsidR="006609F1" w:rsidRPr="00381087">
        <w:t xml:space="preserve">pplicant is required to: </w:t>
      </w:r>
    </w:p>
    <w:p w:rsidR="006609F1" w:rsidRPr="00381087" w:rsidRDefault="006609F1" w:rsidP="006609F1">
      <w:pPr>
        <w:ind w:left="0"/>
      </w:pPr>
    </w:p>
    <w:p w:rsidR="006609F1" w:rsidRPr="00381087" w:rsidRDefault="006609F1" w:rsidP="006609F1">
      <w:pPr>
        <w:ind w:left="0"/>
      </w:pPr>
      <w:r w:rsidRPr="00381087">
        <w:t>(i) Be registered in SAM prior to application submission. Click here for SAM registration:</w:t>
      </w:r>
    </w:p>
    <w:p w:rsidR="006609F1" w:rsidRPr="00381087" w:rsidRDefault="00AC19C8" w:rsidP="006609F1">
      <w:pPr>
        <w:ind w:left="0"/>
      </w:pPr>
      <w:hyperlink r:id="rId13" w:history="1">
        <w:r w:rsidR="006609F1" w:rsidRPr="00381087">
          <w:rPr>
            <w:rStyle w:val="Hyperlink"/>
          </w:rPr>
          <w:t>https://governmentcontractregistration.com/sam-registration.asp</w:t>
        </w:r>
      </w:hyperlink>
    </w:p>
    <w:p w:rsidR="006609F1" w:rsidRPr="00381087" w:rsidRDefault="006609F1" w:rsidP="006609F1">
      <w:pPr>
        <w:ind w:left="0"/>
      </w:pPr>
    </w:p>
    <w:p w:rsidR="006609F1" w:rsidRPr="00381087" w:rsidRDefault="006609F1" w:rsidP="006609F1">
      <w:pPr>
        <w:ind w:left="0"/>
      </w:pPr>
      <w:r w:rsidRPr="00381087">
        <w:t xml:space="preserve">(ii) Provide a valid DUNS number. </w:t>
      </w:r>
    </w:p>
    <w:p w:rsidR="006609F1" w:rsidRPr="00381087" w:rsidRDefault="006609F1" w:rsidP="006609F1">
      <w:pPr>
        <w:ind w:left="0"/>
      </w:pPr>
    </w:p>
    <w:p w:rsidR="006609F1" w:rsidRPr="00381087" w:rsidRDefault="006609F1" w:rsidP="006609F1">
      <w:pPr>
        <w:ind w:left="0"/>
      </w:pPr>
      <w:r w:rsidRPr="00381087">
        <w:t xml:space="preserve">(iii) Maintain an active SAM registration throughout the application and grant period. </w:t>
      </w:r>
      <w:r w:rsidR="007A131E">
        <w:t xml:space="preserve">ICJIA </w:t>
      </w:r>
      <w:r w:rsidR="007A131E" w:rsidRPr="00381087">
        <w:t xml:space="preserve">may not make a federal pass-through </w:t>
      </w:r>
      <w:r w:rsidR="007A131E">
        <w:t>to the</w:t>
      </w:r>
      <w:r w:rsidR="007A131E" w:rsidRPr="00381087">
        <w:t xml:space="preserve"> applicant until the applicant has complied with all applicable</w:t>
      </w:r>
      <w:r w:rsidR="007A131E">
        <w:t xml:space="preserve"> DUNS and SAM requirements. If the</w:t>
      </w:r>
      <w:r w:rsidR="007A131E" w:rsidRPr="00381087">
        <w:t xml:space="preserve"> applicant has not fully complied with the requirements by the time ICJIA is ready to make a federal pass-through award, ICJIA may determine that the applicant is not qualified to receive an award and may use that determination as a basis for making a federal pass-through or state award to another applicant.</w:t>
      </w:r>
    </w:p>
    <w:p w:rsidR="006609F1" w:rsidRPr="00381087" w:rsidRDefault="006609F1" w:rsidP="006609F1">
      <w:pPr>
        <w:ind w:left="0"/>
      </w:pPr>
    </w:p>
    <w:p w:rsidR="006609F1" w:rsidRPr="00CC7C34" w:rsidRDefault="006609F1" w:rsidP="006057F6">
      <w:pPr>
        <w:pStyle w:val="ListParagraph"/>
        <w:widowControl/>
        <w:numPr>
          <w:ilvl w:val="0"/>
          <w:numId w:val="6"/>
        </w:numPr>
        <w:spacing w:line="276" w:lineRule="auto"/>
        <w:jc w:val="left"/>
        <w:rPr>
          <w:rFonts w:ascii="Times New Roman" w:eastAsia="Times New Roman" w:hAnsi="Times New Roman" w:cs="Times New Roman"/>
          <w:sz w:val="24"/>
          <w:szCs w:val="24"/>
        </w:rPr>
      </w:pPr>
      <w:r w:rsidRPr="00381087">
        <w:rPr>
          <w:rFonts w:ascii="Times New Roman" w:eastAsia="Times New Roman" w:hAnsi="Times New Roman" w:cs="Times New Roman"/>
          <w:b/>
          <w:i/>
          <w:iCs/>
          <w:sz w:val="24"/>
          <w:szCs w:val="24"/>
        </w:rPr>
        <w:t>Submission Requirements</w:t>
      </w:r>
      <w:r w:rsidR="00B960CA">
        <w:rPr>
          <w:rFonts w:ascii="Times New Roman" w:eastAsia="Times New Roman" w:hAnsi="Times New Roman" w:cs="Times New Roman"/>
          <w:b/>
          <w:i/>
          <w:iCs/>
          <w:sz w:val="24"/>
          <w:szCs w:val="24"/>
        </w:rPr>
        <w:br/>
      </w:r>
      <w:r w:rsidRPr="00381087">
        <w:rPr>
          <w:rFonts w:ascii="Times New Roman" w:eastAsia="Times New Roman" w:hAnsi="Times New Roman" w:cs="Times New Roman"/>
          <w:b/>
          <w:i/>
          <w:iCs/>
          <w:sz w:val="24"/>
          <w:szCs w:val="24"/>
        </w:rPr>
        <w:t xml:space="preserve"> </w:t>
      </w:r>
    </w:p>
    <w:p w:rsidR="00AA2897" w:rsidRPr="00AA2897" w:rsidRDefault="00AA2897" w:rsidP="00C94FEE">
      <w:pPr>
        <w:ind w:left="0"/>
        <w:rPr>
          <w:color w:val="0563C1" w:themeColor="hyperlink"/>
          <w:u w:val="single"/>
        </w:rPr>
      </w:pPr>
      <w:r w:rsidRPr="00381087">
        <w:t xml:space="preserve">Completed application materials must be emailed to </w:t>
      </w:r>
      <w:hyperlink r:id="rId14" w:history="1">
        <w:r w:rsidRPr="00381087">
          <w:rPr>
            <w:rStyle w:val="Hyperlink"/>
          </w:rPr>
          <w:t>ronnie.reichgelt@illinois.gov</w:t>
        </w:r>
      </w:hyperlink>
      <w:r w:rsidRPr="00381087">
        <w:t xml:space="preserve"> by </w:t>
      </w:r>
      <w:r w:rsidRPr="00AA2897">
        <w:rPr>
          <w:b/>
        </w:rPr>
        <w:t xml:space="preserve">11:59 p.m., </w:t>
      </w:r>
      <w:r w:rsidRPr="00C94FEE">
        <w:rPr>
          <w:b/>
        </w:rPr>
        <w:t>J</w:t>
      </w:r>
      <w:r w:rsidR="00B72FF8">
        <w:rPr>
          <w:b/>
        </w:rPr>
        <w:t>uly 0</w:t>
      </w:r>
      <w:r w:rsidR="003D626B">
        <w:rPr>
          <w:b/>
        </w:rPr>
        <w:t>1</w:t>
      </w:r>
      <w:r w:rsidRPr="00C94FEE">
        <w:rPr>
          <w:b/>
        </w:rPr>
        <w:t>, 201</w:t>
      </w:r>
      <w:r w:rsidR="003D626B">
        <w:rPr>
          <w:b/>
        </w:rPr>
        <w:t>9</w:t>
      </w:r>
      <w:r w:rsidRPr="00C94FEE">
        <w:rPr>
          <w:b/>
        </w:rPr>
        <w:t>,</w:t>
      </w:r>
      <w:r w:rsidRPr="00381087">
        <w:t xml:space="preserve"> to be considered for funding.  Proposals will not be accepted by mail, fax, or in-person. Incomplete applications will not be reviewed. Late submissions will not be reviewed.</w:t>
      </w:r>
    </w:p>
    <w:p w:rsidR="006609F1" w:rsidRPr="00381087" w:rsidRDefault="006609F1" w:rsidP="006609F1">
      <w:pPr>
        <w:ind w:left="0"/>
      </w:pPr>
    </w:p>
    <w:p w:rsidR="006609F1" w:rsidRPr="00381087" w:rsidRDefault="006609F1" w:rsidP="006057F6">
      <w:pPr>
        <w:pStyle w:val="ListParagraph"/>
        <w:widowControl/>
        <w:numPr>
          <w:ilvl w:val="0"/>
          <w:numId w:val="6"/>
        </w:numPr>
        <w:spacing w:line="276" w:lineRule="auto"/>
        <w:jc w:val="left"/>
      </w:pPr>
      <w:r w:rsidRPr="00381087">
        <w:rPr>
          <w:rFonts w:ascii="Times New Roman" w:eastAsia="Times New Roman" w:hAnsi="Times New Roman" w:cs="Times New Roman"/>
          <w:b/>
          <w:i/>
          <w:iCs/>
          <w:sz w:val="24"/>
          <w:szCs w:val="24"/>
        </w:rPr>
        <w:t>Intergovernmental Review</w:t>
      </w:r>
    </w:p>
    <w:p w:rsidR="006609F1" w:rsidRPr="00381087" w:rsidRDefault="00B960CA" w:rsidP="006609F1">
      <w:pPr>
        <w:ind w:left="360"/>
      </w:pPr>
      <w:r>
        <w:br/>
      </w:r>
      <w:r w:rsidR="006609F1" w:rsidRPr="00381087">
        <w:lastRenderedPageBreak/>
        <w:t xml:space="preserve">Not applicable. </w:t>
      </w:r>
    </w:p>
    <w:p w:rsidR="006609F1" w:rsidRPr="00381087" w:rsidRDefault="006609F1" w:rsidP="006609F1">
      <w:pPr>
        <w:ind w:left="360"/>
      </w:pPr>
    </w:p>
    <w:p w:rsidR="006609F1" w:rsidRPr="00381087" w:rsidRDefault="006609F1" w:rsidP="006057F6">
      <w:pPr>
        <w:pStyle w:val="ListParagraph"/>
        <w:widowControl/>
        <w:numPr>
          <w:ilvl w:val="0"/>
          <w:numId w:val="6"/>
        </w:numPr>
        <w:spacing w:line="276" w:lineRule="auto"/>
        <w:jc w:val="left"/>
      </w:pPr>
      <w:r w:rsidRPr="00381087">
        <w:rPr>
          <w:rFonts w:ascii="Times New Roman" w:eastAsia="Times New Roman" w:hAnsi="Times New Roman" w:cs="Times New Roman"/>
          <w:b/>
          <w:i/>
          <w:iCs/>
          <w:sz w:val="24"/>
          <w:szCs w:val="24"/>
        </w:rPr>
        <w:t>Funding Descriptions</w:t>
      </w:r>
    </w:p>
    <w:p w:rsidR="006609F1" w:rsidRPr="00381087" w:rsidRDefault="006609F1" w:rsidP="006609F1">
      <w:pPr>
        <w:keepLines/>
        <w:tabs>
          <w:tab w:val="left" w:pos="450"/>
        </w:tabs>
        <w:ind w:left="360"/>
        <w:rPr>
          <w:b/>
        </w:rPr>
      </w:pPr>
    </w:p>
    <w:p w:rsidR="006609F1" w:rsidRPr="00381087" w:rsidRDefault="006609F1" w:rsidP="006609F1">
      <w:pPr>
        <w:ind w:left="0"/>
        <w:rPr>
          <w:u w:val="single"/>
        </w:rPr>
      </w:pPr>
      <w:r w:rsidRPr="00381087">
        <w:rPr>
          <w:u w:val="single"/>
        </w:rPr>
        <w:t>Supplanting</w:t>
      </w:r>
    </w:p>
    <w:p w:rsidR="006609F1" w:rsidRPr="00381087" w:rsidRDefault="006609F1" w:rsidP="006609F1">
      <w:pPr>
        <w:ind w:left="0"/>
      </w:pPr>
    </w:p>
    <w:p w:rsidR="006609F1" w:rsidRPr="00381087" w:rsidRDefault="006609F1" w:rsidP="006609F1">
      <w:pPr>
        <w:ind w:left="0"/>
      </w:pPr>
      <w:r w:rsidRPr="00381087">
        <w:t xml:space="preserve">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 </w:t>
      </w:r>
    </w:p>
    <w:p w:rsidR="006609F1" w:rsidRPr="00381087" w:rsidRDefault="006609F1" w:rsidP="006609F1">
      <w:pPr>
        <w:tabs>
          <w:tab w:val="left" w:pos="360"/>
        </w:tabs>
        <w:ind w:left="0" w:right="144"/>
        <w:jc w:val="both"/>
      </w:pPr>
    </w:p>
    <w:p w:rsidR="006609F1" w:rsidRPr="00381087" w:rsidRDefault="006609F1" w:rsidP="006609F1">
      <w:pPr>
        <w:tabs>
          <w:tab w:val="left" w:pos="360"/>
        </w:tabs>
        <w:ind w:left="0" w:right="144"/>
      </w:pPr>
      <w:r w:rsidRPr="00381087">
        <w:t xml:space="preserve">See the DOJ Grants Financial Guide (Part II, Chapter 3) at: </w:t>
      </w:r>
      <w:hyperlink r:id="rId15">
        <w:r w:rsidRPr="00381087">
          <w:rPr>
            <w:color w:val="0563C1"/>
            <w:u w:val="single"/>
          </w:rPr>
          <w:t>http://ojp.gov/financialguide/DOJ/pdfs/2015_DOJ_FinancialGuide.pdf</w:t>
        </w:r>
      </w:hyperlink>
    </w:p>
    <w:p w:rsidR="006609F1" w:rsidRPr="00381087" w:rsidRDefault="00AC19C8" w:rsidP="006609F1">
      <w:hyperlink r:id="rId16"/>
    </w:p>
    <w:p w:rsidR="006609F1" w:rsidRPr="00730A58" w:rsidRDefault="006609F1" w:rsidP="006057F6">
      <w:pPr>
        <w:pStyle w:val="ListParagraph"/>
        <w:widowControl/>
        <w:numPr>
          <w:ilvl w:val="0"/>
          <w:numId w:val="8"/>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Application Review Information</w:t>
      </w:r>
    </w:p>
    <w:p w:rsidR="006609F1" w:rsidRPr="00381087" w:rsidRDefault="0058060E" w:rsidP="0058060E">
      <w:pPr>
        <w:spacing w:line="276" w:lineRule="auto"/>
        <w:ind w:left="0"/>
        <w:contextualSpacing/>
      </w:pPr>
      <w:r>
        <w:rPr>
          <w:b/>
          <w:i/>
        </w:rPr>
        <w:t xml:space="preserve">1. </w:t>
      </w:r>
      <w:r w:rsidR="006609F1" w:rsidRPr="00381087">
        <w:rPr>
          <w:b/>
          <w:i/>
        </w:rPr>
        <w:t>Review Process</w:t>
      </w:r>
      <w:r w:rsidR="00F03C31">
        <w:rPr>
          <w:b/>
          <w:i/>
        </w:rPr>
        <w:t xml:space="preserve"> and Criteria</w:t>
      </w:r>
      <w:r w:rsidR="00B960CA">
        <w:rPr>
          <w:b/>
          <w:i/>
        </w:rPr>
        <w:br/>
      </w:r>
      <w:r w:rsidR="006609F1" w:rsidRPr="00381087">
        <w:t xml:space="preserve"> </w:t>
      </w:r>
    </w:p>
    <w:p w:rsidR="00730A58" w:rsidRDefault="00730A58" w:rsidP="00730A58">
      <w:pPr>
        <w:ind w:left="0"/>
      </w:pPr>
      <w:r>
        <w:t>The a</w:t>
      </w:r>
      <w:r w:rsidRPr="00381087">
        <w:t>pplication will be screened for</w:t>
      </w:r>
      <w:r w:rsidR="00C35A77">
        <w:t xml:space="preserve"> completion of</w:t>
      </w:r>
      <w:r w:rsidRPr="00381087">
        <w:t xml:space="preserve"> </w:t>
      </w:r>
      <w:r w:rsidR="00C35A77">
        <w:t>GATA pre</w:t>
      </w:r>
      <w:r w:rsidR="00742923">
        <w:t>-</w:t>
      </w:r>
      <w:r w:rsidR="00C35A77">
        <w:t xml:space="preserve">qualification </w:t>
      </w:r>
      <w:r w:rsidR="00C35A77" w:rsidRPr="00381087">
        <w:t xml:space="preserve">for </w:t>
      </w:r>
      <w:r w:rsidR="00BC6D75">
        <w:t>S</w:t>
      </w:r>
      <w:r w:rsidR="00C35A77" w:rsidRPr="00381087">
        <w:t xml:space="preserve">tate </w:t>
      </w:r>
      <w:r w:rsidR="00BC6D75">
        <w:t>F</w:t>
      </w:r>
      <w:r w:rsidR="00C35A77" w:rsidRPr="00381087">
        <w:t xml:space="preserve">iscal </w:t>
      </w:r>
      <w:r w:rsidR="00BC6D75">
        <w:t>Y</w:t>
      </w:r>
      <w:r w:rsidR="00C35A77" w:rsidRPr="00381087">
        <w:t>ear</w:t>
      </w:r>
      <w:r w:rsidR="00341B1E">
        <w:t xml:space="preserve"> 2019</w:t>
      </w:r>
      <w:r w:rsidR="00C35A77">
        <w:t>.</w:t>
      </w:r>
      <w:r w:rsidRPr="00381087">
        <w:t xml:space="preserve"> </w:t>
      </w:r>
      <w:r>
        <w:t xml:space="preserve">If it </w:t>
      </w:r>
      <w:r w:rsidRPr="00381087">
        <w:t>pass</w:t>
      </w:r>
      <w:r>
        <w:t>es</w:t>
      </w:r>
      <w:r w:rsidRPr="00381087">
        <w:t xml:space="preserve"> the GATA prequalification process</w:t>
      </w:r>
      <w:r>
        <w:t>, the application</w:t>
      </w:r>
      <w:r w:rsidRPr="00381087">
        <w:t xml:space="preserve"> will be reviewed by a panel of ICJIA staff for appropriate programming</w:t>
      </w:r>
      <w:r w:rsidR="00C35A77">
        <w:t xml:space="preserve"> and budgeted expenses</w:t>
      </w:r>
      <w:r w:rsidRPr="00381087">
        <w:t xml:space="preserve">, reasonableness, allocability and allowability. </w:t>
      </w:r>
      <w:r>
        <w:t>The applicant</w:t>
      </w:r>
      <w:r w:rsidRPr="00381087">
        <w:t xml:space="preserve"> must provide complete, clear and detailed responses to program narrative questions and include all mandatory </w:t>
      </w:r>
      <w:r>
        <w:t xml:space="preserve">program </w:t>
      </w:r>
      <w:r w:rsidR="004420C9">
        <w:t>elements</w:t>
      </w:r>
      <w:r w:rsidRPr="00381087">
        <w:t>.</w:t>
      </w:r>
      <w:r>
        <w:t xml:space="preserve">  An application that fails</w:t>
      </w:r>
      <w:r w:rsidRPr="00381087">
        <w:t xml:space="preserve"> to include required information or mandatory elements, or contain</w:t>
      </w:r>
      <w:r>
        <w:t>s</w:t>
      </w:r>
      <w:r w:rsidRPr="00381087">
        <w:t xml:space="preserve"> unallowable or unreasonable costs </w:t>
      </w:r>
      <w:r w:rsidR="007564C0">
        <w:t>may</w:t>
      </w:r>
      <w:r w:rsidR="007564C0" w:rsidRPr="00381087">
        <w:t xml:space="preserve"> </w:t>
      </w:r>
      <w:r w:rsidRPr="00381087">
        <w:t xml:space="preserve">be subject to revision before agreement </w:t>
      </w:r>
      <w:r>
        <w:t>execution</w:t>
      </w:r>
      <w:r w:rsidR="00374321">
        <w:t xml:space="preserve"> </w:t>
      </w:r>
      <w:r w:rsidR="007564C0">
        <w:t>or</w:t>
      </w:r>
      <w:r w:rsidR="009A1F49">
        <w:t xml:space="preserve"> </w:t>
      </w:r>
      <w:r w:rsidR="00374321">
        <w:t>denied funding</w:t>
      </w:r>
      <w:r>
        <w:t>.</w:t>
      </w:r>
      <w:r w:rsidR="00FF1462">
        <w:t xml:space="preserve"> </w:t>
      </w:r>
    </w:p>
    <w:p w:rsidR="00730A58" w:rsidRDefault="00730A58" w:rsidP="00730A58">
      <w:pPr>
        <w:ind w:left="0"/>
      </w:pPr>
    </w:p>
    <w:p w:rsidR="00F03C31" w:rsidRPr="00434833" w:rsidRDefault="00F03C31" w:rsidP="00F03C31">
      <w:pPr>
        <w:ind w:left="0"/>
        <w:rPr>
          <w:b/>
          <w:i/>
        </w:rPr>
      </w:pPr>
      <w:r w:rsidRPr="0058060E">
        <w:rPr>
          <w:b/>
          <w:i/>
        </w:rPr>
        <w:t>2.</w:t>
      </w:r>
      <w:r w:rsidRPr="00434833">
        <w:rPr>
          <w:b/>
          <w:i/>
        </w:rPr>
        <w:t xml:space="preserve"> Debriefing Process</w:t>
      </w:r>
    </w:p>
    <w:p w:rsidR="00F03C31" w:rsidRPr="00434833" w:rsidRDefault="00F03C31" w:rsidP="00F03C31">
      <w:pPr>
        <w:ind w:left="0"/>
      </w:pPr>
    </w:p>
    <w:p w:rsidR="00F03C31" w:rsidRPr="00434833" w:rsidRDefault="00E53371" w:rsidP="00F03C31">
      <w:pPr>
        <w:ind w:left="0"/>
      </w:pPr>
      <w:r w:rsidRPr="00434833">
        <w:t>An u</w:t>
      </w:r>
      <w:r w:rsidR="00F03C31" w:rsidRPr="00434833">
        <w:t xml:space="preserve">nsuccessful applicant may request a debriefing. A debriefing is written feedback that can assist </w:t>
      </w:r>
      <w:r w:rsidRPr="00434833">
        <w:t xml:space="preserve">the </w:t>
      </w:r>
      <w:r w:rsidR="00F03C31" w:rsidRPr="00434833">
        <w:t xml:space="preserve">applicant in developing improved applications for future funding. A debriefing may include strengths and weaknesses of an application in terms of the evaluation and review criteria. </w:t>
      </w:r>
    </w:p>
    <w:p w:rsidR="00F03C31" w:rsidRPr="00434833" w:rsidRDefault="00F03C31" w:rsidP="00F03C31">
      <w:pPr>
        <w:pStyle w:val="ListParagraph"/>
        <w:rPr>
          <w:rFonts w:ascii="Times New Roman" w:hAnsi="Times New Roman" w:cs="Times New Roman"/>
          <w:sz w:val="24"/>
          <w:szCs w:val="24"/>
        </w:rPr>
      </w:pPr>
    </w:p>
    <w:p w:rsidR="00F03C31" w:rsidRPr="00434833" w:rsidRDefault="00F03C31" w:rsidP="00F03C31">
      <w:pPr>
        <w:ind w:left="0"/>
      </w:pPr>
      <w:r w:rsidRPr="00434833">
        <w:t xml:space="preserve">Requests for debriefings must be made in writing and submitted within seven (7) calendar days after receipt of a Funding Opportunity Declination Letter from ICJIA. The written </w:t>
      </w:r>
      <w:r w:rsidRPr="00434833">
        <w:lastRenderedPageBreak/>
        <w:t>debriefing request shall include at a minimum the following:</w:t>
      </w:r>
    </w:p>
    <w:p w:rsidR="00F03C31" w:rsidRPr="00434833" w:rsidRDefault="00F03C31" w:rsidP="00F03C31">
      <w:pPr>
        <w:pStyle w:val="ListParagraph"/>
        <w:rPr>
          <w:rFonts w:ascii="Times New Roman" w:hAnsi="Times New Roman" w:cs="Times New Roman"/>
          <w:sz w:val="24"/>
          <w:szCs w:val="24"/>
        </w:rPr>
      </w:pPr>
    </w:p>
    <w:p w:rsidR="00F03C31" w:rsidRPr="00434833" w:rsidRDefault="00F03C31" w:rsidP="006057F6">
      <w:pPr>
        <w:pStyle w:val="ListParagraph"/>
        <w:widowControl/>
        <w:numPr>
          <w:ilvl w:val="3"/>
          <w:numId w:val="10"/>
        </w:numPr>
        <w:ind w:left="720"/>
        <w:jc w:val="left"/>
        <w:rPr>
          <w:rFonts w:ascii="Times New Roman" w:hAnsi="Times New Roman" w:cs="Times New Roman"/>
          <w:sz w:val="24"/>
          <w:szCs w:val="24"/>
        </w:rPr>
      </w:pPr>
      <w:r w:rsidRPr="00434833">
        <w:rPr>
          <w:rFonts w:ascii="Times New Roman" w:hAnsi="Times New Roman" w:cs="Times New Roman"/>
          <w:sz w:val="24"/>
          <w:szCs w:val="24"/>
        </w:rPr>
        <w:t>The name and address of the requesting party.</w:t>
      </w:r>
    </w:p>
    <w:p w:rsidR="00F03C31" w:rsidRPr="00434833" w:rsidRDefault="00F03C31" w:rsidP="006057F6">
      <w:pPr>
        <w:pStyle w:val="ListParagraph"/>
        <w:widowControl/>
        <w:numPr>
          <w:ilvl w:val="3"/>
          <w:numId w:val="10"/>
        </w:numPr>
        <w:ind w:left="720"/>
        <w:jc w:val="left"/>
        <w:rPr>
          <w:rFonts w:ascii="Times New Roman" w:hAnsi="Times New Roman" w:cs="Times New Roman"/>
          <w:sz w:val="24"/>
          <w:szCs w:val="24"/>
        </w:rPr>
      </w:pPr>
      <w:r w:rsidRPr="00434833">
        <w:rPr>
          <w:rFonts w:ascii="Times New Roman" w:hAnsi="Times New Roman" w:cs="Times New Roman"/>
          <w:sz w:val="24"/>
          <w:szCs w:val="24"/>
        </w:rPr>
        <w:t>Identification of grant program.</w:t>
      </w:r>
    </w:p>
    <w:p w:rsidR="00F03C31" w:rsidRPr="00434833" w:rsidRDefault="00F03C31" w:rsidP="006057F6">
      <w:pPr>
        <w:pStyle w:val="ListParagraph"/>
        <w:widowControl/>
        <w:numPr>
          <w:ilvl w:val="3"/>
          <w:numId w:val="10"/>
        </w:numPr>
        <w:ind w:left="720"/>
        <w:jc w:val="left"/>
        <w:rPr>
          <w:rFonts w:ascii="Times New Roman" w:hAnsi="Times New Roman" w:cs="Times New Roman"/>
          <w:sz w:val="24"/>
          <w:szCs w:val="24"/>
        </w:rPr>
      </w:pPr>
      <w:r w:rsidRPr="00434833">
        <w:rPr>
          <w:rFonts w:ascii="Times New Roman" w:hAnsi="Times New Roman" w:cs="Times New Roman"/>
          <w:sz w:val="24"/>
          <w:szCs w:val="24"/>
        </w:rPr>
        <w:t>Reasons for the debrief request.</w:t>
      </w:r>
    </w:p>
    <w:p w:rsidR="00F03C31" w:rsidRPr="00434833" w:rsidRDefault="00F03C31" w:rsidP="00F03C31">
      <w:pPr>
        <w:ind w:left="0"/>
      </w:pPr>
    </w:p>
    <w:p w:rsidR="00F03C31" w:rsidRDefault="00F03C31" w:rsidP="00F03C31">
      <w:pPr>
        <w:ind w:left="0"/>
      </w:pPr>
      <w:r w:rsidRPr="00434833">
        <w:t xml:space="preserve">Please email debriefing requests to: </w:t>
      </w:r>
    </w:p>
    <w:p w:rsidR="00C91CA2" w:rsidRPr="00434833" w:rsidRDefault="00C91CA2" w:rsidP="00F03C31">
      <w:pPr>
        <w:ind w:left="0"/>
      </w:pPr>
    </w:p>
    <w:p w:rsidR="00F03C31" w:rsidRPr="00434833" w:rsidRDefault="00F03C31" w:rsidP="00F03C31">
      <w:pPr>
        <w:ind w:left="0"/>
      </w:pPr>
      <w:r w:rsidRPr="00434833">
        <w:t>Ronnie J</w:t>
      </w:r>
      <w:r w:rsidR="00341B1E">
        <w:t>.</w:t>
      </w:r>
      <w:r w:rsidRPr="00434833">
        <w:t xml:space="preserve"> Reichgelt, </w:t>
      </w:r>
    </w:p>
    <w:p w:rsidR="00F03C31" w:rsidRPr="00434833" w:rsidRDefault="00F03C31" w:rsidP="00F03C31">
      <w:pPr>
        <w:ind w:left="0"/>
      </w:pPr>
      <w:r w:rsidRPr="00434833">
        <w:t>Victim Services Programs Administrator</w:t>
      </w:r>
    </w:p>
    <w:p w:rsidR="00F03C31" w:rsidRPr="00434833" w:rsidRDefault="00F03C31" w:rsidP="00F03C31">
      <w:pPr>
        <w:pStyle w:val="ListParagraph"/>
        <w:ind w:left="0"/>
        <w:rPr>
          <w:rFonts w:ascii="Times New Roman" w:hAnsi="Times New Roman" w:cs="Times New Roman"/>
          <w:sz w:val="24"/>
          <w:szCs w:val="24"/>
        </w:rPr>
      </w:pPr>
      <w:r w:rsidRPr="00434833">
        <w:rPr>
          <w:rFonts w:ascii="Times New Roman" w:hAnsi="Times New Roman" w:cs="Times New Roman"/>
          <w:sz w:val="24"/>
          <w:szCs w:val="24"/>
        </w:rPr>
        <w:t>Illinois Criminal Justice Information Authority</w:t>
      </w:r>
    </w:p>
    <w:p w:rsidR="00F03C31" w:rsidRPr="00434833" w:rsidRDefault="00AC19C8" w:rsidP="00F03C31">
      <w:pPr>
        <w:ind w:left="0"/>
      </w:pPr>
      <w:hyperlink r:id="rId17" w:history="1">
        <w:r w:rsidR="00F03C31" w:rsidRPr="00434833">
          <w:rPr>
            <w:rStyle w:val="Hyperlink"/>
          </w:rPr>
          <w:t>cja.vocagrantsunit@illinois.gov</w:t>
        </w:r>
      </w:hyperlink>
    </w:p>
    <w:p w:rsidR="00F03C31" w:rsidRPr="00434833" w:rsidRDefault="00F03C31" w:rsidP="00F03C31">
      <w:pPr>
        <w:ind w:left="360" w:hanging="360"/>
        <w:jc w:val="both"/>
        <w:rPr>
          <w:b/>
          <w:i/>
        </w:rPr>
      </w:pPr>
      <w:r w:rsidRPr="00434833">
        <w:rPr>
          <w:b/>
          <w:i/>
        </w:rPr>
        <w:tab/>
      </w:r>
    </w:p>
    <w:p w:rsidR="006609F1" w:rsidRPr="00381087" w:rsidRDefault="00F03C31" w:rsidP="002E0B9D">
      <w:pPr>
        <w:ind w:left="360" w:hanging="360"/>
        <w:rPr>
          <w:b/>
          <w:i/>
        </w:rPr>
      </w:pPr>
      <w:r w:rsidRPr="0058060E">
        <w:rPr>
          <w:b/>
          <w:i/>
        </w:rPr>
        <w:t>3</w:t>
      </w:r>
      <w:r w:rsidR="0058060E" w:rsidRPr="0058060E">
        <w:rPr>
          <w:b/>
          <w:i/>
        </w:rPr>
        <w:t>.</w:t>
      </w:r>
      <w:r w:rsidR="002E0B9D">
        <w:rPr>
          <w:i/>
        </w:rPr>
        <w:t xml:space="preserve"> </w:t>
      </w:r>
      <w:r w:rsidR="006609F1" w:rsidRPr="00381087">
        <w:rPr>
          <w:b/>
          <w:i/>
        </w:rPr>
        <w:t>Programmatic Risk</w:t>
      </w:r>
      <w:r w:rsidR="00B960CA">
        <w:rPr>
          <w:b/>
          <w:i/>
        </w:rPr>
        <w:br/>
      </w:r>
    </w:p>
    <w:p w:rsidR="00730A58" w:rsidRPr="00381087" w:rsidRDefault="00730A58" w:rsidP="00730A58">
      <w:pPr>
        <w:ind w:left="0"/>
      </w:pPr>
      <w:r>
        <w:t>The</w:t>
      </w:r>
      <w:r w:rsidRPr="00381087">
        <w:t xml:space="preserve"> applicant will be required to submit a completed ICJIA Programmatic Risk Assessment (PRA). This assessment will identify elements of fiscal and administrative risk at the applicant agency level and will be used to determine required specific conditions to the </w:t>
      </w:r>
      <w:r>
        <w:t>grant</w:t>
      </w:r>
      <w:r w:rsidRPr="00381087">
        <w:t xml:space="preserve"> agreement.  </w:t>
      </w:r>
    </w:p>
    <w:p w:rsidR="006609F1" w:rsidRPr="00381087" w:rsidRDefault="006609F1" w:rsidP="006609F1">
      <w:pPr>
        <w:spacing w:line="276" w:lineRule="auto"/>
        <w:ind w:left="0"/>
      </w:pPr>
    </w:p>
    <w:p w:rsidR="006609F1" w:rsidRPr="00381087" w:rsidRDefault="002E0B9D" w:rsidP="00C94FEE">
      <w:pPr>
        <w:pStyle w:val="ListParagraph"/>
        <w:widowControl/>
        <w:spacing w:line="276" w:lineRule="auto"/>
        <w:ind w:left="0"/>
        <w:jc w:val="left"/>
      </w:pPr>
      <w:r>
        <w:rPr>
          <w:rFonts w:ascii="Times New Roman" w:eastAsia="Times New Roman" w:hAnsi="Times New Roman" w:cs="Times New Roman"/>
          <w:b/>
          <w:i/>
          <w:sz w:val="24"/>
          <w:szCs w:val="24"/>
        </w:rPr>
        <w:t>4</w:t>
      </w:r>
      <w:r w:rsidR="00AA2897">
        <w:rPr>
          <w:rFonts w:ascii="Times New Roman" w:eastAsia="Times New Roman" w:hAnsi="Times New Roman" w:cs="Times New Roman"/>
          <w:b/>
          <w:i/>
          <w:sz w:val="24"/>
          <w:szCs w:val="24"/>
        </w:rPr>
        <w:t xml:space="preserve">. </w:t>
      </w:r>
      <w:r w:rsidR="006609F1" w:rsidRPr="00381087">
        <w:rPr>
          <w:rFonts w:ascii="Times New Roman" w:eastAsia="Times New Roman" w:hAnsi="Times New Roman" w:cs="Times New Roman"/>
          <w:b/>
          <w:i/>
          <w:sz w:val="24"/>
          <w:szCs w:val="24"/>
        </w:rPr>
        <w:t>Anticipated Announcement and State Award Dates</w:t>
      </w:r>
      <w:r w:rsidR="00B960CA">
        <w:rPr>
          <w:rFonts w:ascii="Times New Roman" w:eastAsia="Times New Roman" w:hAnsi="Times New Roman" w:cs="Times New Roman"/>
          <w:b/>
          <w:i/>
          <w:sz w:val="24"/>
          <w:szCs w:val="24"/>
        </w:rPr>
        <w:br/>
      </w:r>
      <w:r w:rsidR="006609F1" w:rsidRPr="00381087">
        <w:rPr>
          <w:rFonts w:ascii="Times New Roman" w:eastAsia="Times New Roman" w:hAnsi="Times New Roman" w:cs="Times New Roman"/>
          <w:b/>
          <w:i/>
          <w:sz w:val="24"/>
          <w:szCs w:val="24"/>
        </w:rPr>
        <w:t xml:space="preserve"> </w:t>
      </w:r>
    </w:p>
    <w:p w:rsidR="006609F1" w:rsidRPr="00381087" w:rsidRDefault="006609F1" w:rsidP="006609F1">
      <w:pPr>
        <w:spacing w:line="276" w:lineRule="auto"/>
      </w:pPr>
      <w:r w:rsidRPr="00381087">
        <w:rPr>
          <w:u w:val="single"/>
        </w:rPr>
        <w:t>Milestones</w:t>
      </w:r>
      <w:r w:rsidRPr="00381087">
        <w:tab/>
      </w:r>
      <w:r w:rsidRPr="00381087">
        <w:tab/>
      </w:r>
      <w:r w:rsidRPr="00381087">
        <w:tab/>
      </w:r>
      <w:r w:rsidRPr="00381087">
        <w:tab/>
      </w:r>
      <w:r w:rsidRPr="00381087">
        <w:tab/>
      </w:r>
      <w:r w:rsidRPr="00381087">
        <w:tab/>
      </w:r>
      <w:r w:rsidRPr="00381087">
        <w:rPr>
          <w:u w:val="single"/>
        </w:rPr>
        <w:t>Target Date</w:t>
      </w:r>
    </w:p>
    <w:p w:rsidR="006609F1" w:rsidRPr="00381087" w:rsidRDefault="006609F1" w:rsidP="006609F1">
      <w:pPr>
        <w:spacing w:line="276" w:lineRule="auto"/>
      </w:pPr>
      <w:r w:rsidRPr="00381087">
        <w:t>Release of NOFO</w:t>
      </w:r>
      <w:r w:rsidRPr="00381087">
        <w:tab/>
      </w:r>
      <w:r w:rsidRPr="00381087">
        <w:tab/>
      </w:r>
      <w:r w:rsidRPr="00381087">
        <w:tab/>
      </w:r>
      <w:r w:rsidRPr="00381087">
        <w:tab/>
      </w:r>
      <w:r w:rsidRPr="00381087">
        <w:tab/>
      </w:r>
      <w:r w:rsidR="003D626B">
        <w:t>May 24</w:t>
      </w:r>
      <w:r w:rsidR="007E7E80">
        <w:t>, 201</w:t>
      </w:r>
      <w:r w:rsidR="003D626B">
        <w:t>9</w:t>
      </w:r>
    </w:p>
    <w:p w:rsidR="006609F1" w:rsidRPr="00381087" w:rsidRDefault="006609F1" w:rsidP="006609F1">
      <w:pPr>
        <w:spacing w:line="276" w:lineRule="auto"/>
      </w:pPr>
      <w:r w:rsidRPr="00381087">
        <w:t>Application Closes</w:t>
      </w:r>
      <w:r w:rsidRPr="00381087">
        <w:tab/>
      </w:r>
      <w:r w:rsidRPr="00381087">
        <w:tab/>
      </w:r>
      <w:r w:rsidRPr="00381087">
        <w:tab/>
      </w:r>
      <w:r w:rsidRPr="00381087">
        <w:tab/>
      </w:r>
      <w:r w:rsidRPr="00381087">
        <w:tab/>
      </w:r>
      <w:r w:rsidR="007E7E80">
        <w:t>J</w:t>
      </w:r>
      <w:r w:rsidR="00B72FF8">
        <w:t>uly 0</w:t>
      </w:r>
      <w:r w:rsidR="003D626B">
        <w:t>1</w:t>
      </w:r>
      <w:r w:rsidRPr="00381087">
        <w:t>, 201</w:t>
      </w:r>
      <w:r w:rsidR="003D626B">
        <w:t>9</w:t>
      </w:r>
    </w:p>
    <w:p w:rsidR="006609F1" w:rsidRPr="00381087" w:rsidRDefault="006609F1" w:rsidP="006609F1">
      <w:pPr>
        <w:spacing w:line="276" w:lineRule="auto"/>
      </w:pPr>
      <w:r w:rsidRPr="00381087">
        <w:t>Authority Budget Committee Meeting</w:t>
      </w:r>
      <w:r w:rsidRPr="00381087">
        <w:tab/>
      </w:r>
      <w:r w:rsidRPr="00381087">
        <w:tab/>
      </w:r>
      <w:r w:rsidR="007E7E80">
        <w:t xml:space="preserve">August </w:t>
      </w:r>
      <w:r w:rsidRPr="00381087">
        <w:t>201</w:t>
      </w:r>
      <w:r w:rsidR="003D626B">
        <w:t>9</w:t>
      </w:r>
      <w:r w:rsidRPr="00381087">
        <w:tab/>
      </w:r>
    </w:p>
    <w:p w:rsidR="006609F1" w:rsidRPr="00381087" w:rsidRDefault="006609F1" w:rsidP="006609F1">
      <w:pPr>
        <w:spacing w:line="276" w:lineRule="auto"/>
      </w:pPr>
      <w:r w:rsidRPr="00381087">
        <w:t>Start Program Performance Period</w:t>
      </w:r>
      <w:r w:rsidRPr="00381087">
        <w:tab/>
      </w:r>
      <w:r w:rsidRPr="00381087">
        <w:tab/>
      </w:r>
      <w:r w:rsidRPr="00381087">
        <w:tab/>
      </w:r>
      <w:r w:rsidR="007E7E80">
        <w:t>September 1</w:t>
      </w:r>
      <w:r w:rsidRPr="00381087">
        <w:t>, 201</w:t>
      </w:r>
      <w:r w:rsidR="003D626B">
        <w:t>9</w:t>
      </w:r>
    </w:p>
    <w:p w:rsidR="00520A1B" w:rsidRPr="00381087" w:rsidRDefault="00520A1B" w:rsidP="00021EE0">
      <w:pPr>
        <w:spacing w:line="276" w:lineRule="auto"/>
        <w:ind w:left="0"/>
      </w:pPr>
    </w:p>
    <w:p w:rsidR="006609F1" w:rsidRPr="007D1A87" w:rsidRDefault="006609F1" w:rsidP="006057F6">
      <w:pPr>
        <w:pStyle w:val="ListParagraph"/>
        <w:widowControl/>
        <w:numPr>
          <w:ilvl w:val="0"/>
          <w:numId w:val="8"/>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Award Administration Information</w:t>
      </w:r>
    </w:p>
    <w:p w:rsidR="00730A58" w:rsidRPr="00381087" w:rsidRDefault="00730A58" w:rsidP="00730A58">
      <w:pPr>
        <w:ind w:left="0"/>
      </w:pPr>
      <w:r w:rsidRPr="00381087">
        <w:t xml:space="preserve">The ICJIA Budget Committee is scheduled to review and approve designations in </w:t>
      </w:r>
      <w:r w:rsidR="007E7E80">
        <w:t xml:space="preserve">August </w:t>
      </w:r>
      <w:r w:rsidRPr="00381087">
        <w:t>201</w:t>
      </w:r>
      <w:r w:rsidR="003D626B">
        <w:t>9</w:t>
      </w:r>
      <w:r w:rsidRPr="00381087">
        <w:t xml:space="preserve">.  </w:t>
      </w:r>
    </w:p>
    <w:p w:rsidR="00730A58" w:rsidRPr="00381087" w:rsidRDefault="00730A58" w:rsidP="00730A58">
      <w:pPr>
        <w:ind w:left="0"/>
        <w:rPr>
          <w:b/>
        </w:rPr>
      </w:pPr>
    </w:p>
    <w:p w:rsidR="006609F1" w:rsidRDefault="00730A58" w:rsidP="006609F1">
      <w:pPr>
        <w:ind w:left="0"/>
      </w:pPr>
      <w:r w:rsidRPr="00381087">
        <w:t xml:space="preserve">ICJIA will provide a Notice of State Award (NOSA) to </w:t>
      </w:r>
      <w:r>
        <w:t>the successful applicant</w:t>
      </w:r>
      <w:r w:rsidRPr="00381087">
        <w:t xml:space="preserve"> after the ICJIA Budget Committee revie</w:t>
      </w:r>
      <w:r>
        <w:t>ws and approves the designation</w:t>
      </w:r>
      <w:r w:rsidRPr="00381087">
        <w:t xml:space="preserve">. </w:t>
      </w:r>
      <w:r w:rsidRPr="00381087" w:rsidDel="005B4A44">
        <w:t xml:space="preserve">No costs incurred before the start date of the agreement may be charged to the grant. </w:t>
      </w:r>
      <w:r w:rsidRPr="00381087">
        <w:t xml:space="preserve">The NOSA will detail specific conditions that will be included in the grant agreement. </w:t>
      </w:r>
      <w:r>
        <w:t>The a</w:t>
      </w:r>
      <w:r w:rsidRPr="00381087">
        <w:t xml:space="preserve">pplicant must return the signed NOSA before the start of the agreement. </w:t>
      </w:r>
    </w:p>
    <w:p w:rsidR="00AA2897" w:rsidRPr="00381087" w:rsidRDefault="00AA2897" w:rsidP="006609F1">
      <w:pPr>
        <w:ind w:left="0"/>
      </w:pPr>
    </w:p>
    <w:p w:rsidR="006609F1" w:rsidRPr="00381087" w:rsidRDefault="006609F1" w:rsidP="006609F1">
      <w:pPr>
        <w:rPr>
          <w:b/>
          <w:i/>
        </w:rPr>
      </w:pPr>
      <w:r w:rsidRPr="00381087">
        <w:rPr>
          <w:b/>
          <w:i/>
        </w:rPr>
        <w:t xml:space="preserve">Administrative and National Policy Requirements </w:t>
      </w:r>
      <w:r w:rsidR="00B960CA">
        <w:rPr>
          <w:b/>
          <w:i/>
        </w:rPr>
        <w:br/>
      </w:r>
    </w:p>
    <w:p w:rsidR="006609F1" w:rsidRPr="00381087" w:rsidRDefault="006609F1" w:rsidP="00C94FEE">
      <w:pPr>
        <w:ind w:left="0"/>
      </w:pPr>
      <w:r w:rsidRPr="00381087">
        <w:t xml:space="preserve">In addition to implementing the funded project consistent with the agency-approved project proposal and budget, </w:t>
      </w:r>
      <w:r w:rsidR="00520A1B">
        <w:t>the applicant</w:t>
      </w:r>
      <w:r w:rsidRPr="00381087">
        <w:t xml:space="preserve"> must comply with applicable grant terms and conditions and other requirements, including, but not limited to</w:t>
      </w:r>
      <w:r w:rsidR="00520A1B">
        <w:t xml:space="preserve"> the</w:t>
      </w:r>
      <w:r w:rsidRPr="00381087">
        <w:t xml:space="preserve"> </w:t>
      </w:r>
      <w:r w:rsidR="0050295A">
        <w:t xml:space="preserve">ICJIA </w:t>
      </w:r>
      <w:r w:rsidRPr="00381087">
        <w:t xml:space="preserve">Policy and Procedure Manual, the Office of Management and Budget Grants Accountability and Transparency Act, and U.S. Department of Justice </w:t>
      </w:r>
      <w:r w:rsidR="00634AAC">
        <w:t xml:space="preserve">Grants Financial Guide and related </w:t>
      </w:r>
      <w:r w:rsidRPr="00381087">
        <w:t xml:space="preserve">regulations which will be included in the award documents, incorporated into the award by reference, or are otherwise applicable to the award. </w:t>
      </w:r>
    </w:p>
    <w:p w:rsidR="006609F1" w:rsidRPr="00381087" w:rsidRDefault="006609F1" w:rsidP="006609F1"/>
    <w:p w:rsidR="006609F1" w:rsidRPr="00381087" w:rsidRDefault="006609F1" w:rsidP="006609F1">
      <w:pPr>
        <w:rPr>
          <w:b/>
          <w:i/>
        </w:rPr>
      </w:pPr>
      <w:r w:rsidRPr="00381087">
        <w:rPr>
          <w:b/>
          <w:i/>
        </w:rPr>
        <w:t xml:space="preserve">Reporting </w:t>
      </w:r>
      <w:r w:rsidR="00B960CA">
        <w:rPr>
          <w:b/>
          <w:i/>
        </w:rPr>
        <w:br/>
      </w:r>
    </w:p>
    <w:p w:rsidR="006609F1" w:rsidRPr="00381087" w:rsidRDefault="006609F1" w:rsidP="00C94FEE">
      <w:pPr>
        <w:ind w:left="0"/>
      </w:pPr>
      <w:r w:rsidRPr="00381087">
        <w:t>Recipients must submit financial reports, progress reports, final financial and progress reports, and, if applicable, an annual audit report in accordance with the CFR Part 200 Uniform Requirements. Future awards and fund drawdowns may be withheld if reports are delinquent.</w:t>
      </w:r>
    </w:p>
    <w:p w:rsidR="006609F1" w:rsidRPr="00381087" w:rsidRDefault="006609F1" w:rsidP="006609F1">
      <w:pPr>
        <w:ind w:left="0"/>
        <w:rPr>
          <w:sz w:val="28"/>
          <w:szCs w:val="28"/>
        </w:rPr>
      </w:pPr>
    </w:p>
    <w:p w:rsidR="006609F1" w:rsidRPr="006877EA" w:rsidRDefault="006609F1" w:rsidP="006057F6">
      <w:pPr>
        <w:pStyle w:val="ListParagraph"/>
        <w:numPr>
          <w:ilvl w:val="0"/>
          <w:numId w:val="8"/>
        </w:numPr>
        <w:jc w:val="left"/>
        <w:rPr>
          <w:rFonts w:ascii="Times New Roman" w:hAnsi="Times New Roman" w:cs="Times New Roman"/>
          <w:b/>
          <w:sz w:val="28"/>
          <w:szCs w:val="28"/>
        </w:rPr>
      </w:pPr>
      <w:r w:rsidRPr="006877EA">
        <w:rPr>
          <w:rFonts w:ascii="Times New Roman" w:hAnsi="Times New Roman" w:cs="Times New Roman"/>
          <w:b/>
          <w:sz w:val="28"/>
          <w:szCs w:val="28"/>
        </w:rPr>
        <w:t>State Awarding Agency Contact(s)</w:t>
      </w:r>
      <w:r w:rsidR="00B960CA" w:rsidRPr="006877EA">
        <w:rPr>
          <w:rFonts w:ascii="Times New Roman" w:hAnsi="Times New Roman" w:cs="Times New Roman"/>
          <w:b/>
          <w:sz w:val="28"/>
          <w:szCs w:val="28"/>
        </w:rPr>
        <w:br/>
      </w:r>
    </w:p>
    <w:p w:rsidR="006609F1" w:rsidRPr="00381087" w:rsidRDefault="006609F1" w:rsidP="00C94FEE">
      <w:pPr>
        <w:ind w:left="0"/>
      </w:pPr>
      <w:r w:rsidRPr="00381087">
        <w:t>For questions and technical assistance regarding submission of an application, contact:</w:t>
      </w:r>
    </w:p>
    <w:p w:rsidR="006609F1" w:rsidRPr="00381087" w:rsidRDefault="006609F1" w:rsidP="006609F1">
      <w:pPr>
        <w:ind w:left="1080" w:firstLine="720"/>
        <w:jc w:val="both"/>
      </w:pPr>
    </w:p>
    <w:p w:rsidR="006609F1" w:rsidRPr="00381087" w:rsidRDefault="006609F1" w:rsidP="00C94FEE">
      <w:pPr>
        <w:ind w:left="0"/>
      </w:pPr>
      <w:r w:rsidRPr="00381087">
        <w:t>Ronnie J</w:t>
      </w:r>
      <w:r w:rsidR="00341B1E">
        <w:t>.</w:t>
      </w:r>
      <w:r w:rsidRPr="00381087">
        <w:t xml:space="preserve"> Reichgelt </w:t>
      </w:r>
    </w:p>
    <w:p w:rsidR="006609F1" w:rsidRPr="00381087" w:rsidRDefault="006609F1" w:rsidP="00C94FEE">
      <w:pPr>
        <w:ind w:left="0"/>
      </w:pPr>
      <w:r w:rsidRPr="00381087">
        <w:t>Victim Services Programs Administrator</w:t>
      </w:r>
    </w:p>
    <w:p w:rsidR="006609F1" w:rsidRPr="00381087" w:rsidRDefault="00AC19C8" w:rsidP="00C94FEE">
      <w:pPr>
        <w:ind w:left="0"/>
      </w:pPr>
      <w:hyperlink r:id="rId18" w:history="1">
        <w:r w:rsidR="00520A1B" w:rsidRPr="00520A1B">
          <w:rPr>
            <w:rStyle w:val="Hyperlink"/>
          </w:rPr>
          <w:t>ronnie.reichgelt@illinois.gov</w:t>
        </w:r>
      </w:hyperlink>
    </w:p>
    <w:p w:rsidR="006609F1" w:rsidRPr="00381087" w:rsidRDefault="006609F1" w:rsidP="00C94FEE">
      <w:pPr>
        <w:ind w:left="0"/>
        <w:jc w:val="both"/>
      </w:pPr>
      <w:r w:rsidRPr="00381087">
        <w:t>312-793-8550</w:t>
      </w:r>
    </w:p>
    <w:p w:rsidR="006609F1" w:rsidRPr="00B960CA" w:rsidRDefault="006609F1" w:rsidP="006609F1">
      <w:pPr>
        <w:ind w:left="1080" w:firstLine="720"/>
        <w:jc w:val="both"/>
      </w:pPr>
    </w:p>
    <w:p w:rsidR="006609F1" w:rsidRPr="00381087" w:rsidRDefault="006609F1" w:rsidP="006057F6">
      <w:pPr>
        <w:pStyle w:val="ListParagraph"/>
        <w:numPr>
          <w:ilvl w:val="0"/>
          <w:numId w:val="8"/>
        </w:numPr>
        <w:jc w:val="left"/>
        <w:rPr>
          <w:rFonts w:ascii="Times New Roman" w:hAnsi="Times New Roman" w:cs="Times New Roman"/>
          <w:b/>
          <w:i/>
          <w:sz w:val="28"/>
          <w:szCs w:val="28"/>
        </w:rPr>
      </w:pPr>
      <w:r w:rsidRPr="006877EA">
        <w:rPr>
          <w:rFonts w:ascii="Times New Roman" w:hAnsi="Times New Roman" w:cs="Times New Roman"/>
          <w:b/>
          <w:sz w:val="28"/>
          <w:szCs w:val="28"/>
        </w:rPr>
        <w:t>Other Information</w:t>
      </w:r>
      <w:r w:rsidR="00B960CA">
        <w:rPr>
          <w:rFonts w:ascii="Times New Roman" w:hAnsi="Times New Roman" w:cs="Times New Roman"/>
          <w:b/>
          <w:i/>
          <w:sz w:val="28"/>
          <w:szCs w:val="28"/>
        </w:rPr>
        <w:br/>
      </w:r>
    </w:p>
    <w:p w:rsidR="007C00B4" w:rsidRPr="009B3C18" w:rsidRDefault="006609F1" w:rsidP="002054CC">
      <w:pPr>
        <w:ind w:left="0"/>
      </w:pPr>
      <w:r w:rsidRPr="00381087">
        <w:t>Neither the State of Illinois nor ICJIA are obligated to make any award as a result of this announcement. The ICJIA Executive Director has sole authority to bind the state government to the expenditure of funds through the execution of interagency grant agreements.</w:t>
      </w:r>
      <w:bookmarkStart w:id="3" w:name="_z0xrnngem4zq" w:colFirst="0" w:colLast="0"/>
      <w:bookmarkEnd w:id="3"/>
    </w:p>
    <w:sectPr w:rsidR="007C00B4" w:rsidRPr="009B3C18">
      <w:footerReference w:type="default" r:id="rId19"/>
      <w:pgSz w:w="12240" w:h="15840"/>
      <w:pgMar w:top="1440" w:right="1440" w:bottom="1440" w:left="189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A42" w:rsidRDefault="001F2A42">
      <w:r>
        <w:separator/>
      </w:r>
    </w:p>
  </w:endnote>
  <w:endnote w:type="continuationSeparator" w:id="0">
    <w:p w:rsidR="001F2A42" w:rsidRDefault="001F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555" w:rsidRDefault="009C0555">
    <w:pPr>
      <w:tabs>
        <w:tab w:val="center" w:pos="4680"/>
        <w:tab w:val="right" w:pos="9360"/>
      </w:tabs>
      <w:spacing w:after="720"/>
      <w:jc w:val="right"/>
    </w:pPr>
    <w:r>
      <w:fldChar w:fldCharType="begin"/>
    </w:r>
    <w:r>
      <w:instrText>PAGE</w:instrText>
    </w:r>
    <w:r>
      <w:fldChar w:fldCharType="separate"/>
    </w:r>
    <w:r w:rsidR="00AC19C8">
      <w:rPr>
        <w:noProof/>
      </w:rPr>
      <w:t>15</w:t>
    </w:r>
    <w:r>
      <w:fldChar w:fldCharType="end"/>
    </w:r>
  </w:p>
  <w:p w:rsidR="009C0555" w:rsidRDefault="009C0555">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A42" w:rsidRDefault="001F2A42">
      <w:r>
        <w:separator/>
      </w:r>
    </w:p>
  </w:footnote>
  <w:footnote w:type="continuationSeparator" w:id="0">
    <w:p w:rsidR="001F2A42" w:rsidRDefault="001F2A42">
      <w:r>
        <w:continuationSeparator/>
      </w:r>
    </w:p>
  </w:footnote>
  <w:footnote w:id="1">
    <w:p w:rsidR="007E6C53" w:rsidRDefault="007E6C53" w:rsidP="007E6C53">
      <w:pPr>
        <w:spacing w:line="276" w:lineRule="auto"/>
        <w:ind w:left="0"/>
        <w:rPr>
          <w:color w:val="1155CC"/>
          <w:u w:val="single"/>
        </w:rPr>
      </w:pPr>
      <w:r>
        <w:rPr>
          <w:rStyle w:val="FootnoteReference"/>
          <w:sz w:val="20"/>
          <w:szCs w:val="20"/>
        </w:rPr>
        <w:footnoteRef/>
      </w:r>
      <w:r>
        <w:rPr>
          <w:sz w:val="20"/>
          <w:szCs w:val="20"/>
        </w:rPr>
        <w:t xml:space="preserve"> Office on Violence Against Women. (2016). </w:t>
      </w:r>
      <w:r>
        <w:rPr>
          <w:i/>
          <w:sz w:val="20"/>
          <w:szCs w:val="20"/>
        </w:rPr>
        <w:t>Domestic Violence.</w:t>
      </w:r>
      <w:r>
        <w:rPr>
          <w:sz w:val="20"/>
          <w:szCs w:val="20"/>
        </w:rPr>
        <w:t xml:space="preserve"> Retrieved from</w:t>
      </w:r>
      <w:hyperlink r:id="rId1" w:history="1">
        <w:r>
          <w:rPr>
            <w:rStyle w:val="Hyperlink"/>
            <w:sz w:val="20"/>
            <w:szCs w:val="20"/>
          </w:rPr>
          <w:t xml:space="preserve"> </w:t>
        </w:r>
      </w:hyperlink>
      <w:r>
        <w:rPr>
          <w:color w:val="1155CC"/>
          <w:sz w:val="20"/>
          <w:szCs w:val="20"/>
          <w:u w:val="single"/>
        </w:rPr>
        <w:t>https://www.justice.gov/ovw/domestic-violence</w:t>
      </w:r>
    </w:p>
  </w:footnote>
  <w:footnote w:id="2">
    <w:p w:rsidR="007E6C53" w:rsidRDefault="007E6C53" w:rsidP="007E6C53">
      <w:pPr>
        <w:ind w:left="0"/>
        <w:contextualSpacing/>
      </w:pPr>
      <w:r>
        <w:rPr>
          <w:rStyle w:val="FootnoteReference"/>
          <w:sz w:val="20"/>
          <w:szCs w:val="20"/>
        </w:rPr>
        <w:footnoteRef/>
      </w:r>
      <w:r>
        <w:rPr>
          <w:sz w:val="20"/>
          <w:szCs w:val="20"/>
        </w:rPr>
        <w:t xml:space="preserve"> Truman, J. L., &amp; Morgan, R. E. (2016). </w:t>
      </w:r>
      <w:r>
        <w:rPr>
          <w:i/>
          <w:sz w:val="20"/>
          <w:szCs w:val="20"/>
        </w:rPr>
        <w:t>Criminal Victimization, 2015</w:t>
      </w:r>
      <w:r>
        <w:rPr>
          <w:sz w:val="20"/>
          <w:szCs w:val="20"/>
        </w:rPr>
        <w:t>. Washington, D.C.: U.S. Department of Justice. Retrieved from https://www.bjs.gov/content/pub/pdf/cv15.pdf</w:t>
      </w:r>
    </w:p>
  </w:footnote>
  <w:footnote w:id="3">
    <w:p w:rsidR="007E6C53" w:rsidRDefault="007E6C53" w:rsidP="007E6C53">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Black, M. C. (2011). Intimate partner violence and adverse health consequences: Implications for clinicians. </w:t>
      </w:r>
      <w:r>
        <w:rPr>
          <w:rFonts w:ascii="Times New Roman" w:hAnsi="Times New Roman" w:cs="Times New Roman"/>
          <w:i/>
        </w:rPr>
        <w:t>American Journal of Lifestyle Medicine,</w:t>
      </w:r>
      <w:r>
        <w:rPr>
          <w:rFonts w:ascii="Times New Roman" w:hAnsi="Times New Roman" w:cs="Times New Roman"/>
        </w:rPr>
        <w:t xml:space="preserve"> </w:t>
      </w:r>
      <w:r>
        <w:rPr>
          <w:rFonts w:ascii="Times New Roman" w:hAnsi="Times New Roman" w:cs="Times New Roman"/>
          <w:i/>
        </w:rPr>
        <w:t>5</w:t>
      </w:r>
      <w:r>
        <w:rPr>
          <w:rFonts w:ascii="Times New Roman" w:hAnsi="Times New Roman" w:cs="Times New Roman"/>
        </w:rPr>
        <w:t xml:space="preserve">(5), 428-439.; Coker, A. L., Davis, K. E., Arias, I., Desai, S., Sanderson, M., Brandt, H. M., &amp; Smith, P. H. (2002). Physical and mental health effects of intimate partner violence for men and women. </w:t>
      </w:r>
      <w:r>
        <w:rPr>
          <w:rFonts w:ascii="Times New Roman" w:hAnsi="Times New Roman" w:cs="Times New Roman"/>
          <w:i/>
        </w:rPr>
        <w:t>American Journal of Preventive Medicine,</w:t>
      </w:r>
      <w:r>
        <w:rPr>
          <w:rFonts w:ascii="Times New Roman" w:hAnsi="Times New Roman" w:cs="Times New Roman"/>
        </w:rPr>
        <w:t xml:space="preserve"> </w:t>
      </w:r>
      <w:r>
        <w:rPr>
          <w:rFonts w:ascii="Times New Roman" w:hAnsi="Times New Roman" w:cs="Times New Roman"/>
          <w:i/>
        </w:rPr>
        <w:t>23</w:t>
      </w:r>
      <w:r>
        <w:rPr>
          <w:rFonts w:ascii="Times New Roman" w:hAnsi="Times New Roman" w:cs="Times New Roman"/>
        </w:rPr>
        <w:t xml:space="preserve">(4), 260–268.; Warshaw, C., Brashler B., &amp; Gil, J. (2009). Mental health consequences of intimate partner violence. In C. Mitchell &amp; D. Anglin (Eds.). </w:t>
      </w:r>
      <w:r>
        <w:rPr>
          <w:rFonts w:ascii="Times New Roman" w:hAnsi="Times New Roman" w:cs="Times New Roman"/>
          <w:i/>
        </w:rPr>
        <w:t>Intimate partner violence: A health- based perspective</w:t>
      </w:r>
      <w:r>
        <w:rPr>
          <w:rFonts w:ascii="Times New Roman" w:hAnsi="Times New Roman" w:cs="Times New Roman"/>
        </w:rPr>
        <w:t xml:space="preserve"> (pp. 147-171). New York: Oxford University Press.</w:t>
      </w:r>
    </w:p>
  </w:footnote>
  <w:footnote w:id="4">
    <w:p w:rsidR="007E6C53" w:rsidRDefault="007E6C53" w:rsidP="007E6C53">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See Warshaw, Brashler, &amp; Gil. (2009).</w:t>
      </w:r>
    </w:p>
  </w:footnote>
  <w:footnote w:id="5">
    <w:p w:rsidR="007E6C53" w:rsidRDefault="007E6C53" w:rsidP="007E6C53">
      <w:pPr>
        <w:ind w:left="0"/>
        <w:rPr>
          <w:sz w:val="20"/>
          <w:szCs w:val="20"/>
        </w:rPr>
      </w:pPr>
      <w:r>
        <w:rPr>
          <w:rStyle w:val="FootnoteReference"/>
          <w:sz w:val="20"/>
          <w:szCs w:val="20"/>
        </w:rPr>
        <w:footnoteRef/>
      </w:r>
      <w:r>
        <w:rPr>
          <w:sz w:val="20"/>
          <w:szCs w:val="20"/>
        </w:rPr>
        <w:t xml:space="preserve"> Schonfeld, L., Larsen, R. G., &amp; Stiles, P. G. (2006). Behavioral Health Services Utilization Among Older Adults Identified Within a State Abuse Hotline Database. </w:t>
      </w:r>
      <w:r>
        <w:rPr>
          <w:i/>
          <w:sz w:val="20"/>
          <w:szCs w:val="20"/>
        </w:rPr>
        <w:t>The Gerontologist, 46</w:t>
      </w:r>
      <w:r>
        <w:rPr>
          <w:sz w:val="20"/>
          <w:szCs w:val="20"/>
        </w:rPr>
        <w:t xml:space="preserve">(2), 193-199. </w:t>
      </w:r>
    </w:p>
  </w:footnote>
  <w:footnote w:id="6">
    <w:p w:rsidR="007E6C53" w:rsidRDefault="007E6C53" w:rsidP="007E6C53">
      <w:pPr>
        <w:ind w:left="0"/>
        <w:rPr>
          <w:sz w:val="20"/>
          <w:szCs w:val="20"/>
        </w:rPr>
      </w:pPr>
      <w:r>
        <w:rPr>
          <w:rStyle w:val="FootnoteReference"/>
          <w:sz w:val="20"/>
          <w:szCs w:val="20"/>
        </w:rPr>
        <w:footnoteRef/>
      </w:r>
      <w:r>
        <w:rPr>
          <w:sz w:val="20"/>
          <w:szCs w:val="20"/>
        </w:rPr>
        <w:t xml:space="preserve"> Colvin, M. L., Pruett, J. A., Young, S. M., &amp; Holosko, M. J. (2016). An Exploratory Case Study of a Sexual Assault Telephone Hotline: Training and Practice Implications. </w:t>
      </w:r>
      <w:r>
        <w:rPr>
          <w:i/>
          <w:sz w:val="20"/>
          <w:szCs w:val="20"/>
        </w:rPr>
        <w:t>Violence Against Women, 23</w:t>
      </w:r>
      <w:r>
        <w:rPr>
          <w:sz w:val="20"/>
          <w:szCs w:val="20"/>
        </w:rPr>
        <w:t xml:space="preserve">(8), 973-992. doi:10.1177/1077801216654574 </w:t>
      </w:r>
    </w:p>
  </w:footnote>
  <w:footnote w:id="7">
    <w:p w:rsidR="007E6C53" w:rsidRDefault="007E6C53" w:rsidP="007E6C53">
      <w:pPr>
        <w:pStyle w:val="FootnoteText"/>
      </w:pPr>
      <w:r>
        <w:rPr>
          <w:rStyle w:val="FootnoteReference"/>
        </w:rPr>
        <w:footnoteRef/>
      </w:r>
      <w:r>
        <w:t xml:space="preserve"> </w:t>
      </w:r>
      <w:r>
        <w:rPr>
          <w:rFonts w:ascii="Times New Roman" w:hAnsi="Times New Roman" w:cs="Times New Roman"/>
          <w:i/>
          <w:iCs/>
          <w:shd w:val="clear" w:color="auto" w:fill="FFFFFF"/>
        </w:rPr>
        <w:t>Study finds men and women victims use sexual assault hotlines for different purposes.</w:t>
      </w:r>
      <w:r>
        <w:rPr>
          <w:rFonts w:ascii="Times New Roman" w:hAnsi="Times New Roman" w:cs="Times New Roman"/>
          <w:shd w:val="clear" w:color="auto" w:fill="FFFFFF"/>
        </w:rPr>
        <w:t> (2015). (). Bartonsville: BruCon Publishing Company. Retrieved from Research Library Retrieved from http://ezproxy2.library.drexel.edu/login?url=https://search-proquest-com.ezproxy2.library.drexel.edu/docview/1660508304?accountid=10559</w:t>
      </w:r>
    </w:p>
  </w:footnote>
  <w:footnote w:id="8">
    <w:p w:rsidR="007E6C53" w:rsidRDefault="007E6C53" w:rsidP="007E6C53">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w:t>
      </w:r>
    </w:p>
  </w:footnote>
  <w:footnote w:id="9">
    <w:p w:rsidR="007E6C53" w:rsidRDefault="007E6C53" w:rsidP="007E6C53">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w:t>
      </w:r>
    </w:p>
  </w:footnote>
  <w:footnote w:id="10">
    <w:p w:rsidR="007E6C53" w:rsidRDefault="007E6C53" w:rsidP="007E6C53">
      <w:pPr>
        <w:ind w:left="0" w:firstLine="14"/>
        <w:rPr>
          <w:sz w:val="20"/>
          <w:szCs w:val="20"/>
        </w:rPr>
      </w:pPr>
      <w:r>
        <w:rPr>
          <w:rStyle w:val="FootnoteReference"/>
          <w:sz w:val="20"/>
          <w:szCs w:val="20"/>
        </w:rPr>
        <w:footnoteRef/>
      </w:r>
      <w:r>
        <w:rPr>
          <w:sz w:val="20"/>
          <w:szCs w:val="20"/>
        </w:rPr>
        <w:t xml:space="preserve"> Aguirre, R. T. P., &amp; Pillai, V. (2013). Community traumatic events and the temporal distribution of suicide and calls to the suicide and crisis hotline: Is there an impact? </w:t>
      </w:r>
      <w:r>
        <w:rPr>
          <w:i/>
          <w:sz w:val="20"/>
          <w:szCs w:val="20"/>
        </w:rPr>
        <w:t xml:space="preserve">Traumatology, </w:t>
      </w:r>
    </w:p>
    <w:p w:rsidR="007E6C53" w:rsidRDefault="007E6C53" w:rsidP="007E6C53">
      <w:pPr>
        <w:ind w:left="0" w:firstLine="14"/>
        <w:rPr>
          <w:sz w:val="20"/>
          <w:szCs w:val="20"/>
        </w:rPr>
      </w:pPr>
      <w:r>
        <w:rPr>
          <w:i/>
          <w:sz w:val="20"/>
          <w:szCs w:val="20"/>
        </w:rPr>
        <w:t>19</w:t>
      </w:r>
      <w:r>
        <w:rPr>
          <w:sz w:val="20"/>
          <w:szCs w:val="20"/>
        </w:rPr>
        <w:t xml:space="preserve">(3), 233-242. doi:10.1177/1534765612471145 </w:t>
      </w:r>
    </w:p>
  </w:footnote>
  <w:footnote w:id="11">
    <w:p w:rsidR="007E6C53" w:rsidRDefault="007E6C53" w:rsidP="007E6C53">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shd w:val="clear" w:color="auto" w:fill="FFFFFF"/>
        </w:rPr>
        <w:t xml:space="preserve">State of Illinois Hotline. (2014, November 06). Chicago Metropolitan Battered Women’s Network. Retrieved May 2, 2018, from </w:t>
      </w:r>
      <w:hyperlink r:id="rId2" w:history="1">
        <w:r>
          <w:rPr>
            <w:rStyle w:val="Hyperlink"/>
            <w:rFonts w:ascii="Times New Roman" w:hAnsi="Times New Roman" w:cs="Times New Roman"/>
            <w:shd w:val="clear" w:color="auto" w:fill="FFFFFF"/>
          </w:rPr>
          <w:t>http://batteredwomensnetwork.org/stateofillinoishotlinhttpbatteredwomensnetwork-orgwp-adminpost-phppost33actionedite/</w:t>
        </w:r>
      </w:hyperlink>
      <w:r>
        <w:rPr>
          <w:rFonts w:ascii="Times New Roman" w:hAnsi="Times New Roman" w:cs="Times New Roman"/>
          <w:shd w:val="clear" w:color="auto" w:fill="FFFFFF"/>
        </w:rPr>
        <w:t xml:space="preserve"> </w:t>
      </w:r>
    </w:p>
  </w:footnote>
  <w:footnote w:id="12">
    <w:p w:rsidR="007E6C53" w:rsidRDefault="007E6C53" w:rsidP="007E6C53">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w:t>
      </w:r>
    </w:p>
  </w:footnote>
  <w:footnote w:id="13">
    <w:p w:rsidR="007E6C53" w:rsidRDefault="007E6C53" w:rsidP="007E6C53">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According to reports submitted to the Office for Victims of Crime, Performance Measurement Program.</w:t>
      </w:r>
    </w:p>
  </w:footnote>
  <w:footnote w:id="14">
    <w:p w:rsidR="00283373" w:rsidRDefault="00283373" w:rsidP="00283373">
      <w:pPr>
        <w:pStyle w:val="FootnoteText"/>
        <w:rPr>
          <w:rFonts w:ascii="Times New Roman" w:hAnsi="Times New Roman" w:cs="Times New Roman"/>
        </w:rPr>
      </w:pPr>
      <w:r>
        <w:rPr>
          <w:rStyle w:val="FootnoteReference"/>
        </w:rPr>
        <w:footnoteRef/>
      </w:r>
      <w:r>
        <w:t xml:space="preserve"> See 2 CFR 200.331 for comprehensive pass-through entity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5FBC"/>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C5B09"/>
    <w:multiLevelType w:val="hybridMultilevel"/>
    <w:tmpl w:val="64047DDE"/>
    <w:lvl w:ilvl="0" w:tplc="52CE447A">
      <w:start w:val="1"/>
      <w:numFmt w:val="decimal"/>
      <w:lvlText w:val="%1."/>
      <w:lvlJc w:val="left"/>
      <w:pPr>
        <w:ind w:left="360" w:hanging="360"/>
      </w:pPr>
      <w:rPr>
        <w:rFonts w:eastAsia="Times New Roman" w:hint="default"/>
        <w:b/>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823599"/>
    <w:multiLevelType w:val="hybridMultilevel"/>
    <w:tmpl w:val="DEDE84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19">
      <w:start w:val="1"/>
      <w:numFmt w:val="lowerLetter"/>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E046A5"/>
    <w:multiLevelType w:val="hybridMultilevel"/>
    <w:tmpl w:val="9CA8540A"/>
    <w:lvl w:ilvl="0" w:tplc="164E339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C9A6C03"/>
    <w:multiLevelType w:val="hybridMultilevel"/>
    <w:tmpl w:val="F31E5026"/>
    <w:lvl w:ilvl="0" w:tplc="4CA85FE0">
      <w:start w:val="4"/>
      <w:numFmt w:val="upperLetter"/>
      <w:lvlText w:val="%1."/>
      <w:lvlJc w:val="left"/>
      <w:pPr>
        <w:ind w:left="810" w:hanging="360"/>
      </w:pPr>
      <w:rPr>
        <w:rFonts w:hint="default"/>
        <w:i w:val="0"/>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5" w15:restartNumberingAfterBreak="0">
    <w:nsid w:val="2CB30DDC"/>
    <w:multiLevelType w:val="hybridMultilevel"/>
    <w:tmpl w:val="F68C0D0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D3A37C0"/>
    <w:multiLevelType w:val="multilevel"/>
    <w:tmpl w:val="EE3037BC"/>
    <w:lvl w:ilvl="0">
      <w:start w:val="1"/>
      <w:numFmt w:val="decimal"/>
      <w:lvlText w:val="%1."/>
      <w:lvlJc w:val="left"/>
      <w:pPr>
        <w:ind w:left="360" w:firstLine="1080"/>
      </w:pPr>
    </w:lvl>
    <w:lvl w:ilvl="1">
      <w:start w:val="1"/>
      <w:numFmt w:val="lowerLetter"/>
      <w:lvlText w:val="%2."/>
      <w:lvlJc w:val="left"/>
      <w:pPr>
        <w:ind w:left="1080" w:firstLine="3960"/>
      </w:pPr>
    </w:lvl>
    <w:lvl w:ilvl="2">
      <w:start w:val="1"/>
      <w:numFmt w:val="lowerRoman"/>
      <w:lvlText w:val="%3."/>
      <w:lvlJc w:val="right"/>
      <w:pPr>
        <w:ind w:left="1800" w:firstLine="7020"/>
      </w:pPr>
    </w:lvl>
    <w:lvl w:ilvl="3">
      <w:start w:val="1"/>
      <w:numFmt w:val="decimal"/>
      <w:lvlText w:val="%4."/>
      <w:lvlJc w:val="left"/>
      <w:pPr>
        <w:ind w:left="2520" w:firstLine="9720"/>
      </w:pPr>
    </w:lvl>
    <w:lvl w:ilvl="4">
      <w:start w:val="1"/>
      <w:numFmt w:val="lowerLetter"/>
      <w:lvlText w:val="%5."/>
      <w:lvlJc w:val="left"/>
      <w:pPr>
        <w:ind w:left="3240" w:firstLine="12600"/>
      </w:pPr>
    </w:lvl>
    <w:lvl w:ilvl="5">
      <w:start w:val="1"/>
      <w:numFmt w:val="lowerRoman"/>
      <w:lvlText w:val="%6."/>
      <w:lvlJc w:val="right"/>
      <w:pPr>
        <w:ind w:left="3960" w:firstLine="15660"/>
      </w:pPr>
    </w:lvl>
    <w:lvl w:ilvl="6">
      <w:start w:val="1"/>
      <w:numFmt w:val="decimal"/>
      <w:lvlText w:val="%7."/>
      <w:lvlJc w:val="left"/>
      <w:pPr>
        <w:ind w:left="4680" w:firstLine="18360"/>
      </w:pPr>
    </w:lvl>
    <w:lvl w:ilvl="7">
      <w:start w:val="1"/>
      <w:numFmt w:val="lowerLetter"/>
      <w:lvlText w:val="%8."/>
      <w:lvlJc w:val="left"/>
      <w:pPr>
        <w:ind w:left="5400" w:firstLine="21240"/>
      </w:pPr>
    </w:lvl>
    <w:lvl w:ilvl="8">
      <w:start w:val="1"/>
      <w:numFmt w:val="lowerRoman"/>
      <w:lvlText w:val="%9."/>
      <w:lvlJc w:val="right"/>
      <w:pPr>
        <w:ind w:left="6120" w:firstLine="24300"/>
      </w:pPr>
    </w:lvl>
  </w:abstractNum>
  <w:abstractNum w:abstractNumId="7"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E3DDF"/>
    <w:multiLevelType w:val="multilevel"/>
    <w:tmpl w:val="58CAD54C"/>
    <w:lvl w:ilvl="0">
      <w:start w:val="1"/>
      <w:numFmt w:val="decimal"/>
      <w:lvlText w:val="%1."/>
      <w:lvlJc w:val="left"/>
      <w:pPr>
        <w:ind w:left="1080" w:firstLine="3960"/>
      </w:pPr>
      <w:rPr>
        <w:b/>
        <w:i w:val="0"/>
        <w:u w:val="none"/>
      </w:rPr>
    </w:lvl>
    <w:lvl w:ilvl="1">
      <w:start w:val="1"/>
      <w:numFmt w:val="lowerLetter"/>
      <w:lvlText w:val="%2."/>
      <w:lvlJc w:val="left"/>
      <w:pPr>
        <w:ind w:left="1800" w:firstLine="6840"/>
      </w:pPr>
    </w:lvl>
    <w:lvl w:ilvl="2">
      <w:start w:val="1"/>
      <w:numFmt w:val="lowerRoman"/>
      <w:lvlText w:val="%3."/>
      <w:lvlJc w:val="right"/>
      <w:pPr>
        <w:ind w:left="2520" w:firstLine="9900"/>
      </w:pPr>
    </w:lvl>
    <w:lvl w:ilvl="3">
      <w:start w:val="1"/>
      <w:numFmt w:val="decimal"/>
      <w:lvlText w:val="%4."/>
      <w:lvlJc w:val="left"/>
      <w:pPr>
        <w:ind w:left="3240" w:firstLine="12600"/>
      </w:pPr>
    </w:lvl>
    <w:lvl w:ilvl="4">
      <w:start w:val="1"/>
      <w:numFmt w:val="lowerLetter"/>
      <w:lvlText w:val="%5."/>
      <w:lvlJc w:val="left"/>
      <w:pPr>
        <w:ind w:left="3960" w:firstLine="15480"/>
      </w:pPr>
    </w:lvl>
    <w:lvl w:ilvl="5">
      <w:start w:val="1"/>
      <w:numFmt w:val="lowerRoman"/>
      <w:lvlText w:val="%6."/>
      <w:lvlJc w:val="right"/>
      <w:pPr>
        <w:ind w:left="4680" w:firstLine="18540"/>
      </w:pPr>
    </w:lvl>
    <w:lvl w:ilvl="6">
      <w:start w:val="1"/>
      <w:numFmt w:val="decimal"/>
      <w:lvlText w:val="%7."/>
      <w:lvlJc w:val="left"/>
      <w:pPr>
        <w:ind w:left="5400" w:firstLine="21240"/>
      </w:pPr>
    </w:lvl>
    <w:lvl w:ilvl="7">
      <w:start w:val="1"/>
      <w:numFmt w:val="lowerLetter"/>
      <w:lvlText w:val="%8."/>
      <w:lvlJc w:val="left"/>
      <w:pPr>
        <w:ind w:left="6120" w:firstLine="24120"/>
      </w:pPr>
    </w:lvl>
    <w:lvl w:ilvl="8">
      <w:start w:val="1"/>
      <w:numFmt w:val="lowerRoman"/>
      <w:lvlText w:val="%9."/>
      <w:lvlJc w:val="right"/>
      <w:pPr>
        <w:ind w:left="6840" w:firstLine="27180"/>
      </w:pPr>
    </w:lvl>
  </w:abstractNum>
  <w:abstractNum w:abstractNumId="9" w15:restartNumberingAfterBreak="0">
    <w:nsid w:val="47264A99"/>
    <w:multiLevelType w:val="multilevel"/>
    <w:tmpl w:val="896A1D62"/>
    <w:lvl w:ilvl="0">
      <w:start w:val="1"/>
      <w:numFmt w:val="upperLetter"/>
      <w:lvlText w:val="%1."/>
      <w:lvlJc w:val="left"/>
      <w:pPr>
        <w:ind w:left="360" w:firstLine="1080"/>
      </w:pPr>
      <w:rPr>
        <w:b/>
      </w:rPr>
    </w:lvl>
    <w:lvl w:ilvl="1">
      <w:start w:val="1"/>
      <w:numFmt w:val="lowerLetter"/>
      <w:lvlText w:val="%2."/>
      <w:lvlJc w:val="left"/>
      <w:pPr>
        <w:ind w:left="1080" w:firstLine="3960"/>
      </w:pPr>
    </w:lvl>
    <w:lvl w:ilvl="2">
      <w:start w:val="1"/>
      <w:numFmt w:val="lowerRoman"/>
      <w:lvlText w:val="%3."/>
      <w:lvlJc w:val="right"/>
      <w:pPr>
        <w:ind w:left="1800" w:firstLine="7020"/>
      </w:pPr>
    </w:lvl>
    <w:lvl w:ilvl="3">
      <w:start w:val="1"/>
      <w:numFmt w:val="decimal"/>
      <w:lvlText w:val="%4."/>
      <w:lvlJc w:val="left"/>
      <w:pPr>
        <w:ind w:left="2520" w:firstLine="9720"/>
      </w:pPr>
    </w:lvl>
    <w:lvl w:ilvl="4">
      <w:start w:val="1"/>
      <w:numFmt w:val="lowerLetter"/>
      <w:lvlText w:val="%5."/>
      <w:lvlJc w:val="left"/>
      <w:pPr>
        <w:ind w:left="3240" w:firstLine="12600"/>
      </w:pPr>
    </w:lvl>
    <w:lvl w:ilvl="5">
      <w:start w:val="1"/>
      <w:numFmt w:val="lowerRoman"/>
      <w:lvlText w:val="%6."/>
      <w:lvlJc w:val="right"/>
      <w:pPr>
        <w:ind w:left="3960" w:firstLine="15660"/>
      </w:pPr>
    </w:lvl>
    <w:lvl w:ilvl="6">
      <w:start w:val="1"/>
      <w:numFmt w:val="decimal"/>
      <w:lvlText w:val="%7."/>
      <w:lvlJc w:val="left"/>
      <w:pPr>
        <w:ind w:left="4680" w:firstLine="18360"/>
      </w:pPr>
    </w:lvl>
    <w:lvl w:ilvl="7">
      <w:start w:val="1"/>
      <w:numFmt w:val="lowerLetter"/>
      <w:lvlText w:val="%8."/>
      <w:lvlJc w:val="left"/>
      <w:pPr>
        <w:ind w:left="5400" w:firstLine="21240"/>
      </w:pPr>
    </w:lvl>
    <w:lvl w:ilvl="8">
      <w:start w:val="1"/>
      <w:numFmt w:val="lowerRoman"/>
      <w:lvlText w:val="%9."/>
      <w:lvlJc w:val="right"/>
      <w:pPr>
        <w:ind w:left="6120" w:firstLine="24300"/>
      </w:pPr>
    </w:lvl>
  </w:abstractNum>
  <w:abstractNum w:abstractNumId="10" w15:restartNumberingAfterBreak="0">
    <w:nsid w:val="4785793F"/>
    <w:multiLevelType w:val="hybridMultilevel"/>
    <w:tmpl w:val="5DB0B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A512CE"/>
    <w:multiLevelType w:val="multilevel"/>
    <w:tmpl w:val="405EA24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num w:numId="1">
    <w:abstractNumId w:val="6"/>
  </w:num>
  <w:num w:numId="2">
    <w:abstractNumId w:val="9"/>
  </w:num>
  <w:num w:numId="3">
    <w:abstractNumId w:val="11"/>
  </w:num>
  <w:num w:numId="4">
    <w:abstractNumId w:val="8"/>
  </w:num>
  <w:num w:numId="5">
    <w:abstractNumId w:val="7"/>
  </w:num>
  <w:num w:numId="6">
    <w:abstractNumId w:val="1"/>
  </w:num>
  <w:num w:numId="7">
    <w:abstractNumId w:val="10"/>
  </w:num>
  <w:num w:numId="8">
    <w:abstractNumId w:val="4"/>
  </w:num>
  <w:num w:numId="9">
    <w:abstractNumId w:val="3"/>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B4"/>
    <w:rsid w:val="0000074E"/>
    <w:rsid w:val="00006AE8"/>
    <w:rsid w:val="00012C2C"/>
    <w:rsid w:val="00014884"/>
    <w:rsid w:val="00021C4A"/>
    <w:rsid w:val="00021EE0"/>
    <w:rsid w:val="00036307"/>
    <w:rsid w:val="00036496"/>
    <w:rsid w:val="00040DA4"/>
    <w:rsid w:val="000428EC"/>
    <w:rsid w:val="00043A10"/>
    <w:rsid w:val="00060321"/>
    <w:rsid w:val="000649B9"/>
    <w:rsid w:val="00066336"/>
    <w:rsid w:val="00070970"/>
    <w:rsid w:val="00074816"/>
    <w:rsid w:val="000815F6"/>
    <w:rsid w:val="00090B8B"/>
    <w:rsid w:val="00095867"/>
    <w:rsid w:val="000A2573"/>
    <w:rsid w:val="000B7C3C"/>
    <w:rsid w:val="000C0EC4"/>
    <w:rsid w:val="000C23F9"/>
    <w:rsid w:val="000C6B3D"/>
    <w:rsid w:val="000C7C6C"/>
    <w:rsid w:val="000E2330"/>
    <w:rsid w:val="000F0FD5"/>
    <w:rsid w:val="000F233F"/>
    <w:rsid w:val="000F7B23"/>
    <w:rsid w:val="00100D20"/>
    <w:rsid w:val="00102386"/>
    <w:rsid w:val="00106C4B"/>
    <w:rsid w:val="00114D44"/>
    <w:rsid w:val="00124ADD"/>
    <w:rsid w:val="00127403"/>
    <w:rsid w:val="001312FD"/>
    <w:rsid w:val="00133697"/>
    <w:rsid w:val="00135E23"/>
    <w:rsid w:val="0014091E"/>
    <w:rsid w:val="00143747"/>
    <w:rsid w:val="00143C10"/>
    <w:rsid w:val="00144374"/>
    <w:rsid w:val="00145EAE"/>
    <w:rsid w:val="0015110B"/>
    <w:rsid w:val="00151D1C"/>
    <w:rsid w:val="0015384E"/>
    <w:rsid w:val="001603CD"/>
    <w:rsid w:val="00166335"/>
    <w:rsid w:val="00172A60"/>
    <w:rsid w:val="00177E3B"/>
    <w:rsid w:val="00187A04"/>
    <w:rsid w:val="001B38F4"/>
    <w:rsid w:val="001B59B7"/>
    <w:rsid w:val="001C16C4"/>
    <w:rsid w:val="001C2BB0"/>
    <w:rsid w:val="001C6124"/>
    <w:rsid w:val="001D6032"/>
    <w:rsid w:val="001F2A42"/>
    <w:rsid w:val="00203C3C"/>
    <w:rsid w:val="002054CC"/>
    <w:rsid w:val="002118E8"/>
    <w:rsid w:val="00213745"/>
    <w:rsid w:val="00215353"/>
    <w:rsid w:val="0021736B"/>
    <w:rsid w:val="00230F3D"/>
    <w:rsid w:val="00232F28"/>
    <w:rsid w:val="00240E3D"/>
    <w:rsid w:val="0024142C"/>
    <w:rsid w:val="00244D92"/>
    <w:rsid w:val="0025070A"/>
    <w:rsid w:val="0025612B"/>
    <w:rsid w:val="00267F07"/>
    <w:rsid w:val="002725EA"/>
    <w:rsid w:val="00272676"/>
    <w:rsid w:val="002762A8"/>
    <w:rsid w:val="0028005F"/>
    <w:rsid w:val="002808BB"/>
    <w:rsid w:val="00283373"/>
    <w:rsid w:val="00285307"/>
    <w:rsid w:val="00291062"/>
    <w:rsid w:val="00292EB7"/>
    <w:rsid w:val="002A41E5"/>
    <w:rsid w:val="002A4AAF"/>
    <w:rsid w:val="002B0DA3"/>
    <w:rsid w:val="002B3F09"/>
    <w:rsid w:val="002C3236"/>
    <w:rsid w:val="002D75BC"/>
    <w:rsid w:val="002E0B9D"/>
    <w:rsid w:val="002E3DEF"/>
    <w:rsid w:val="002E3FF3"/>
    <w:rsid w:val="002F0DF0"/>
    <w:rsid w:val="002F27B9"/>
    <w:rsid w:val="0030357E"/>
    <w:rsid w:val="00306A2D"/>
    <w:rsid w:val="00311D14"/>
    <w:rsid w:val="0031294D"/>
    <w:rsid w:val="00316E5B"/>
    <w:rsid w:val="00322EF5"/>
    <w:rsid w:val="0033776B"/>
    <w:rsid w:val="0034001C"/>
    <w:rsid w:val="00341B1E"/>
    <w:rsid w:val="0034243B"/>
    <w:rsid w:val="00343FB7"/>
    <w:rsid w:val="00352522"/>
    <w:rsid w:val="00360489"/>
    <w:rsid w:val="003621E4"/>
    <w:rsid w:val="003642A2"/>
    <w:rsid w:val="00367427"/>
    <w:rsid w:val="00372880"/>
    <w:rsid w:val="00374321"/>
    <w:rsid w:val="0037722A"/>
    <w:rsid w:val="00381F43"/>
    <w:rsid w:val="0038488D"/>
    <w:rsid w:val="003960CB"/>
    <w:rsid w:val="003B0797"/>
    <w:rsid w:val="003B29E6"/>
    <w:rsid w:val="003B3A59"/>
    <w:rsid w:val="003C044D"/>
    <w:rsid w:val="003C244D"/>
    <w:rsid w:val="003C6B5F"/>
    <w:rsid w:val="003C7146"/>
    <w:rsid w:val="003D122E"/>
    <w:rsid w:val="003D2173"/>
    <w:rsid w:val="003D5515"/>
    <w:rsid w:val="003D626B"/>
    <w:rsid w:val="003E0EA5"/>
    <w:rsid w:val="003F21BF"/>
    <w:rsid w:val="003F6011"/>
    <w:rsid w:val="00400BF9"/>
    <w:rsid w:val="00403743"/>
    <w:rsid w:val="00405088"/>
    <w:rsid w:val="00410339"/>
    <w:rsid w:val="00422A3A"/>
    <w:rsid w:val="00422CA7"/>
    <w:rsid w:val="004255BD"/>
    <w:rsid w:val="004278CE"/>
    <w:rsid w:val="004313C9"/>
    <w:rsid w:val="00434833"/>
    <w:rsid w:val="004420C9"/>
    <w:rsid w:val="00443F34"/>
    <w:rsid w:val="004442F9"/>
    <w:rsid w:val="00444695"/>
    <w:rsid w:val="00452120"/>
    <w:rsid w:val="0046380D"/>
    <w:rsid w:val="004700C4"/>
    <w:rsid w:val="004803E3"/>
    <w:rsid w:val="00483AE1"/>
    <w:rsid w:val="00490C83"/>
    <w:rsid w:val="00491ECA"/>
    <w:rsid w:val="00496B33"/>
    <w:rsid w:val="004B017B"/>
    <w:rsid w:val="004B1A94"/>
    <w:rsid w:val="004B5422"/>
    <w:rsid w:val="004D1145"/>
    <w:rsid w:val="004D5A60"/>
    <w:rsid w:val="004E14ED"/>
    <w:rsid w:val="004E23AD"/>
    <w:rsid w:val="004E309B"/>
    <w:rsid w:val="004E3980"/>
    <w:rsid w:val="004E4286"/>
    <w:rsid w:val="004F2EB5"/>
    <w:rsid w:val="004F3479"/>
    <w:rsid w:val="00501800"/>
    <w:rsid w:val="0050295A"/>
    <w:rsid w:val="005036C3"/>
    <w:rsid w:val="0050542F"/>
    <w:rsid w:val="0050676E"/>
    <w:rsid w:val="0051018E"/>
    <w:rsid w:val="00520A1B"/>
    <w:rsid w:val="00521F17"/>
    <w:rsid w:val="005227A9"/>
    <w:rsid w:val="00524DDD"/>
    <w:rsid w:val="005315C1"/>
    <w:rsid w:val="0054017E"/>
    <w:rsid w:val="00542B36"/>
    <w:rsid w:val="005448C3"/>
    <w:rsid w:val="00544A50"/>
    <w:rsid w:val="00553191"/>
    <w:rsid w:val="00553C3C"/>
    <w:rsid w:val="00560FA6"/>
    <w:rsid w:val="00564F0C"/>
    <w:rsid w:val="0058060E"/>
    <w:rsid w:val="00581DC9"/>
    <w:rsid w:val="00585F87"/>
    <w:rsid w:val="005B1125"/>
    <w:rsid w:val="005B48C2"/>
    <w:rsid w:val="005B7137"/>
    <w:rsid w:val="005C00C0"/>
    <w:rsid w:val="005C12BB"/>
    <w:rsid w:val="005D1103"/>
    <w:rsid w:val="005E00A0"/>
    <w:rsid w:val="005F223F"/>
    <w:rsid w:val="005F434A"/>
    <w:rsid w:val="005F5705"/>
    <w:rsid w:val="0060017A"/>
    <w:rsid w:val="0060246E"/>
    <w:rsid w:val="006057F6"/>
    <w:rsid w:val="0060748A"/>
    <w:rsid w:val="00615C48"/>
    <w:rsid w:val="00627C00"/>
    <w:rsid w:val="006307ED"/>
    <w:rsid w:val="00634AAC"/>
    <w:rsid w:val="0064173E"/>
    <w:rsid w:val="006513D2"/>
    <w:rsid w:val="00656458"/>
    <w:rsid w:val="006609F1"/>
    <w:rsid w:val="00666A87"/>
    <w:rsid w:val="00671774"/>
    <w:rsid w:val="00683CDF"/>
    <w:rsid w:val="00685537"/>
    <w:rsid w:val="00686074"/>
    <w:rsid w:val="006877EA"/>
    <w:rsid w:val="00687944"/>
    <w:rsid w:val="006937DB"/>
    <w:rsid w:val="00693FB5"/>
    <w:rsid w:val="00694141"/>
    <w:rsid w:val="0069428C"/>
    <w:rsid w:val="00696CE2"/>
    <w:rsid w:val="006A439E"/>
    <w:rsid w:val="006A70E6"/>
    <w:rsid w:val="006B4265"/>
    <w:rsid w:val="006B64D7"/>
    <w:rsid w:val="006D5AAB"/>
    <w:rsid w:val="006E5FD5"/>
    <w:rsid w:val="00703F98"/>
    <w:rsid w:val="00706F4E"/>
    <w:rsid w:val="00711035"/>
    <w:rsid w:val="0071204B"/>
    <w:rsid w:val="00714219"/>
    <w:rsid w:val="0071491E"/>
    <w:rsid w:val="00715C01"/>
    <w:rsid w:val="00726746"/>
    <w:rsid w:val="00730A58"/>
    <w:rsid w:val="00733B8F"/>
    <w:rsid w:val="00735C25"/>
    <w:rsid w:val="00742923"/>
    <w:rsid w:val="00751142"/>
    <w:rsid w:val="007518FD"/>
    <w:rsid w:val="00753D05"/>
    <w:rsid w:val="0075477F"/>
    <w:rsid w:val="00755C28"/>
    <w:rsid w:val="007564C0"/>
    <w:rsid w:val="007621C2"/>
    <w:rsid w:val="007767FC"/>
    <w:rsid w:val="00783165"/>
    <w:rsid w:val="00790842"/>
    <w:rsid w:val="0079287B"/>
    <w:rsid w:val="007A131E"/>
    <w:rsid w:val="007B5417"/>
    <w:rsid w:val="007B6E59"/>
    <w:rsid w:val="007C00B4"/>
    <w:rsid w:val="007C12D1"/>
    <w:rsid w:val="007C1FC2"/>
    <w:rsid w:val="007C6E99"/>
    <w:rsid w:val="007D1A87"/>
    <w:rsid w:val="007D316A"/>
    <w:rsid w:val="007D52E6"/>
    <w:rsid w:val="007E120F"/>
    <w:rsid w:val="007E157C"/>
    <w:rsid w:val="007E4F82"/>
    <w:rsid w:val="007E6C53"/>
    <w:rsid w:val="007E7E80"/>
    <w:rsid w:val="007F08D9"/>
    <w:rsid w:val="007F1974"/>
    <w:rsid w:val="007F21E8"/>
    <w:rsid w:val="007F3A42"/>
    <w:rsid w:val="00802172"/>
    <w:rsid w:val="00805B07"/>
    <w:rsid w:val="00807279"/>
    <w:rsid w:val="00823D2C"/>
    <w:rsid w:val="008261A6"/>
    <w:rsid w:val="008333DF"/>
    <w:rsid w:val="008345E3"/>
    <w:rsid w:val="00840029"/>
    <w:rsid w:val="0084325D"/>
    <w:rsid w:val="00855CEB"/>
    <w:rsid w:val="00862ECD"/>
    <w:rsid w:val="0086473C"/>
    <w:rsid w:val="00867B90"/>
    <w:rsid w:val="008737CC"/>
    <w:rsid w:val="0087683F"/>
    <w:rsid w:val="008859E4"/>
    <w:rsid w:val="00890F92"/>
    <w:rsid w:val="00892409"/>
    <w:rsid w:val="00896525"/>
    <w:rsid w:val="008A0D96"/>
    <w:rsid w:val="008A4E87"/>
    <w:rsid w:val="008A69A2"/>
    <w:rsid w:val="008B252E"/>
    <w:rsid w:val="008C205E"/>
    <w:rsid w:val="008C30E1"/>
    <w:rsid w:val="008C3AD8"/>
    <w:rsid w:val="008D10BD"/>
    <w:rsid w:val="008E2EC9"/>
    <w:rsid w:val="008F264A"/>
    <w:rsid w:val="00901805"/>
    <w:rsid w:val="00905142"/>
    <w:rsid w:val="009068E8"/>
    <w:rsid w:val="009127D1"/>
    <w:rsid w:val="00914D6C"/>
    <w:rsid w:val="00915ED7"/>
    <w:rsid w:val="009258FA"/>
    <w:rsid w:val="00926ABD"/>
    <w:rsid w:val="0093220D"/>
    <w:rsid w:val="00940248"/>
    <w:rsid w:val="0094038E"/>
    <w:rsid w:val="00941469"/>
    <w:rsid w:val="00941558"/>
    <w:rsid w:val="00943515"/>
    <w:rsid w:val="00943AC1"/>
    <w:rsid w:val="00973785"/>
    <w:rsid w:val="00974990"/>
    <w:rsid w:val="00982122"/>
    <w:rsid w:val="009951A4"/>
    <w:rsid w:val="00997454"/>
    <w:rsid w:val="009A1C7D"/>
    <w:rsid w:val="009A1F49"/>
    <w:rsid w:val="009A467B"/>
    <w:rsid w:val="009B3C18"/>
    <w:rsid w:val="009C0555"/>
    <w:rsid w:val="009C186B"/>
    <w:rsid w:val="009C2476"/>
    <w:rsid w:val="009D2457"/>
    <w:rsid w:val="009E1769"/>
    <w:rsid w:val="009F3087"/>
    <w:rsid w:val="009F3233"/>
    <w:rsid w:val="009F4633"/>
    <w:rsid w:val="00A04B54"/>
    <w:rsid w:val="00A11855"/>
    <w:rsid w:val="00A14121"/>
    <w:rsid w:val="00A21075"/>
    <w:rsid w:val="00A23AEF"/>
    <w:rsid w:val="00A32C87"/>
    <w:rsid w:val="00A40B4E"/>
    <w:rsid w:val="00A44BF7"/>
    <w:rsid w:val="00A45F38"/>
    <w:rsid w:val="00A55447"/>
    <w:rsid w:val="00A62C16"/>
    <w:rsid w:val="00A64690"/>
    <w:rsid w:val="00A65846"/>
    <w:rsid w:val="00A834AF"/>
    <w:rsid w:val="00A90401"/>
    <w:rsid w:val="00A9052E"/>
    <w:rsid w:val="00A93047"/>
    <w:rsid w:val="00AA2897"/>
    <w:rsid w:val="00AA4865"/>
    <w:rsid w:val="00AA7FD8"/>
    <w:rsid w:val="00AB023C"/>
    <w:rsid w:val="00AB6A4F"/>
    <w:rsid w:val="00AC19C8"/>
    <w:rsid w:val="00AC2EC5"/>
    <w:rsid w:val="00AC39A7"/>
    <w:rsid w:val="00AD588F"/>
    <w:rsid w:val="00AD6F66"/>
    <w:rsid w:val="00AE7FF5"/>
    <w:rsid w:val="00AF2BCE"/>
    <w:rsid w:val="00B02473"/>
    <w:rsid w:val="00B02549"/>
    <w:rsid w:val="00B047FF"/>
    <w:rsid w:val="00B04F33"/>
    <w:rsid w:val="00B058C1"/>
    <w:rsid w:val="00B07F8C"/>
    <w:rsid w:val="00B10A08"/>
    <w:rsid w:val="00B10F00"/>
    <w:rsid w:val="00B12B28"/>
    <w:rsid w:val="00B3648B"/>
    <w:rsid w:val="00B36B42"/>
    <w:rsid w:val="00B371BE"/>
    <w:rsid w:val="00B43BE8"/>
    <w:rsid w:val="00B44310"/>
    <w:rsid w:val="00B44E13"/>
    <w:rsid w:val="00B51806"/>
    <w:rsid w:val="00B62880"/>
    <w:rsid w:val="00B72D6E"/>
    <w:rsid w:val="00B72FF8"/>
    <w:rsid w:val="00B82B42"/>
    <w:rsid w:val="00B914EB"/>
    <w:rsid w:val="00B93E8E"/>
    <w:rsid w:val="00B960CA"/>
    <w:rsid w:val="00BA1113"/>
    <w:rsid w:val="00BB0AC3"/>
    <w:rsid w:val="00BB54EA"/>
    <w:rsid w:val="00BC0AE6"/>
    <w:rsid w:val="00BC2556"/>
    <w:rsid w:val="00BC6D75"/>
    <w:rsid w:val="00BC6F8E"/>
    <w:rsid w:val="00BD01D3"/>
    <w:rsid w:val="00BD1528"/>
    <w:rsid w:val="00BD407E"/>
    <w:rsid w:val="00BE3304"/>
    <w:rsid w:val="00BE6E13"/>
    <w:rsid w:val="00C04D82"/>
    <w:rsid w:val="00C0571D"/>
    <w:rsid w:val="00C1590A"/>
    <w:rsid w:val="00C177A8"/>
    <w:rsid w:val="00C26346"/>
    <w:rsid w:val="00C303A3"/>
    <w:rsid w:val="00C35A77"/>
    <w:rsid w:val="00C42C38"/>
    <w:rsid w:val="00C47D5A"/>
    <w:rsid w:val="00C5080E"/>
    <w:rsid w:val="00C60BF0"/>
    <w:rsid w:val="00C60C75"/>
    <w:rsid w:val="00C6661A"/>
    <w:rsid w:val="00C71A21"/>
    <w:rsid w:val="00C83407"/>
    <w:rsid w:val="00C9159B"/>
    <w:rsid w:val="00C91CA2"/>
    <w:rsid w:val="00C92C32"/>
    <w:rsid w:val="00C94FEE"/>
    <w:rsid w:val="00C9635B"/>
    <w:rsid w:val="00CA27A8"/>
    <w:rsid w:val="00CA2EEB"/>
    <w:rsid w:val="00CB70EE"/>
    <w:rsid w:val="00CC3A47"/>
    <w:rsid w:val="00CC7FB2"/>
    <w:rsid w:val="00CD1349"/>
    <w:rsid w:val="00CD2EF1"/>
    <w:rsid w:val="00CD51B0"/>
    <w:rsid w:val="00CE1BFA"/>
    <w:rsid w:val="00CE4BE3"/>
    <w:rsid w:val="00CE7504"/>
    <w:rsid w:val="00CF7145"/>
    <w:rsid w:val="00CF71B1"/>
    <w:rsid w:val="00D01F97"/>
    <w:rsid w:val="00D05B78"/>
    <w:rsid w:val="00D333E1"/>
    <w:rsid w:val="00D35E2C"/>
    <w:rsid w:val="00D36BDB"/>
    <w:rsid w:val="00D44A98"/>
    <w:rsid w:val="00D51AC8"/>
    <w:rsid w:val="00D542F8"/>
    <w:rsid w:val="00D55F69"/>
    <w:rsid w:val="00D735CA"/>
    <w:rsid w:val="00D7557F"/>
    <w:rsid w:val="00D86C46"/>
    <w:rsid w:val="00D9168A"/>
    <w:rsid w:val="00D9268B"/>
    <w:rsid w:val="00D94951"/>
    <w:rsid w:val="00DA049C"/>
    <w:rsid w:val="00DA115E"/>
    <w:rsid w:val="00DA1B2C"/>
    <w:rsid w:val="00DB09D1"/>
    <w:rsid w:val="00DB4B38"/>
    <w:rsid w:val="00DC0C4D"/>
    <w:rsid w:val="00DC1AEF"/>
    <w:rsid w:val="00DC1C39"/>
    <w:rsid w:val="00DC4E2F"/>
    <w:rsid w:val="00DD02AA"/>
    <w:rsid w:val="00DD03D3"/>
    <w:rsid w:val="00DD0C48"/>
    <w:rsid w:val="00DD5DA2"/>
    <w:rsid w:val="00DE1776"/>
    <w:rsid w:val="00DE4A07"/>
    <w:rsid w:val="00DE6802"/>
    <w:rsid w:val="00DF1692"/>
    <w:rsid w:val="00DF175C"/>
    <w:rsid w:val="00DF5151"/>
    <w:rsid w:val="00DF61F7"/>
    <w:rsid w:val="00E01185"/>
    <w:rsid w:val="00E034C0"/>
    <w:rsid w:val="00E06EFE"/>
    <w:rsid w:val="00E32E4C"/>
    <w:rsid w:val="00E4401C"/>
    <w:rsid w:val="00E4745B"/>
    <w:rsid w:val="00E53371"/>
    <w:rsid w:val="00E53950"/>
    <w:rsid w:val="00E55568"/>
    <w:rsid w:val="00E7266C"/>
    <w:rsid w:val="00E732F5"/>
    <w:rsid w:val="00E755FC"/>
    <w:rsid w:val="00E75AD7"/>
    <w:rsid w:val="00EA0895"/>
    <w:rsid w:val="00EA38C8"/>
    <w:rsid w:val="00EA5196"/>
    <w:rsid w:val="00EB70A1"/>
    <w:rsid w:val="00EC04C5"/>
    <w:rsid w:val="00EC2F40"/>
    <w:rsid w:val="00EC680C"/>
    <w:rsid w:val="00EC6D21"/>
    <w:rsid w:val="00EC6E03"/>
    <w:rsid w:val="00F00341"/>
    <w:rsid w:val="00F03C31"/>
    <w:rsid w:val="00F10000"/>
    <w:rsid w:val="00F150EB"/>
    <w:rsid w:val="00F332BB"/>
    <w:rsid w:val="00F34FC8"/>
    <w:rsid w:val="00F4001E"/>
    <w:rsid w:val="00F433F8"/>
    <w:rsid w:val="00F4526F"/>
    <w:rsid w:val="00F5016F"/>
    <w:rsid w:val="00F5762D"/>
    <w:rsid w:val="00F60390"/>
    <w:rsid w:val="00F64A3A"/>
    <w:rsid w:val="00F7791D"/>
    <w:rsid w:val="00F800C5"/>
    <w:rsid w:val="00F81FD9"/>
    <w:rsid w:val="00F84570"/>
    <w:rsid w:val="00F8609C"/>
    <w:rsid w:val="00F878E5"/>
    <w:rsid w:val="00F972BD"/>
    <w:rsid w:val="00FA3DC7"/>
    <w:rsid w:val="00FB68DB"/>
    <w:rsid w:val="00FB7663"/>
    <w:rsid w:val="00FC78B2"/>
    <w:rsid w:val="00FD21D9"/>
    <w:rsid w:val="00FE3E8F"/>
    <w:rsid w:val="00FE6BE3"/>
    <w:rsid w:val="00FF129A"/>
    <w:rsid w:val="00FF1462"/>
    <w:rsid w:val="00FF2572"/>
    <w:rsid w:val="00FF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52A8"/>
  <w15:docId w15:val="{3D9D8D51-0AF7-423E-9BAD-20BE3A85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5">
    <w:name w:val="5"/>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1">
    <w:name w:val="1"/>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4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81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4BF7"/>
    <w:rPr>
      <w:b/>
      <w:bCs/>
    </w:rPr>
  </w:style>
  <w:style w:type="character" w:customStyle="1" w:styleId="CommentSubjectChar">
    <w:name w:val="Comment Subject Char"/>
    <w:basedOn w:val="CommentTextChar"/>
    <w:link w:val="CommentSubject"/>
    <w:uiPriority w:val="99"/>
    <w:semiHidden/>
    <w:rsid w:val="00A44BF7"/>
    <w:rPr>
      <w:b/>
      <w:bCs/>
      <w:sz w:val="20"/>
      <w:szCs w:val="20"/>
    </w:rPr>
  </w:style>
  <w:style w:type="character" w:styleId="Hyperlink">
    <w:name w:val="Hyperlink"/>
    <w:basedOn w:val="DefaultParagraphFont"/>
    <w:uiPriority w:val="99"/>
    <w:unhideWhenUsed/>
    <w:rsid w:val="004D5A60"/>
    <w:rPr>
      <w:color w:val="0563C1" w:themeColor="hyperlink"/>
      <w:u w:val="single"/>
    </w:rPr>
  </w:style>
  <w:style w:type="paragraph" w:styleId="FootnoteText">
    <w:name w:val="footnote text"/>
    <w:basedOn w:val="Normal"/>
    <w:link w:val="FootnoteTextChar"/>
    <w:uiPriority w:val="99"/>
    <w:semiHidden/>
    <w:unhideWhenUsed/>
    <w:rsid w:val="004D5A60"/>
    <w:pPr>
      <w:widowControl/>
      <w:ind w:left="0"/>
    </w:pPr>
    <w:rPr>
      <w:rFonts w:asciiTheme="minorHAnsi" w:eastAsiaTheme="minorHAnsi"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4D5A60"/>
    <w:rPr>
      <w:rFonts w:asciiTheme="minorHAnsi" w:eastAsiaTheme="minorHAnsi" w:hAnsiTheme="minorHAnsi" w:cstheme="minorBidi"/>
      <w:color w:val="auto"/>
      <w:sz w:val="20"/>
      <w:szCs w:val="20"/>
    </w:rPr>
  </w:style>
  <w:style w:type="character" w:styleId="FootnoteReference">
    <w:name w:val="footnote reference"/>
    <w:basedOn w:val="DefaultParagraphFont"/>
    <w:uiPriority w:val="99"/>
    <w:semiHidden/>
    <w:unhideWhenUsed/>
    <w:rsid w:val="004D5A60"/>
    <w:rPr>
      <w:vertAlign w:val="superscript"/>
    </w:rPr>
  </w:style>
  <w:style w:type="paragraph" w:styleId="NormalWeb">
    <w:name w:val="Normal (Web)"/>
    <w:basedOn w:val="Normal"/>
    <w:uiPriority w:val="99"/>
    <w:unhideWhenUsed/>
    <w:rsid w:val="00687944"/>
    <w:pPr>
      <w:widowControl/>
      <w:spacing w:before="100" w:beforeAutospacing="1" w:after="100" w:afterAutospacing="1"/>
      <w:ind w:left="0"/>
    </w:pPr>
    <w:rPr>
      <w:color w:val="auto"/>
    </w:rPr>
  </w:style>
  <w:style w:type="paragraph" w:styleId="ListParagraph">
    <w:name w:val="List Paragraph"/>
    <w:basedOn w:val="Normal"/>
    <w:uiPriority w:val="34"/>
    <w:qFormat/>
    <w:rsid w:val="00687944"/>
    <w:pPr>
      <w:contextualSpacing/>
      <w:jc w:val="both"/>
    </w:pPr>
    <w:rPr>
      <w:rFonts w:ascii="Calibri" w:eastAsia="Calibri" w:hAnsi="Calibri" w:cs="Calibri"/>
      <w:sz w:val="22"/>
      <w:szCs w:val="22"/>
    </w:rPr>
  </w:style>
  <w:style w:type="paragraph" w:styleId="Header">
    <w:name w:val="header"/>
    <w:basedOn w:val="Normal"/>
    <w:link w:val="HeaderChar"/>
    <w:uiPriority w:val="99"/>
    <w:unhideWhenUsed/>
    <w:rsid w:val="00C42C38"/>
    <w:pPr>
      <w:tabs>
        <w:tab w:val="center" w:pos="4680"/>
        <w:tab w:val="right" w:pos="9360"/>
      </w:tabs>
    </w:pPr>
  </w:style>
  <w:style w:type="character" w:customStyle="1" w:styleId="HeaderChar">
    <w:name w:val="Header Char"/>
    <w:basedOn w:val="DefaultParagraphFont"/>
    <w:link w:val="Header"/>
    <w:uiPriority w:val="99"/>
    <w:rsid w:val="00C42C38"/>
  </w:style>
  <w:style w:type="paragraph" w:styleId="Footer">
    <w:name w:val="footer"/>
    <w:basedOn w:val="Normal"/>
    <w:link w:val="FooterChar"/>
    <w:uiPriority w:val="99"/>
    <w:unhideWhenUsed/>
    <w:rsid w:val="00C42C38"/>
    <w:pPr>
      <w:tabs>
        <w:tab w:val="center" w:pos="4680"/>
        <w:tab w:val="right" w:pos="9360"/>
      </w:tabs>
    </w:pPr>
  </w:style>
  <w:style w:type="character" w:customStyle="1" w:styleId="FooterChar">
    <w:name w:val="Footer Char"/>
    <w:basedOn w:val="DefaultParagraphFont"/>
    <w:link w:val="Footer"/>
    <w:uiPriority w:val="99"/>
    <w:rsid w:val="00C42C38"/>
  </w:style>
  <w:style w:type="table" w:customStyle="1" w:styleId="TableGrid6">
    <w:name w:val="Table Grid6"/>
    <w:basedOn w:val="TableNormal"/>
    <w:next w:val="TableGrid"/>
    <w:uiPriority w:val="39"/>
    <w:rsid w:val="006609F1"/>
    <w:pPr>
      <w:widowControl/>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0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0FD5"/>
    <w:rPr>
      <w:color w:val="954F72" w:themeColor="followedHyperlink"/>
      <w:u w:val="single"/>
    </w:rPr>
  </w:style>
  <w:style w:type="paragraph" w:styleId="BodyText">
    <w:name w:val="Body Text"/>
    <w:basedOn w:val="Normal"/>
    <w:link w:val="BodyTextChar"/>
    <w:semiHidden/>
    <w:rsid w:val="00914D6C"/>
    <w:pPr>
      <w:ind w:left="0"/>
    </w:pPr>
    <w:rPr>
      <w:color w:val="auto"/>
      <w:szCs w:val="20"/>
    </w:rPr>
  </w:style>
  <w:style w:type="character" w:customStyle="1" w:styleId="BodyTextChar">
    <w:name w:val="Body Text Char"/>
    <w:basedOn w:val="DefaultParagraphFont"/>
    <w:link w:val="BodyText"/>
    <w:semiHidden/>
    <w:rsid w:val="00914D6C"/>
    <w:rPr>
      <w:color w:val="auto"/>
      <w:szCs w:val="20"/>
    </w:rPr>
  </w:style>
  <w:style w:type="table" w:customStyle="1" w:styleId="TableGrid11">
    <w:name w:val="Table Grid11"/>
    <w:basedOn w:val="TableNormal"/>
    <w:next w:val="TableGrid"/>
    <w:uiPriority w:val="39"/>
    <w:rsid w:val="000428EC"/>
    <w:pPr>
      <w:widowControl/>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0A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9464">
      <w:bodyDiv w:val="1"/>
      <w:marLeft w:val="0"/>
      <w:marRight w:val="0"/>
      <w:marTop w:val="0"/>
      <w:marBottom w:val="0"/>
      <w:divBdr>
        <w:top w:val="none" w:sz="0" w:space="0" w:color="auto"/>
        <w:left w:val="none" w:sz="0" w:space="0" w:color="auto"/>
        <w:bottom w:val="none" w:sz="0" w:space="0" w:color="auto"/>
        <w:right w:val="none" w:sz="0" w:space="0" w:color="auto"/>
      </w:divBdr>
    </w:div>
    <w:div w:id="1083330891">
      <w:bodyDiv w:val="1"/>
      <w:marLeft w:val="0"/>
      <w:marRight w:val="0"/>
      <w:marTop w:val="0"/>
      <w:marBottom w:val="0"/>
      <w:divBdr>
        <w:top w:val="none" w:sz="0" w:space="0" w:color="auto"/>
        <w:left w:val="none" w:sz="0" w:space="0" w:color="auto"/>
        <w:bottom w:val="none" w:sz="0" w:space="0" w:color="auto"/>
        <w:right w:val="none" w:sz="0" w:space="0" w:color="auto"/>
      </w:divBdr>
    </w:div>
    <w:div w:id="1202980174">
      <w:bodyDiv w:val="1"/>
      <w:marLeft w:val="0"/>
      <w:marRight w:val="0"/>
      <w:marTop w:val="0"/>
      <w:marBottom w:val="0"/>
      <w:divBdr>
        <w:top w:val="none" w:sz="0" w:space="0" w:color="auto"/>
        <w:left w:val="none" w:sz="0" w:space="0" w:color="auto"/>
        <w:bottom w:val="none" w:sz="0" w:space="0" w:color="auto"/>
        <w:right w:val="none" w:sz="0" w:space="0" w:color="auto"/>
      </w:divBdr>
    </w:div>
    <w:div w:id="1404718142">
      <w:bodyDiv w:val="1"/>
      <w:marLeft w:val="0"/>
      <w:marRight w:val="0"/>
      <w:marTop w:val="0"/>
      <w:marBottom w:val="0"/>
      <w:divBdr>
        <w:top w:val="none" w:sz="0" w:space="0" w:color="auto"/>
        <w:left w:val="none" w:sz="0" w:space="0" w:color="auto"/>
        <w:bottom w:val="none" w:sz="0" w:space="0" w:color="auto"/>
        <w:right w:val="none" w:sz="0" w:space="0" w:color="auto"/>
      </w:divBdr>
    </w:div>
    <w:div w:id="1928070887">
      <w:bodyDiv w:val="1"/>
      <w:marLeft w:val="0"/>
      <w:marRight w:val="0"/>
      <w:marTop w:val="0"/>
      <w:marBottom w:val="0"/>
      <w:divBdr>
        <w:top w:val="none" w:sz="0" w:space="0" w:color="auto"/>
        <w:left w:val="none" w:sz="0" w:space="0" w:color="auto"/>
        <w:bottom w:val="none" w:sz="0" w:space="0" w:color="auto"/>
        <w:right w:val="none" w:sz="0" w:space="0" w:color="auto"/>
      </w:divBdr>
    </w:div>
    <w:div w:id="2030401564">
      <w:bodyDiv w:val="1"/>
      <w:marLeft w:val="0"/>
      <w:marRight w:val="0"/>
      <w:marTop w:val="0"/>
      <w:marBottom w:val="0"/>
      <w:divBdr>
        <w:top w:val="none" w:sz="0" w:space="0" w:color="auto"/>
        <w:left w:val="none" w:sz="0" w:space="0" w:color="auto"/>
        <w:bottom w:val="none" w:sz="0" w:space="0" w:color="auto"/>
        <w:right w:val="none" w:sz="0" w:space="0" w:color="auto"/>
      </w:divBdr>
      <w:divsChild>
        <w:div w:id="1329744407">
          <w:marLeft w:val="360"/>
          <w:marRight w:val="0"/>
          <w:marTop w:val="0"/>
          <w:marBottom w:val="0"/>
          <w:divBdr>
            <w:top w:val="none" w:sz="0" w:space="0" w:color="auto"/>
            <w:left w:val="none" w:sz="0" w:space="0" w:color="auto"/>
            <w:bottom w:val="none" w:sz="0" w:space="0" w:color="auto"/>
            <w:right w:val="none" w:sz="0" w:space="0" w:color="auto"/>
          </w:divBdr>
        </w:div>
      </w:divsChild>
    </w:div>
    <w:div w:id="2081318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jp.gov/ovc/about/victimsfund.html" TargetMode="External"/><Relationship Id="rId13" Type="http://schemas.openxmlformats.org/officeDocument/2006/relationships/hyperlink" Target="https://governmentcontractregistration.com/sam-registration.asp" TargetMode="External"/><Relationship Id="rId18" Type="http://schemas.openxmlformats.org/officeDocument/2006/relationships/hyperlink" Target="mailto:ronnie.reichgelt@illinois.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rants.illinois.gov" TargetMode="External"/><Relationship Id="rId17" Type="http://schemas.openxmlformats.org/officeDocument/2006/relationships/hyperlink" Target="mailto:cja.vocagrantsunit@illinois.gov" TargetMode="External"/><Relationship Id="rId2" Type="http://schemas.openxmlformats.org/officeDocument/2006/relationships/numbering" Target="numbering.xml"/><Relationship Id="rId16" Type="http://schemas.openxmlformats.org/officeDocument/2006/relationships/hyperlink" Target="http://ojp.gov/financialguide/DOJ/pdfs/2015_DOJ_FinancialGuid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articles/ad-hoc-victim-services-committee-research-report" TargetMode="External"/><Relationship Id="rId5" Type="http://schemas.openxmlformats.org/officeDocument/2006/relationships/webSettings" Target="webSettings.xml"/><Relationship Id="rId15" Type="http://schemas.openxmlformats.org/officeDocument/2006/relationships/hyperlink" Target="http://ojp.gov/financialguide/DOJ/pdfs/2015_DOJ_FinancialGuide.pdf" TargetMode="External"/><Relationship Id="rId10" Type="http://schemas.openxmlformats.org/officeDocument/2006/relationships/hyperlink" Target="http://www.icjia.state.il.us/articles/ad-hoc-victim-services-committee-research-repor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cjia.state.il.us/articles/ad-hoc-victim-services-committee-research-report" TargetMode="External"/><Relationship Id="rId14" Type="http://schemas.openxmlformats.org/officeDocument/2006/relationships/hyperlink" Target="mailto:ronnie.reichgelt@illinois.gov"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batteredwomensnetwork.org/stateofillinoishotlinhttpbatteredwomensnetwork-orgwp-adminpost-phppost33actionedite/" TargetMode="External"/><Relationship Id="rId1" Type="http://schemas.openxmlformats.org/officeDocument/2006/relationships/hyperlink" Target="https://www.justice.gov/ovw/domestic-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F1B7-A4FB-4D8A-BC8D-8E0CC8BAE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5683</Words>
  <Characters>32395</Characters>
  <Application>Microsoft Office Word</Application>
  <DocSecurity>4</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Bereziewicz, Malgorzata</dc:creator>
  <cp:keywords/>
  <dc:description/>
  <cp:lastModifiedBy>Reichgelt, Ronnie</cp:lastModifiedBy>
  <cp:revision>2</cp:revision>
  <cp:lastPrinted>2018-06-07T14:51:00Z</cp:lastPrinted>
  <dcterms:created xsi:type="dcterms:W3CDTF">2019-05-09T18:15:00Z</dcterms:created>
  <dcterms:modified xsi:type="dcterms:W3CDTF">2019-05-09T18:15:00Z</dcterms:modified>
</cp:coreProperties>
</file>