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Booleans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(07:15:28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lab serves multiple goals:</w:t>
      </w:r>
    </w:p>
    <w:p>
      <w:pPr>
        <w:pStyle w:val="Compact"/>
        <w:numPr>
          <w:ilvl w:val="0"/>
          <w:numId w:val="1001"/>
        </w:numPr>
      </w:pPr>
      <w:r>
        <w:t xml:space="preserve">To help you manipulate boolean values,</w:t>
      </w:r>
    </w:p>
    <w:p>
      <w:pPr>
        <w:pStyle w:val="Compact"/>
        <w:numPr>
          <w:ilvl w:val="0"/>
          <w:numId w:val="1001"/>
        </w:numPr>
      </w:pPr>
      <w:r>
        <w:t xml:space="preserve">To practice boolean operators,</w:t>
      </w:r>
    </w:p>
    <w:p>
      <w:pPr>
        <w:pStyle w:val="Compact"/>
        <w:numPr>
          <w:ilvl w:val="0"/>
          <w:numId w:val="1001"/>
        </w:numPr>
      </w:pPr>
      <w:r>
        <w:t xml:space="preserve">To understand the concept of</w:t>
      </w:r>
      <w:r>
        <w:t xml:space="preserve"> </w:t>
      </w:r>
      <w:r>
        <w:rPr>
          <w:i/>
          <w:iCs/>
        </w:rPr>
        <w:t xml:space="preserve">precedence</w:t>
      </w:r>
      <w:r>
        <w:t xml:space="preserve">,</w:t>
      </w:r>
    </w:p>
    <w:p>
      <w:pPr>
        <w:pStyle w:val="Compact"/>
        <w:numPr>
          <w:ilvl w:val="0"/>
          <w:numId w:val="1001"/>
        </w:numPr>
      </w:pPr>
      <w:r>
        <w:t xml:space="preserve">To practice simple mental calculations.</w:t>
      </w:r>
    </w:p>
    <w:bookmarkStart w:id="25" w:name="truth-tables"/>
    <w:p>
      <w:pPr>
        <w:pStyle w:val="Heading1"/>
      </w:pPr>
      <w:r>
        <w:t xml:space="preserve">Truth Tables</w:t>
      </w:r>
    </w:p>
    <w:p>
      <w:pPr>
        <w:numPr>
          <w:ilvl w:val="0"/>
          <w:numId w:val="1002"/>
        </w:numPr>
      </w:pPr>
      <w:r>
        <w:t xml:space="preserve">Copy and paste the following code into the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 of a new project: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"Conjunction (and, &amp;&amp;) truth table:"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 &amp;&amp; 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||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|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--------||--------------|--------"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||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|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||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|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*-*-*-*-*-*-*-*-*-*-*-*-*-*-*-*-*-*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"Negation (not, !) truth table:"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 value 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||  ! "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--------||----------"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||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||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*-*-*-*-*-*-*-*-*-*-*-*-*-*-*-*-*-*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numPr>
          <w:ilvl w:val="0"/>
          <w:numId w:val="1002"/>
        </w:numPr>
      </w:pPr>
      <w:r>
        <w:t xml:space="preserve">Compile and execute it. This should display to the screen the</w:t>
      </w:r>
      <w:r>
        <w:t xml:space="preserve"> </w:t>
      </w:r>
      <w:hyperlink r:id="rId21">
        <w:r>
          <w:rPr>
            <w:rStyle w:val="Hyperlink"/>
          </w:rPr>
          <w:t xml:space="preserve">truth tables</w:t>
        </w:r>
      </w:hyperlink>
      <w:r>
        <w:t xml:space="preserve"> </w:t>
      </w:r>
      <w:r>
        <w:t xml:space="preserve">for conjunction (and,</w:t>
      </w:r>
      <w:r>
        <w:t xml:space="preserve"> </w:t>
      </w:r>
      <w:r>
        <w:rPr>
          <w:rStyle w:val="OperatorTok"/>
        </w:rPr>
        <w:t xml:space="preserve">&amp;&amp;</w:t>
      </w:r>
      <w:r>
        <w:t xml:space="preserve">) and negation (not,</w:t>
      </w:r>
      <w:r>
        <w:t xml:space="preserve"> </w:t>
      </w:r>
      <w:r>
        <w:rPr>
          <w:rStyle w:val="OperatorTok"/>
        </w:rPr>
        <w:t xml:space="preserve">!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Make sure you understand both the code and its output.</w:t>
      </w:r>
    </w:p>
    <w:p>
      <w:pPr>
        <w:numPr>
          <w:ilvl w:val="0"/>
          <w:numId w:val="1002"/>
        </w:numPr>
      </w:pPr>
      <w:r>
        <w:t xml:space="preserve">After the truth table for the negation, write code to display the truth tables for three binary operators:</w:t>
      </w:r>
    </w:p>
    <w:p>
      <w:pPr>
        <w:pStyle w:val="Compact"/>
        <w:numPr>
          <w:ilvl w:val="1"/>
          <w:numId w:val="1003"/>
        </w:numPr>
      </w:pPr>
      <w:r>
        <w:t xml:space="preserve">the disjunction (or,</w:t>
      </w:r>
      <w:r>
        <w:t xml:space="preserve"> </w:t>
      </w:r>
      <w:r>
        <w:rPr>
          <w:rStyle w:val="OperatorTok"/>
        </w:rPr>
        <w:t xml:space="preserve">||</w:t>
      </w:r>
      <w:r>
        <w:t xml:space="preserve">),</w:t>
      </w:r>
    </w:p>
    <w:p>
      <w:pPr>
        <w:pStyle w:val="Compact"/>
        <w:numPr>
          <w:ilvl w:val="1"/>
          <w:numId w:val="1003"/>
        </w:numPr>
      </w:pPr>
      <w:r>
        <w:t xml:space="preserve">the identity (equality,</w:t>
      </w:r>
      <w:r>
        <w:t xml:space="preserve"> </w:t>
      </w:r>
      <w:r>
        <w:rPr>
          <w:rStyle w:val="OperatorTok"/>
        </w:rPr>
        <w:t xml:space="preserve">==</w:t>
      </w:r>
      <w:r>
        <w:t xml:space="preserve">), and</w:t>
      </w:r>
    </w:p>
    <w:p>
      <w:pPr>
        <w:pStyle w:val="Compact"/>
        <w:numPr>
          <w:ilvl w:val="1"/>
          <w:numId w:val="1003"/>
        </w:numPr>
      </w:pPr>
      <w:r>
        <w:t xml:space="preserve">the difference (inequality,</w:t>
      </w:r>
      <w:r>
        <w:t xml:space="preserve"> </w:t>
      </w:r>
      <w:r>
        <w:rPr>
          <w:rStyle w:val="OperatorTok"/>
        </w:rPr>
        <w:t xml:space="preserve">!=</w:t>
      </w:r>
      <w:r>
        <w:t xml:space="preserve">).</w:t>
      </w:r>
    </w:p>
    <w:p>
      <w:pPr>
        <w:numPr>
          <w:ilvl w:val="0"/>
          <w:numId w:val="1000"/>
        </w:numPr>
      </w:pPr>
      <w:r>
        <w:t xml:space="preserve">Normally, copying the truth table for the conjunction and using the find-and-replace feature of your IDE should make this a quick and easy task.</w:t>
      </w:r>
    </w:p>
    <w:p>
      <w:pPr>
        <w:numPr>
          <w:ilvl w:val="0"/>
          <w:numId w:val="1002"/>
        </w:numPr>
      </w:pPr>
      <w:r>
        <w:t xml:space="preserve">You can make sure you completed this exercise correctly by checking that your output matches the truth tables on Wikipedia for</w:t>
      </w:r>
      <w:r>
        <w:t xml:space="preserve"> </w:t>
      </w:r>
      <w:hyperlink r:id="rId22">
        <w:r>
          <w:rPr>
            <w:rStyle w:val="Hyperlink"/>
          </w:rPr>
          <w:t xml:space="preserve">disjunction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equality</w:t>
        </w:r>
      </w:hyperlink>
      <w:r>
        <w:t xml:space="preserve">. To check the inequality truth table, compare your output against the table for</w:t>
      </w:r>
      <w:r>
        <w:t xml:space="preserve"> </w:t>
      </w:r>
      <w:hyperlink r:id="rId24">
        <w:r>
          <w:rPr>
            <w:rStyle w:val="Hyperlink"/>
          </w:rPr>
          <w:t xml:space="preserve">exclusive disjunction</w:t>
        </w:r>
      </w:hyperlink>
      <w:r>
        <w:t xml:space="preserve">. Exclusive disjunction (XOR) is conceptually different than inequality but has the same truth table.</w:t>
      </w:r>
    </w:p>
    <w:bookmarkEnd w:id="25"/>
    <w:bookmarkStart w:id="32" w:name="precedence-and-order-of-evaluation"/>
    <w:p>
      <w:pPr>
        <w:pStyle w:val="Heading1"/>
      </w:pPr>
      <w:r>
        <w:t xml:space="preserve">Precedence and Order of Evaluation</w:t>
      </w:r>
    </w:p>
    <w:bookmarkStart w:id="29" w:name="reading-and-understanding"/>
    <w:p>
      <w:pPr>
        <w:pStyle w:val="Heading2"/>
      </w:pPr>
      <w:r>
        <w:t xml:space="preserve">Reading and Understanding</w:t>
      </w:r>
    </w:p>
    <w:p>
      <w:pPr>
        <w:pStyle w:val="FirstParagraph"/>
      </w:pPr>
      <w:r>
        <w:t xml:space="preserve">If you read the</w:t>
      </w:r>
      <w:r>
        <w:t xml:space="preserve"> </w:t>
      </w:r>
      <w:hyperlink r:id="rId26">
        <w:r>
          <w:rPr>
            <w:rStyle w:val="Hyperlink"/>
          </w:rPr>
          <w:t xml:space="preserve">documentation on operator precedence</w:t>
        </w:r>
      </w:hyperlink>
      <w:r>
        <w:t xml:space="preserve">, you will see that operators are evaluated in a particular order.</w:t>
      </w:r>
      <w:r>
        <w:t xml:space="preserve"> </w:t>
      </w:r>
      <w:r>
        <w:t xml:space="preserve">This order is also given</w:t>
      </w:r>
      <w:r>
        <w:t xml:space="preserve"> </w:t>
      </w:r>
      <w:hyperlink r:id="rId27">
        <w:r>
          <w:rPr>
            <w:rStyle w:val="Hyperlink"/>
          </w:rPr>
          <w:t xml:space="preserve">in our notes</w:t>
        </w:r>
      </w:hyperlink>
      <w:r>
        <w:t xml:space="preserve">.</w:t>
      </w:r>
    </w:p>
    <w:p>
      <w:pPr>
        <w:pStyle w:val="BodyText"/>
      </w:pPr>
      <w:r>
        <w:t xml:space="preserve">For instance,</w:t>
      </w:r>
      <w: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t xml:space="preserve"> </w:t>
      </w:r>
      <w:r>
        <w:t xml:space="preserve">will be evaluated 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232"/>
        <w:gridCol w:w="3494"/>
        <w:gridCol w:w="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OperatorTok"/>
              </w:rPr>
              <w:t xml:space="preserve">!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true</w:t>
            </w:r>
            <w: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&amp;&amp;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KeywordTok"/>
              </w:rPr>
              <w:t xml:space="preserve">false</w:t>
            </w:r>
            <w: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&amp;&amp;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OperatorTok"/>
              </w:rP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&amp;&amp;</w:t>
            </w:r>
            <w: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t xml:space="preserve">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&amp;&amp;</w:t>
            </w:r>
            <w: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t xml:space="preserve">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OperatorTok"/>
              </w:rP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&amp;&amp;</w:t>
            </w:r>
            <w: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&amp;&amp;</w:t>
            </w:r>
            <w:r>
              <w:t xml:space="preserve"> </w:t>
            </w:r>
            <w:r>
              <w:rPr>
                <w:rStyle w:val="KeywordTok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OperatorTok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t xml:space="preserve"> </w:t>
            </w: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&amp;&amp;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t xml:space="preserve"> </w:t>
            </w:r>
            <w:r>
              <w:rPr>
                <w:rStyle w:val="KeywordTok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OperatorTok"/>
              </w:rPr>
              <w:t xml:space="preserve">&amp;&amp;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KeywordTok"/>
              </w:rPr>
              <w:t xml:space="preserve">false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KeywordTok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OperatorTok"/>
              </w:rPr>
              <w:t xml:space="preserve">||</w:t>
            </w:r>
          </w:p>
        </w:tc>
      </w:tr>
    </w:tbl>
    <w:p>
      <w:pPr>
        <w:pStyle w:val="BodyText"/>
      </w:pPr>
      <w:r>
        <w:t xml:space="preserve">Note that an expression like</w:t>
      </w:r>
      <w:r>
        <w:t xml:space="preserve"> </w:t>
      </w:r>
      <w:r>
        <w:rPr>
          <w:rStyle w:val="OperatorTok"/>
        </w:rPr>
        <w:t xml:space="preserve">!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t xml:space="preserve"> </w:t>
      </w:r>
      <w:r>
        <w:t xml:space="preserve">does not make any sense: C# would try to take the negation of</w:t>
      </w:r>
      <w:r>
        <w:t xml:space="preserve"> </w:t>
      </w:r>
      <w:r>
        <w:rPr>
          <w:rStyle w:val="DecValTok"/>
        </w:rPr>
        <w:t xml:space="preserve">3</w:t>
      </w:r>
      <w:r>
        <w:t xml:space="preserve"> </w:t>
      </w:r>
      <w:r>
        <w:t xml:space="preserve">(since</w:t>
      </w:r>
      <w:r>
        <w:t xml:space="preserve"> </w:t>
      </w:r>
      <w:r>
        <w:rPr>
          <w:rStyle w:val="OperatorTok"/>
        </w:rPr>
        <w:t xml:space="preserve">!</w:t>
      </w:r>
      <w:r>
        <w:t xml:space="preserve"> </w:t>
      </w:r>
      <w:r>
        <w:t xml:space="preserve">has higher precedence than</w:t>
      </w:r>
      <w:r>
        <w:t xml:space="preserve"> </w:t>
      </w:r>
      <w:r>
        <w:rPr>
          <w:rStyle w:val="OperatorTok"/>
        </w:rPr>
        <w:t xml:space="preserve">&gt;</w:t>
      </w:r>
      <w:r>
        <w:t xml:space="preserve">), but you cannot negate the truth value of an integer!</w:t>
      </w:r>
      <w:r>
        <w:t xml:space="preserve"> </w:t>
      </w:r>
      <w:r>
        <w:t xml:space="preserve">Along the same lines, an expression like</w:t>
      </w:r>
      <w: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t xml:space="preserve"> </w:t>
      </w:r>
      <w:r>
        <w:t xml:space="preserve">does not make sense; you can not multiply booleans (what would be</w:t>
      </w:r>
      <w:r>
        <w:t xml:space="preserve"> </w:t>
      </w:r>
      <w:r>
        <w:t xml:space="preserve">“</w:t>
      </w:r>
      <w:r>
        <w:t xml:space="preserve">true times false</w:t>
      </w:r>
      <w:r>
        <w:t xml:space="preserve">”</w:t>
      </w:r>
      <w:r>
        <w:t xml:space="preserve">?)!</w:t>
      </w:r>
      <w:r>
        <w:t xml:space="preserve"> </w:t>
      </w:r>
      <w:r>
        <w:t xml:space="preserve">Similarly,</w:t>
      </w:r>
      <w: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t xml:space="preserve"> </w:t>
      </w:r>
      <w:r>
        <w:t xml:space="preserve">will cause an error; can you see why? These are all examples of</w:t>
      </w:r>
      <w:r>
        <w:t xml:space="preserve"> </w:t>
      </w:r>
      <w:r>
        <w:t xml:space="preserve">“</w:t>
      </w:r>
      <w:r>
        <w:t xml:space="preserve">illegal</w:t>
      </w:r>
      <w:r>
        <w:t xml:space="preserve">”</w:t>
      </w:r>
      <w:r>
        <w:t xml:space="preserve"> </w:t>
      </w:r>
      <w:r>
        <w:t xml:space="preserve">expressions.</w:t>
      </w:r>
    </w:p>
    <w:p>
      <w:pPr>
        <w:pStyle w:val="BodyText"/>
      </w:pPr>
      <w:r>
        <w:t xml:space="preserve">Solution:</w:t>
      </w:r>
    </w:p>
    <w:p>
      <w:pPr>
        <w:pStyle w:val="BodyText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t xml:space="preserve"> </w:t>
      </w:r>
      <w:r>
        <w:t xml:space="preserve">would cause an error because the</w:t>
      </w:r>
      <w:r>
        <w:t xml:space="preserve"> </w:t>
      </w:r>
      <w:r>
        <w:rPr>
          <w:rStyle w:val="OperatorTok"/>
        </w:rPr>
        <w:t xml:space="preserve">%</w:t>
      </w:r>
      <w:r>
        <w:t xml:space="preserve"> </w:t>
      </w:r>
      <w:r>
        <w:t xml:space="preserve">operator (called</w:t>
      </w:r>
      <w:r>
        <w:t xml:space="preserve"> </w:t>
      </w:r>
      <w:hyperlink r:id="rId28">
        <w:r>
          <w:rPr>
            <w:rStyle w:val="Hyperlink"/>
          </w:rPr>
          <w:t xml:space="preserve">the remainder operator</w:t>
        </w:r>
      </w:hyperlink>
      <w:r>
        <w:t xml:space="preserve">) expects two numerical datatypes, but</w:t>
      </w:r>
      <w:r>
        <w:t xml:space="preserve"> </w:t>
      </w:r>
      <w:r>
        <w:rPr>
          <w:rStyle w:val="KeywordTok"/>
        </w:rPr>
        <w:t xml:space="preserve">false</w:t>
      </w:r>
      <w:r>
        <w:t xml:space="preserve"> </w:t>
      </w:r>
      <w:r>
        <w:t xml:space="preserve">is not of a numerical datatype, as it is a Boolean.</w:t>
      </w:r>
    </w:p>
    <w:bookmarkEnd w:id="29"/>
    <w:bookmarkStart w:id="30" w:name="computing-simple-boolean-expressions"/>
    <w:p>
      <w:pPr>
        <w:pStyle w:val="Heading2"/>
      </w:pPr>
      <w:r>
        <w:t xml:space="preserve">Computing Simple Boolean Expressions</w:t>
      </w:r>
    </w:p>
    <w:p>
      <w:pPr>
        <w:pStyle w:val="FirstParagraph"/>
      </w:pPr>
      <w:r>
        <w:t xml:space="preserve">Evaluate the following expressions.</w:t>
      </w:r>
      <w:r>
        <w:t xml:space="preserve"> </w:t>
      </w:r>
      <w:r>
        <w:t xml:space="preserve">Try to do this</w:t>
      </w:r>
      <w:r>
        <w:t xml:space="preserve"> </w:t>
      </w:r>
      <w:r>
        <w:t xml:space="preserve">“</w:t>
      </w:r>
      <w:r>
        <w:t xml:space="preserve">by hand,</w:t>
      </w:r>
      <w:r>
        <w:t xml:space="preserve">”</w:t>
      </w:r>
      <w:r>
        <w:t xml:space="preserve"> </w:t>
      </w:r>
      <w:r>
        <w:t xml:space="preserve">and write your answers down on paper.</w:t>
      </w:r>
    </w:p>
    <w:p>
      <w:pPr>
        <w:pStyle w:val="Compact"/>
        <w:numPr>
          <w:ilvl w:val="0"/>
          <w:numId w:val="1004"/>
        </w:numPr>
      </w:pP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</w:p>
    <w:p>
      <w:pPr>
        <w:pStyle w:val="Compact"/>
        <w:numPr>
          <w:ilvl w:val="0"/>
          <w:numId w:val="1004"/>
        </w:numPr>
      </w:pPr>
      <w:r>
        <w:rPr>
          <w:rStyle w:val="OperatorTok"/>
        </w:rPr>
        <w:t xml:space="preserve">!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</w:p>
    <w:p>
      <w:pPr>
        <w:pStyle w:val="Compact"/>
        <w:numPr>
          <w:ilvl w:val="0"/>
          <w:numId w:val="1004"/>
        </w:numPr>
      </w:pP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false</w:t>
      </w:r>
    </w:p>
    <w:p>
      <w:pPr>
        <w:pStyle w:val="Compact"/>
        <w:numPr>
          <w:ilvl w:val="0"/>
          <w:numId w:val="1004"/>
        </w:numPr>
      </w:pP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</w:p>
    <w:p>
      <w:pPr>
        <w:pStyle w:val="Compact"/>
        <w:numPr>
          <w:ilvl w:val="0"/>
          <w:numId w:val="1004"/>
        </w:numPr>
      </w:pPr>
      <w:r>
        <w:rPr>
          <w:rStyle w:val="OperatorTok"/>
        </w:rPr>
        <w:t xml:space="preserve">!(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OperatorTok"/>
        </w:rPr>
        <w:t xml:space="preserve">!(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OperatorTok"/>
        </w:rPr>
        <w:t xml:space="preserve">!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Solution:</w:t>
      </w:r>
    </w:p>
    <w:p>
      <w:pPr>
        <w:pStyle w:val="BodyText"/>
      </w:pPr>
      <w:r>
        <w:t xml:space="preserve">You can actually use your IDE to check your answers!</w:t>
      </w:r>
      <w:r>
        <w:t xml:space="preserve"> </w:t>
      </w:r>
      <w:r>
        <w:t xml:space="preserve">Simply copy-and-paste the following in a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answers are: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&amp;&amp; false || true: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"!true &amp;&amp; false: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 || true &amp;&amp; !false: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 == !true || false: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"!(true || false || true &amp;&amp; true):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"!(true || false) &amp;&amp; (true &amp;&amp; !false):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"!true || false &amp;&amp; (true &amp;&amp; !false):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!= !(false || true):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);</w:t>
      </w:r>
    </w:p>
    <w:bookmarkEnd w:id="30"/>
    <w:bookmarkStart w:id="31" w:name="X89c7cde177cfe708152df79b5d1d2036704c23d"/>
    <w:p>
      <w:pPr>
        <w:pStyle w:val="Heading2"/>
      </w:pPr>
      <w:r>
        <w:t xml:space="preserve">Computing Expressions Involving Booleans and Numerical Values</w:t>
      </w:r>
    </w:p>
    <w:p>
      <w:pPr>
        <w:pStyle w:val="FirstParagraph"/>
      </w:pPr>
      <w:r>
        <w:t xml:space="preserve">For each of the following expressions, decide if it is</w:t>
      </w:r>
      <w:r>
        <w:t xml:space="preserve"> </w:t>
      </w:r>
      <w:r>
        <w:t xml:space="preserve">“</w:t>
      </w:r>
      <w:r>
        <w:t xml:space="preserve">legal</w:t>
      </w:r>
      <w:r>
        <w:t xml:space="preserve">”</w:t>
      </w:r>
      <w:r>
        <w:t xml:space="preserve"> </w:t>
      </w:r>
      <w:r>
        <w:t xml:space="preserve">or not.</w:t>
      </w:r>
      <w:r>
        <w:t xml:space="preserve"> </w:t>
      </w:r>
      <w:r>
        <w:t xml:space="preserve">If it is, give the result of its evaluation.</w:t>
      </w:r>
    </w:p>
    <w:p>
      <w:pPr>
        <w:pStyle w:val="Compact"/>
        <w:numPr>
          <w:ilvl w:val="0"/>
          <w:numId w:val="1005"/>
        </w:numPr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Compact"/>
        <w:numPr>
          <w:ilvl w:val="0"/>
          <w:numId w:val="1005"/>
        </w:numPr>
      </w:pP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Compact"/>
        <w:numPr>
          <w:ilvl w:val="0"/>
          <w:numId w:val="1005"/>
        </w:numPr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</w:p>
    <w:p>
      <w:pPr>
        <w:pStyle w:val="Compact"/>
        <w:numPr>
          <w:ilvl w:val="0"/>
          <w:numId w:val="1005"/>
        </w:numPr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</w:p>
    <w:p>
      <w:pPr>
        <w:pStyle w:val="Compact"/>
        <w:numPr>
          <w:ilvl w:val="0"/>
          <w:numId w:val="1005"/>
        </w:numPr>
      </w:pP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</w:p>
    <w:p>
      <w:pPr>
        <w:pStyle w:val="Compact"/>
        <w:numPr>
          <w:ilvl w:val="0"/>
          <w:numId w:val="1005"/>
        </w:numPr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</w:p>
    <w:p>
      <w:pPr>
        <w:pStyle w:val="FirstParagraph"/>
      </w:pPr>
      <w:r>
        <w:t xml:space="preserve">Solution:</w:t>
      </w:r>
    </w:p>
    <w:p>
      <w:pPr>
        <w:pStyle w:val="Compact"/>
        <w:numPr>
          <w:ilvl w:val="0"/>
          <w:numId w:val="1006"/>
        </w:numPr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t xml:space="preserve"> </w:t>
      </w:r>
      <w:r>
        <w:t xml:space="preserve">is legal (comparing numerical values)</w:t>
      </w:r>
    </w:p>
    <w:p>
      <w:pPr>
        <w:pStyle w:val="Compact"/>
        <w:numPr>
          <w:ilvl w:val="0"/>
          <w:numId w:val="1006"/>
        </w:numPr>
      </w:pP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t xml:space="preserve"> </w:t>
      </w:r>
      <w:r>
        <w:t xml:space="preserve">is legal (comparing numerical values)</w:t>
      </w:r>
    </w:p>
    <w:p>
      <w:pPr>
        <w:pStyle w:val="Compact"/>
        <w:numPr>
          <w:ilvl w:val="0"/>
          <w:numId w:val="1006"/>
        </w:numPr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t xml:space="preserve"> </w:t>
      </w:r>
      <w:r>
        <w:t xml:space="preserve">is legal (we first convert</w:t>
      </w:r>
      <w: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t xml:space="preserve"> </w:t>
      </w:r>
      <w:r>
        <w:t xml:space="preserve">to</w:t>
      </w:r>
      <w:r>
        <w:t xml:space="preserve"> </w:t>
      </w:r>
      <w:r>
        <w:rPr>
          <w:rStyle w:val="NormalTok"/>
        </w:rPr>
        <w:t xml:space="preserve">True</w:t>
      </w:r>
      <w:r>
        <w:t xml:space="preserve">, and then test if</w:t>
      </w:r>
      <w:r>
        <w:t xml:space="preserve"> </w:t>
      </w:r>
      <w:r>
        <w:rPr>
          <w:rStyle w:val="KeywordTok"/>
        </w:rPr>
        <w:t xml:space="preserve">true</w:t>
      </w:r>
      <w:r>
        <w:t xml:space="preserve"> </w:t>
      </w:r>
      <w:r>
        <w:t xml:space="preserve">is different from</w:t>
      </w:r>
      <w:r>
        <w:t xml:space="preserve"> </w:t>
      </w:r>
      <w:r>
        <w:rPr>
          <w:rStyle w:val="KeywordTok"/>
        </w:rPr>
        <w:t xml:space="preserve">false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legal</w:t>
      </w:r>
      <w:r>
        <w:t xml:space="preserve"> </w:t>
      </w:r>
      <w:r>
        <w:t xml:space="preserve">(a boolean value cannot be less than a numerical value)</w:t>
      </w:r>
    </w:p>
    <w:p>
      <w:pPr>
        <w:pStyle w:val="Compact"/>
        <w:numPr>
          <w:ilvl w:val="0"/>
          <w:numId w:val="1006"/>
        </w:numPr>
      </w:pP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t xml:space="preserve"> </w:t>
      </w:r>
      <w:r>
        <w:t xml:space="preserve">is legal (</w:t>
      </w:r>
      <w:r>
        <w:rPr>
          <w:rStyle w:val="OperatorTok"/>
        </w:rPr>
        <w:t xml:space="preserve">+</w:t>
      </w:r>
      <w:r>
        <w:t xml:space="preserve"> </w:t>
      </w:r>
      <w:r>
        <w:t xml:space="preserve">and</w:t>
      </w:r>
      <w:r>
        <w:t xml:space="preserve"> </w:t>
      </w:r>
      <w:r>
        <w:rPr>
          <w:rStyle w:val="OperatorTok"/>
        </w:rPr>
        <w:t xml:space="preserve">*</w:t>
      </w:r>
      <w:r>
        <w:t xml:space="preserve"> </w:t>
      </w:r>
      <w:r>
        <w:t xml:space="preserve">are evaluated first, then</w:t>
      </w:r>
      <w:r>
        <w:t xml:space="preserve"> </w:t>
      </w:r>
      <w:r>
        <w:rPr>
          <w:rStyle w:val="OperatorTok"/>
        </w:rPr>
        <w:t xml:space="preserve">==</w:t>
      </w:r>
      <w:r>
        <w:t xml:space="preserve"> </w:t>
      </w:r>
      <w:r>
        <w:t xml:space="preserve">compares two numerical values, resulting in a boolean value that can be tested for equality against</w:t>
      </w:r>
      <w:r>
        <w:t xml:space="preserve"> </w:t>
      </w:r>
      <w:r>
        <w:rPr>
          <w:rStyle w:val="KeywordTok"/>
        </w:rPr>
        <w:t xml:space="preserve">true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legal</w:t>
      </w:r>
      <w:r>
        <w:t xml:space="preserve"> </w:t>
      </w:r>
      <w:r>
        <w:t xml:space="preserve">(</w:t>
      </w:r>
      <w:r>
        <w:rPr>
          <w:rStyle w:val="OperatorTok"/>
        </w:rPr>
        <w:t xml:space="preserve">+</w:t>
      </w:r>
      <w:r>
        <w:t xml:space="preserve"> </w:t>
      </w:r>
      <w:r>
        <w:t xml:space="preserve">is evaluated first, but a numerical value and a boolean cannot be summed).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6" Target="https://docs.microsoft.com/en-us/dotnet/csharp/language-reference/operators/#operator-precedence" TargetMode="External" /><Relationship Type="http://schemas.openxmlformats.org/officeDocument/2006/relationships/hyperlink" Id="rId28" Target="https://learn.microsoft.com/en-us/dotnet/csharp/language-reference/operators/arithmetic-operators#remainder-operator-" TargetMode="External" /><Relationship Type="http://schemas.openxmlformats.org/officeDocument/2006/relationships/hyperlink" Id="rId21" Target="https://www.wikiwand.com/en/Truth_table" TargetMode="External" /><Relationship Type="http://schemas.openxmlformats.org/officeDocument/2006/relationships/hyperlink" Id="rId24" Target="https://www.wikiwand.com/en/Truth_table#Exclusive_disjunction" TargetMode="External" /><Relationship Type="http://schemas.openxmlformats.org/officeDocument/2006/relationships/hyperlink" Id="rId22" Target="https://www.wikiwand.com/en/Truth_table#Logical_disjunction_(OR)" TargetMode="External" /><Relationship Type="http://schemas.openxmlformats.org/officeDocument/2006/relationships/hyperlink" Id="rId23" Target="https://www.wikiwand.com/en/Truth_table#Logical_equality" TargetMode="External" /><Relationship Type="http://schemas.openxmlformats.org/officeDocument/2006/relationships/hyperlink" Id="rId27" Target="labs/Booleans/../../book.html#precedence-of-operators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6" Target="https://docs.microsoft.com/en-us/dotnet/csharp/language-reference/operators/#operator-precedence" TargetMode="External" /><Relationship Type="http://schemas.openxmlformats.org/officeDocument/2006/relationships/hyperlink" Id="rId28" Target="https://learn.microsoft.com/en-us/dotnet/csharp/language-reference/operators/arithmetic-operators#remainder-operator-" TargetMode="External" /><Relationship Type="http://schemas.openxmlformats.org/officeDocument/2006/relationships/hyperlink" Id="rId21" Target="https://www.wikiwand.com/en/Truth_table" TargetMode="External" /><Relationship Type="http://schemas.openxmlformats.org/officeDocument/2006/relationships/hyperlink" Id="rId24" Target="https://www.wikiwand.com/en/Truth_table#Exclusive_disjunction" TargetMode="External" /><Relationship Type="http://schemas.openxmlformats.org/officeDocument/2006/relationships/hyperlink" Id="rId22" Target="https://www.wikiwand.com/en/Truth_table#Logical_disjunction_(OR)" TargetMode="External" /><Relationship Type="http://schemas.openxmlformats.org/officeDocument/2006/relationships/hyperlink" Id="rId23" Target="https://www.wikiwand.com/en/Truth_table#Logical_equality" TargetMode="External" /><Relationship Type="http://schemas.openxmlformats.org/officeDocument/2006/relationships/hyperlink" Id="rId27" Target="labs/Booleans/../../book.html#precedence-of-operators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Booleans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2024-03-27T23:15:39Z</dcterms:created>
  <dcterms:modified xsi:type="dcterms:W3CDTF">2024-03-27T23:15:39Z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(07:15:28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