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jc w:val="left"/>
      </w:pPr>
      <w:r>
        <w:t>**Paediatric Obstructive Sleep Apnoea**</w:t>
      </w:r>
    </w:p>
    <w:p/>
    <w:p>
      <w:r>
        <w:t>#### **Methodology Note**</w:t>
      </w:r>
    </w:p>
    <w:p/>
    <w:p>
      <w:r>
        <w:t>The following competitive analysis evaluates each practitioner's patient education content on a 1-10 scale across four key criteria. These are: **Depth and Comprehensiveness** (coverage of causes, symptoms, and treatments); **Clarity and Patient-Centricity** (use of plain English and addressing parental concerns); **'AI Citability' Structure** (use of question-based headings and summaries for search engine visibility); and **E-E-A-T Signals** (on-page demonstration of Experience, Expertise, Authoritativeness, and Trustworthiness).</w:t>
      </w:r>
    </w:p>
    <w:p/>
    <w:p>
      <w:r>
        <w:t>#### **Competitor 1: Sydney ENT Clinic (Hills ENT)**</w:t>
      </w:r>
    </w:p>
    <w:p/>
    <w:p>
      <w:pPr>
        <w:pStyle w:val="ListBullet"/>
      </w:pPr>
      <w:r>
        <w:t>**Content Analysed:** "Children's Snoring" page.3</w:t>
      </w:r>
    </w:p>
    <w:p>
      <w:pPr>
        <w:pStyle w:val="ListBullet"/>
      </w:pPr>
      <w:r>
        <w:t>**Depth and Comprehensiveness (8/10):** The content is robust and detailed, particularly in its explanation of the consequences of untreated Sleep Disordered Breathing (SDB). It effectively links the condition to tangible developmental issues such as impacts on growth, behaviour, brain development, and even a potential 10-17 point difference in IQ.3 The page thoroughly discusses diagnosis, including the roles of an ENT evaluation and a potential sleep study, and outlines surgical options like adenotonsillectomy and turbinate reduction, providing specific success rates of 85-92%.3 The primary weakness is a lack of detailed discussion regarding non-surgical management strategies, a significant omission for parents exploring all avenues of care.</w:t>
      </w:r>
    </w:p>
    <w:p>
      <w:pPr>
        <w:pStyle w:val="ListBullet"/>
      </w:pPr>
      <w:r>
        <w:t>**Clarity and Patient-Centricity (7/10):** The language is accessible and effectively addresses common parental concerns by connecting SDB to relatable problems like bedwetting, Attention Deficit Disorder (ADD), and poor school performance.3 The strategic decision to frame the page around "Children's Snoring" rather than the clinical term "Sleep Apnoea" is noteworthy. This approach captures a broader audience of parents at an earlier, symptom-aware stage of their information-seeking journey. While effective for top-of-funnel traffic, it may fail to connect with parents who have already been given the specific diagnosis of OSA and are searching accordingly.</w:t>
      </w:r>
    </w:p>
    <w:p>
      <w:pPr>
        <w:pStyle w:val="ListBullet"/>
      </w:pPr>
      <w:r>
        <w:t>**'AI Citability' Structure (6/10):** The page structure is moderately effective for modern search engines. It employs some question-based headings and uses bullet points to list the consequences of SDB, which enhances scannability for both human readers and AI crawlers.3 However, it critically lacks a concise 'Answer-First' summary at the top of the page. This forces users and algorithms to parse the entire article to understand the core definition of the condition, reducing its efficiency as a citable entity.</w:t>
      </w:r>
    </w:p>
    <w:p>
      <w:pPr>
        <w:pStyle w:val="ListBullet"/>
      </w:pPr>
      <w:r>
        <w:t>**E-E-A-T Signals (8/10):** This is the page's most significant strength. It provides strong, direct signals of expertise by clearly listing the full names and credentials of four specialist surgeons: A/Prof Nirmal Patel, Dr. Leo Pang, Dr. Justin Kong, and Dr. Fiona Ting.3 Displaying these qualified authors directly on the content page creates an immediate and powerful demonstration of authoritativeness and trustworthiness, assuring parents that the information is from a credible medical source.</w:t>
      </w:r>
    </w:p>
    <w:p/>
    <w:p>
      <w:r>
        <w:t>#### **Competitor 2: Dr. Narinder Singh (ents.com.au)**</w:t>
      </w:r>
    </w:p>
    <w:p/>
    <w:p>
      <w:pPr>
        <w:pStyle w:val="ListBullet"/>
      </w:pPr>
      <w:r>
        <w:t>**Content Analysed:** "Snoring-Children" page.4</w:t>
      </w:r>
    </w:p>
    <w:p>
      <w:pPr>
        <w:pStyle w:val="ListBullet"/>
      </w:pPr>
      <w:r>
        <w:t>**Depth and Comprehensiveness (7/10):** This page provides a solid overview of the topic. It clearly explains that in over 95% of cases, paediatric snoring is caused by enlarged adenoids, tonsils, or turbinates.4 It covers potential consequences such as hyperactivity and learning difficulties and presents a balanced view of treatment options. The page details both surgical interventions (adenoidectomy, tonsillectomy) and non-surgical approaches (medications, CPAP), and importantly, adds value by explicitly listing unproven treatments to steer parents away from ineffective remedies.4 It is, however, less detailed than the Hills ENT page regarding the long-term systemic consequences of untreated OSA.</w:t>
      </w:r>
    </w:p>
    <w:p>
      <w:pPr>
        <w:pStyle w:val="ListBullet"/>
      </w:pPr>
      <w:r>
        <w:t>**Clarity and Patient-Centricity (8/10):** The content is written in direct, reassuring language that is highly effective for a concerned parent. A key patient-centric feature is the clear distinction made between the causes of snoring in children versus adults, which directly addresses a common point of confusion.4 The diagnostic pathway is also laid out in a logical, easy-to-follow sequence: GP visit, referral to a specialist, and then specific on-site tests.4</w:t>
      </w:r>
    </w:p>
    <w:p>
      <w:pPr>
        <w:pStyle w:val="ListBullet"/>
      </w:pPr>
      <w:r>
        <w:t>**'AI Citability' Structure (9/10):** The structure of this page is its standout feature and serves as an excellent model for Generative Engine Optimisation (GEO). The content is segmented with numerous clear, question-based headings (e.g., "Why is my child snoring?", "What can be done about my child's snoring?"). This formatting makes the page exceptionally easy for AI systems to parse, understand, and extract specific answers for use in generated summaries, making it a highly citable resource.</w:t>
      </w:r>
    </w:p>
    <w:p>
      <w:pPr>
        <w:pStyle w:val="ListBullet"/>
      </w:pPr>
      <w:r>
        <w:t>**E-E-A-T Signals (5/10 on-page, 9/10 off-page):** This reveals a critical strategic disconnect. The patient education page itself only refers to "Dr. Singh," providing no further credentials or context.4 This is a significant missed opportunity, as Dr. Singh's broader digital footprint is immense. He is a Clinical Associate Professor at the University of Sydney, Head of the ENT Department at Westmead Hospital, has authored over 90 publications, and is a recognised global leader in his field.5 These powerful authority signals exist on external university, hospital, and research websites but are not integrated into the patient-facing content where they would have the most persuasive impact. While search algorithms can connect these disparate entities, the immediate trust-building effect on a parent visiting the page is lost.</w:t>
      </w:r>
    </w:p>
    <w:p/>
    <w:p>
      <w:r>
        <w:t>#### **Competitor 3: Macarthur ENT**</w:t>
      </w:r>
    </w:p>
    <w:p/>
    <w:p>
      <w:pPr>
        <w:pStyle w:val="ListBullet"/>
      </w:pPr>
      <w:r>
        <w:t>**Content Analysed:** Website and practitioner directories.1</w:t>
      </w:r>
    </w:p>
    <w:p>
      <w:pPr>
        <w:pStyle w:val="ListBullet"/>
      </w:pPr>
      <w:r>
        <w:t>**Depth and Comprehensiveness (1/10):** The practice provides no patient education content on paediatric sleep apnoea or any related condition. The website functions solely as a directory, listing practitioners such as Dr. Simon Greenberg and Dr. Mark Smith alongside their special interests and clinic locations.2</w:t>
      </w:r>
    </w:p>
    <w:p>
      <w:pPr>
        <w:pStyle w:val="ListBullet"/>
      </w:pPr>
      <w:r>
        <w:t>**Clarity and Patient-Centricity (1/10):** The website fails entirely to address patient needs for information. It does not answer any clinical questions, address common fears, or explain conditions. The practice effectively outsources this crucial function by linking to generic external fact sheets from providers like Healthline and WebMD, directing their potential patients away from their own digital property.2</w:t>
      </w:r>
    </w:p>
    <w:p>
      <w:pPr>
        <w:pStyle w:val="ListBullet"/>
      </w:pPr>
      <w:r>
        <w:t>**'AI Citability' Structure (1/10):** As there is no substantive content, there is nothing for a search engine or AI to structure, parse, or cite.</w:t>
      </w:r>
    </w:p>
    <w:p>
      <w:pPr>
        <w:pStyle w:val="ListBullet"/>
      </w:pPr>
      <w:r>
        <w:t>**E-E-A-T Signals (2/10):** The E-E-A-T signals are minimal. While the doctors' names and specialities are listed, the site provides no detailed biographies, academic affiliations, publications, or other evidence of expertise.2 The practice's authority is implied by its existence rather than actively demonstrated, failing to build trust with a prospective patient. The lack of content represents a significant strategic failure, creating a clear opening in the Macarthur region for a provider who is willing to educate and engage with the local patient community.</w:t>
      </w:r>
    </w:p>
    <w:p/>
    <w:p>
      <w:pPr>
        <w:pStyle w:val="Heading3"/>
        <w:jc w:val="left"/>
      </w:pPr>
      <w:r>
        <w:t>**Comparative Analysis &amp; Key Learnings**</w:t>
      </w:r>
    </w:p>
    <w:p/>
    <w:p>
      <w:r>
        <w:t>The competitive analysis makes it clear that no single provider currently owns the digital space for paediatric sleep apnoea education in Sydney. The ideal content strategy for Dr. Nguyen must therefore synthesize the best elements of the existing landscape while avoiding the pitfalls. This involves combining the clinical depth and consequence-focused narrative of Hills ENT, the superior AI-citable structure of Dr. Singh's page, and a novel, integrated approach to E-E-A-T that surpasses both by embedding credentials directly within the patient-facing content. Macarthur ENT's complete absence of content highlights the most immediate and actionable market opportunity, particularly for attracting patients from the underserved Campbelltown and Gregory Hills areas.</w:t>
      </w:r>
    </w:p>
    <w:p/>
    <w:p>
      <w:r>
        <w:t>| Competitor | Depth &amp; Comprehensiveness | Clarity &amp; Patient-Centricity | 'AI Citability' Structure | E-E-A-T Signals (On-Page) | Overall Score |</w:t>
      </w:r>
    </w:p>
    <w:p>
      <w:r>
        <w:t>| :---- | :---- | :---- | :---- | :---- | :---- |</w:t>
      </w:r>
    </w:p>
    <w:p>
      <w:r>
        <w:t>| Sydney ENT Clinic | 8 | 7 | 6 | 8 | **7.3** |</w:t>
      </w:r>
    </w:p>
    <w:p>
      <w:r>
        <w:t>| Dr. Narinder Singh | 7 | 8 | 9 | 5 | **7.3** |</w:t>
      </w:r>
    </w:p>
    <w:p>
      <w:r>
        <w:t>| Macarthur ENT | 1 | 1 | 1 | 2 | **1.3**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