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British English Compliance Verification Report</w:t>
      </w:r>
    </w:p>
    <w:p/>
    <w:p>
      <w:r>
        <w:t>**Compliance Assessment Date:** 18 September 2025</w:t>
      </w:r>
    </w:p>
    <w:p>
      <w:r>
        <w:t>**Practice:** Capital Smiles Orthodontic Specialist Clinic</w:t>
      </w:r>
    </w:p>
    <w:p>
      <w:r>
        <w:t>**Market Context:** Australian Healthcare Professional Standards</w:t>
      </w:r>
    </w:p>
    <w:p>
      <w:r>
        <w:t>**Compliance Framework:** British English Standards for Professional Healthcare Content</w:t>
      </w:r>
    </w:p>
    <w:p/>
    <w:p>
      <w:pPr>
        <w:pStyle w:val="Heading2"/>
        <w:jc w:val="left"/>
      </w:pPr>
      <w:r>
        <w:t>📋 Executive Compliance Summary</w:t>
      </w:r>
    </w:p>
    <w:p/>
    <w:p>
      <w:pPr>
        <w:pStyle w:val="Heading3"/>
        <w:jc w:val="left"/>
      </w:pPr>
      <w:r>
        <w:t>Overall Compliance Status: **REQUIRES STANDARDISATION**</w:t>
      </w:r>
    </w:p>
    <w:p/>
    <w:p>
      <w:r>
        <w:t>**Current Assessment:** Mixed compliance with British English standards across existing content, requiring systematic standardisation and ongoing monitoring protocols to ensure consistent Australian professional healthcare communication standards.</w:t>
      </w:r>
    </w:p>
    <w:p/>
    <w:p>
      <w:pPr>
        <w:pStyle w:val="Heading3"/>
        <w:jc w:val="left"/>
      </w:pPr>
      <w:r>
        <w:t>Critical Compliance Areas:</w:t>
      </w:r>
    </w:p>
    <w:p>
      <w:pPr>
        <w:pStyle w:val="ListBullet"/>
      </w:pPr>
      <w:r>
        <w:t>**Spelling Standardisation:** Implement consistent British English spelling throughout all content</w:t>
      </w:r>
    </w:p>
    <w:p>
      <w:pPr>
        <w:pStyle w:val="ListBullet"/>
      </w:pPr>
      <w:r>
        <w:t>**Medical Terminology:** Ensure Australian healthcare terminology compliance</w:t>
      </w:r>
    </w:p>
    <w:p>
      <w:pPr>
        <w:pStyle w:val="ListBullet"/>
      </w:pPr>
      <w:r>
        <w:t>**Cultural Context:** Maintain Australian healthcare system and cultural references</w:t>
      </w:r>
    </w:p>
    <w:p>
      <w:pPr>
        <w:pStyle w:val="ListBullet"/>
      </w:pPr>
      <w:r>
        <w:t>**Professional Standards:** Align with AHPRA and Australian dental industry language conventions</w:t>
      </w:r>
    </w:p>
    <w:p/>
    <w:p>
      <w:pPr>
        <w:pStyle w:val="Heading2"/>
        <w:jc w:val="left"/>
      </w:pPr>
      <w:r>
        <w:t>🇬🇧 British English Spelling Standards Audit</w:t>
      </w:r>
    </w:p>
    <w:p/>
    <w:p>
      <w:pPr>
        <w:pStyle w:val="Heading3"/>
        <w:jc w:val="left"/>
      </w:pPr>
      <w:r>
        <w:t>Current Content Spelling Assessment</w:t>
      </w:r>
    </w:p>
    <w:p/>
    <w:p>
      <w:r>
        <w:t>#### Critical Spelling Corrections Required:</w:t>
      </w:r>
    </w:p>
    <w:p/>
    <w:p>
      <w:r>
        <w:t>##### Service and Treatment Terms:</w:t>
      </w:r>
    </w:p>
    <w:p>
      <w:pPr>
        <w:pStyle w:val="ListBullet"/>
      </w:pPr>
      <w:r>
        <w:t>**"Orthodontic Center"** → **"Orthodontic Centre"**</w:t>
      </w:r>
    </w:p>
    <w:p>
      <w:pPr>
        <w:pStyle w:val="ListBullet"/>
      </w:pPr>
      <w:r>
        <w:t>**"Specialization"** → **"Specialisation"**</w:t>
      </w:r>
    </w:p>
    <w:p>
      <w:pPr>
        <w:pStyle w:val="ListBullet"/>
      </w:pPr>
      <w:r>
        <w:t>**"Organized treatment"** → **"Organised treatment"**</w:t>
      </w:r>
    </w:p>
    <w:p>
      <w:pPr>
        <w:pStyle w:val="ListBullet"/>
      </w:pPr>
      <w:r>
        <w:t>**"Customize"** → **"Customise"**</w:t>
      </w:r>
    </w:p>
    <w:p>
      <w:pPr>
        <w:pStyle w:val="ListBullet"/>
      </w:pPr>
      <w:r>
        <w:t>**"Optimize"** → **"Optimise"**</w:t>
      </w:r>
    </w:p>
    <w:p/>
    <w:p>
      <w:r>
        <w:t>##### Professional and Medical Terms:</w:t>
      </w:r>
    </w:p>
    <w:p>
      <w:pPr>
        <w:pStyle w:val="ListBullet"/>
      </w:pPr>
      <w:r>
        <w:t>**"Analyze treatment"** → **"Analyse treatment"**</w:t>
      </w:r>
    </w:p>
    <w:p>
      <w:pPr>
        <w:pStyle w:val="ListBullet"/>
      </w:pPr>
      <w:r>
        <w:t>**"Recognize symptoms"** → **"Recognise symptoms"**</w:t>
      </w:r>
    </w:p>
    <w:p>
      <w:pPr>
        <w:pStyle w:val="ListBullet"/>
      </w:pPr>
      <w:r>
        <w:t>**"Realize benefits"** → **"Realise benefits"**</w:t>
      </w:r>
    </w:p>
    <w:p>
      <w:pPr>
        <w:pStyle w:val="ListBullet"/>
      </w:pPr>
      <w:r>
        <w:t>**"Authorize procedures"** → **"Authorise procedures"**</w:t>
      </w:r>
    </w:p>
    <w:p>
      <w:pPr>
        <w:pStyle w:val="ListBullet"/>
      </w:pPr>
      <w:r>
        <w:t>**"Sterilize equipment"** → **"Sterilise equipment"**</w:t>
      </w:r>
    </w:p>
    <w:p/>
    <w:p>
      <w:r>
        <w:t>##### Practice and Patient Care:</w:t>
      </w:r>
    </w:p>
    <w:p>
      <w:pPr>
        <w:pStyle w:val="ListBullet"/>
      </w:pPr>
      <w:r>
        <w:t>**"Behavior modification"** → **"Behaviour modification"**</w:t>
      </w:r>
    </w:p>
    <w:p>
      <w:pPr>
        <w:pStyle w:val="ListBullet"/>
      </w:pPr>
      <w:r>
        <w:t>**"Favor outcomes"** → **"Favour outcomes"**</w:t>
      </w:r>
    </w:p>
    <w:p>
      <w:pPr>
        <w:pStyle w:val="ListBullet"/>
      </w:pPr>
      <w:r>
        <w:t>**"Honor appointments"** → **"Honour appointments"**</w:t>
      </w:r>
    </w:p>
    <w:p>
      <w:pPr>
        <w:pStyle w:val="ListBullet"/>
      </w:pPr>
      <w:r>
        <w:t>**"Color-coded systems"** → **"Colour-coded systems"**</w:t>
      </w:r>
    </w:p>
    <w:p>
      <w:pPr>
        <w:pStyle w:val="ListBullet"/>
      </w:pPr>
      <w:r>
        <w:t>**"Traveled distance"** → **"Travelled distance"**</w:t>
      </w:r>
    </w:p>
    <w:p/>
    <w:p>
      <w:r>
        <w:t>#### Dental-Specific Terminology Standardisation:</w:t>
      </w:r>
    </w:p>
    <w:p/>
    <w:p>
      <w:r>
        <w:t>##### Treatment Terms:</w:t>
      </w:r>
    </w:p>
    <w:p>
      <w:pPr>
        <w:pStyle w:val="ListBullet"/>
      </w:pPr>
      <w:r>
        <w:t>**"Esthetics"** → **"Aesthetics"**</w:t>
      </w:r>
    </w:p>
    <w:p>
      <w:pPr>
        <w:pStyle w:val="ListBullet"/>
      </w:pPr>
      <w:r>
        <w:t>**"Enamel defense"** → **"Enamel defence"**</w:t>
      </w:r>
    </w:p>
    <w:p>
      <w:pPr>
        <w:pStyle w:val="ListBullet"/>
      </w:pPr>
      <w:r>
        <w:t>**"License verification"** (noun) → **"Licence verification"**</w:t>
      </w:r>
    </w:p>
    <w:p>
      <w:pPr>
        <w:pStyle w:val="ListBullet"/>
      </w:pPr>
      <w:r>
        <w:t>**"Licensed to practice"** (verb) → **"Licensed to practise"**</w:t>
      </w:r>
    </w:p>
    <w:p>
      <w:pPr>
        <w:pStyle w:val="ListBullet"/>
      </w:pPr>
      <w:r>
        <w:t>**"Mold impressions"** → **"Mould impressions"**</w:t>
      </w:r>
    </w:p>
    <w:p/>
    <w:p>
      <w:pPr>
        <w:pStyle w:val="Heading2"/>
        <w:jc w:val="left"/>
      </w:pPr>
      <w:r>
        <w:t>🏥 Australian Healthcare Context Compliance</w:t>
      </w:r>
    </w:p>
    <w:p/>
    <w:p>
      <w:pPr>
        <w:pStyle w:val="Heading3"/>
        <w:jc w:val="left"/>
      </w:pPr>
      <w:r>
        <w:t>Medical System References</w:t>
      </w:r>
    </w:p>
    <w:p/>
    <w:p>
      <w:r>
        <w:t>#### Healthcare System Terminology:</w:t>
      </w:r>
    </w:p>
    <w:p>
      <w:pPr>
        <w:pStyle w:val="ListBullet"/>
      </w:pPr>
      <w:r>
        <w:t>**"Health Insurance"** → **"Private Health Insurance"** (Australian context)</w:t>
      </w:r>
    </w:p>
    <w:p>
      <w:pPr>
        <w:pStyle w:val="ListBullet"/>
      </w:pPr>
      <w:r>
        <w:t>**"Medical Center"** → **"Medical Centre"**</w:t>
      </w:r>
    </w:p>
    <w:p>
      <w:pPr>
        <w:pStyle w:val="ListBullet"/>
      </w:pPr>
      <w:r>
        <w:t>**"Emergency Room"** → **"Emergency Department"**</w:t>
      </w:r>
    </w:p>
    <w:p>
      <w:pPr>
        <w:pStyle w:val="ListBullet"/>
      </w:pPr>
      <w:r>
        <w:t>**"Zip Code"** → **"Postcode"**</w:t>
      </w:r>
    </w:p>
    <w:p>
      <w:pPr>
        <w:pStyle w:val="ListBullet"/>
      </w:pPr>
      <w:r>
        <w:t>**"Cell Phone"** → **"Mobile Phone"**</w:t>
      </w:r>
    </w:p>
    <w:p/>
    <w:p>
      <w:r>
        <w:t>#### Professional Registration Terms:</w:t>
      </w:r>
    </w:p>
    <w:p>
      <w:pPr>
        <w:pStyle w:val="ListBullet"/>
      </w:pPr>
      <w:r>
        <w:t>**"Board Certified"** → **"AHPRA Registered Specialist"**</w:t>
      </w:r>
    </w:p>
    <w:p>
      <w:pPr>
        <w:pStyle w:val="ListBullet"/>
      </w:pPr>
      <w:r>
        <w:t>**"Continuing Education"** → **"Continuing Professional Development (CPD)"**</w:t>
      </w:r>
    </w:p>
    <w:p>
      <w:pPr>
        <w:pStyle w:val="ListBullet"/>
      </w:pPr>
      <w:r>
        <w:t>**"Residency Training"** → **"Specialist Training Programme"**</w:t>
      </w:r>
    </w:p>
    <w:p>
      <w:pPr>
        <w:pStyle w:val="ListBullet"/>
      </w:pPr>
      <w:r>
        <w:t>**"Board Examination"** → **"Professional Examination"**</w:t>
      </w:r>
    </w:p>
    <w:p/>
    <w:p>
      <w:pPr>
        <w:pStyle w:val="Heading3"/>
        <w:jc w:val="left"/>
      </w:pPr>
      <w:r>
        <w:t>Currency and Financial References</w:t>
      </w:r>
    </w:p>
    <w:p/>
    <w:p>
      <w:r>
        <w:t>#### Pricing and Payment Terms:</w:t>
      </w:r>
    </w:p>
    <w:p>
      <w:pPr>
        <w:pStyle w:val="ListBullet"/>
      </w:pPr>
      <w:r>
        <w:t>**"$2,500 USD"** → **"$2,500 AUD"** or **"$2,500 Australian"**</w:t>
      </w:r>
    </w:p>
    <w:p>
      <w:pPr>
        <w:pStyle w:val="ListBullet"/>
      </w:pPr>
      <w:r>
        <w:t>**"Payment in dollars"** → **"Payment in Australian dollars"**</w:t>
      </w:r>
    </w:p>
    <w:p>
      <w:pPr>
        <w:pStyle w:val="ListBullet"/>
      </w:pPr>
      <w:r>
        <w:t>**"Insurance coverage"** → **"Private health insurance rebates"**</w:t>
      </w:r>
    </w:p>
    <w:p>
      <w:pPr>
        <w:pStyle w:val="ListBullet"/>
      </w:pPr>
      <w:r>
        <w:t>**"Flexible spending"** → **"Health savings arrangements"**</w:t>
      </w:r>
    </w:p>
    <w:p/>
    <w:p>
      <w:pPr>
        <w:pStyle w:val="Heading2"/>
        <w:jc w:val="left"/>
      </w:pPr>
      <w:r>
        <w:t>📍 Geographic and Cultural Context Standards</w:t>
      </w:r>
    </w:p>
    <w:p/>
    <w:p>
      <w:pPr>
        <w:pStyle w:val="Heading3"/>
        <w:jc w:val="left"/>
      </w:pPr>
      <w:r>
        <w:t>Location References</w:t>
      </w:r>
    </w:p>
    <w:p/>
    <w:p>
      <w:r>
        <w:t>#### Australian Geographic Terminology:</w:t>
      </w:r>
    </w:p>
    <w:p>
      <w:pPr>
        <w:pStyle w:val="ListBullet"/>
      </w:pPr>
      <w:r>
        <w:t>**"Greater Canberra Area"** → **"Canberra and ACT Region"**</w:t>
      </w:r>
    </w:p>
    <w:p>
      <w:pPr>
        <w:pStyle w:val="ListBullet"/>
      </w:pPr>
      <w:r>
        <w:t>**"Downtown Canberra"** → **"Canberra City Centre"**</w:t>
      </w:r>
    </w:p>
    <w:p>
      <w:pPr>
        <w:pStyle w:val="ListBullet"/>
      </w:pPr>
      <w:r>
        <w:t>**"Neighbourhood"** → **"Suburb"** (Australian context)</w:t>
      </w:r>
    </w:p>
    <w:p>
      <w:pPr>
        <w:pStyle w:val="ListBullet"/>
      </w:pPr>
      <w:r>
        <w:t>**"Municipal area"** → **"Local government area"**</w:t>
      </w:r>
    </w:p>
    <w:p/>
    <w:p>
      <w:r>
        <w:t>#### Cultural Context Adjustments:</w:t>
      </w:r>
    </w:p>
    <w:p>
      <w:pPr>
        <w:pStyle w:val="ListBullet"/>
      </w:pPr>
      <w:r>
        <w:t>**"Back to school season"** → **"Start of school term"**</w:t>
      </w:r>
    </w:p>
    <w:p>
      <w:pPr>
        <w:pStyle w:val="ListBullet"/>
      </w:pPr>
      <w:r>
        <w:t>**"Holiday season"** → **"Christmas holidays"** or **"School holidays"**</w:t>
      </w:r>
    </w:p>
    <w:p>
      <w:pPr>
        <w:pStyle w:val="ListBullet"/>
      </w:pPr>
      <w:r>
        <w:t>**"Government workers"** → **"Public servants"** (Australian context)</w:t>
      </w:r>
    </w:p>
    <w:p>
      <w:pPr>
        <w:pStyle w:val="ListBullet"/>
      </w:pPr>
      <w:r>
        <w:t>**"Federal employees"** → **"Commonwealth public servants"**</w:t>
      </w:r>
    </w:p>
    <w:p/>
    <w:p>
      <w:pPr>
        <w:pStyle w:val="Heading2"/>
        <w:jc w:val="left"/>
      </w:pPr>
      <w:r>
        <w:t>🎯 Professional Communication Standards</w:t>
      </w:r>
    </w:p>
    <w:p/>
    <w:p>
      <w:pPr>
        <w:pStyle w:val="Heading3"/>
        <w:jc w:val="left"/>
      </w:pPr>
      <w:r>
        <w:t>Medical Practice Language Standards</w:t>
      </w:r>
    </w:p>
    <w:p/>
    <w:p>
      <w:r>
        <w:t>#### Patient Communication Terms:</w:t>
      </w:r>
    </w:p>
    <w:p>
      <w:pPr>
        <w:pStyle w:val="ListBullet"/>
      </w:pPr>
      <w:r>
        <w:t>**"Doctor's office"** → **"Practice" or "Clinic"**</w:t>
      </w:r>
    </w:p>
    <w:p>
      <w:pPr>
        <w:pStyle w:val="ListBullet"/>
      </w:pPr>
      <w:r>
        <w:t>**"Appointment scheduling"** → **"Appointment booking"**</w:t>
      </w:r>
    </w:p>
    <w:p>
      <w:pPr>
        <w:pStyle w:val="ListBullet"/>
      </w:pPr>
      <w:r>
        <w:t>**"Medical records"** → **"Patient records"**</w:t>
      </w:r>
    </w:p>
    <w:p>
      <w:pPr>
        <w:pStyle w:val="ListBullet"/>
      </w:pPr>
      <w:r>
        <w:t>**"Treatment authorization"** → **"Treatment authorisation"**</w:t>
      </w:r>
    </w:p>
    <w:p>
      <w:pPr>
        <w:pStyle w:val="ListBullet"/>
      </w:pPr>
      <w:r>
        <w:t>**"Insurance pre-authorization"** → **"Private health fund pre-authorisation"**</w:t>
      </w:r>
    </w:p>
    <w:p/>
    <w:p>
      <w:r>
        <w:t>#### Professional Relationship Terms:</w:t>
      </w:r>
    </w:p>
    <w:p>
      <w:pPr>
        <w:pStyle w:val="ListBullet"/>
      </w:pPr>
      <w:r>
        <w:t>**"Referral doctor"** → **"Referring practitioner"**</w:t>
      </w:r>
    </w:p>
    <w:p>
      <w:pPr>
        <w:pStyle w:val="ListBullet"/>
      </w:pPr>
      <w:r>
        <w:t>**"Primary care physician"** → **"General practitioner (GP)"**</w:t>
      </w:r>
    </w:p>
    <w:p>
      <w:pPr>
        <w:pStyle w:val="ListBullet"/>
      </w:pPr>
      <w:r>
        <w:t>**"Specialist referral"** → **"Specialist consultation"**</w:t>
      </w:r>
    </w:p>
    <w:p>
      <w:pPr>
        <w:pStyle w:val="ListBullet"/>
      </w:pPr>
      <w:r>
        <w:t>**"Medical consultation"** → **"Professional consultation"**</w:t>
      </w:r>
    </w:p>
    <w:p/>
    <w:p>
      <w:pPr>
        <w:pStyle w:val="Heading3"/>
        <w:jc w:val="left"/>
      </w:pPr>
      <w:r>
        <w:t>Content Tone and Voice Standards</w:t>
      </w:r>
    </w:p>
    <w:p/>
    <w:p>
      <w:r>
        <w:t>#### Professional Writing Style:</w:t>
      </w:r>
    </w:p>
    <w:p>
      <w:pPr>
        <w:pStyle w:val="ListBullet"/>
      </w:pPr>
      <w:r>
        <w:t>**Formal yet Approachable:** Medical expertise with patient-friendly explanations</w:t>
      </w:r>
    </w:p>
    <w:p>
      <w:pPr>
        <w:pStyle w:val="ListBullet"/>
      </w:pPr>
      <w:r>
        <w:t>**Conservative Claims:** Evidence-based statements with realistic expectations</w:t>
      </w:r>
    </w:p>
    <w:p>
      <w:pPr>
        <w:pStyle w:val="ListBullet"/>
      </w:pPr>
      <w:r>
        <w:t>**Local Relevance:** ACT and Canberra-specific references where appropriate</w:t>
      </w:r>
    </w:p>
    <w:p>
      <w:pPr>
        <w:pStyle w:val="ListBullet"/>
      </w:pPr>
      <w:r>
        <w:t>**Cultural Sensitivity:** Australian healthcare system understanding</w:t>
      </w:r>
    </w:p>
    <w:p/>
    <w:p>
      <w:pPr>
        <w:pStyle w:val="Heading2"/>
        <w:jc w:val="left"/>
      </w:pPr>
      <w:r>
        <w:t>📝 Content Creation Compliance Protocols</w:t>
      </w:r>
    </w:p>
    <w:p/>
    <w:p>
      <w:pPr>
        <w:pStyle w:val="Heading3"/>
        <w:jc w:val="left"/>
      </w:pPr>
      <w:r>
        <w:t>Mandatory Spelling Verification Checklist</w:t>
      </w:r>
    </w:p>
    <w:p/>
    <w:p>
      <w:r>
        <w:t>#### Pre-Publication Review:</w:t>
      </w:r>
    </w:p>
    <w:p>
      <w:r>
        <w:t>1. **Automated Spell Check:** British English dictionary setting verification</w:t>
      </w:r>
    </w:p>
    <w:p>
      <w:r>
        <w:t>2. **Medical Term Verification:** Australian dental terminology compliance</w:t>
      </w:r>
    </w:p>
    <w:p>
      <w:r>
        <w:t>3. **Cultural Context Review:** Local references and cultural appropriateness</w:t>
      </w:r>
    </w:p>
    <w:p>
      <w:r>
        <w:t>4. **Professional Standard Check:** AHPRA and TGA compliance verification</w:t>
      </w:r>
    </w:p>
    <w:p/>
    <w:p>
      <w:r>
        <w:t>#### Common American English Variants to Avoid:</w:t>
      </w:r>
    </w:p>
    <w:p/>
    <w:p>
      <w:r>
        <w:t>##### High-Frequency Corrections:</w:t>
      </w:r>
    </w:p>
    <w:p>
      <w:pPr>
        <w:pStyle w:val="ListBullet"/>
      </w:pPr>
      <w:r>
        <w:t>**"ize" endings** → **"ise" endings** (realise, specialise, organise)</w:t>
      </w:r>
    </w:p>
    <w:p>
      <w:pPr>
        <w:pStyle w:val="ListBullet"/>
      </w:pPr>
      <w:r>
        <w:t>**"or" endings** → **"our" endings** (colour, favour, honour)</w:t>
      </w:r>
    </w:p>
    <w:p>
      <w:pPr>
        <w:pStyle w:val="ListBullet"/>
      </w:pPr>
      <w:r>
        <w:t>**"er" endings** → **"re" endings** (centre, theatre, metre)</w:t>
      </w:r>
    </w:p>
    <w:p>
      <w:pPr>
        <w:pStyle w:val="ListBullet"/>
      </w:pPr>
      <w:r>
        <w:t>**"og" endings** → **"ogue" endings** (dialogue, catalogue)</w:t>
      </w:r>
    </w:p>
    <w:p>
      <w:pPr>
        <w:pStyle w:val="ListBullet"/>
      </w:pPr>
      <w:r>
        <w:t>**"ense" endings** → **"ence" endings** (defence, licence)</w:t>
      </w:r>
    </w:p>
    <w:p/>
    <w:p>
      <w:r>
        <w:t>##### Medical and Dental Specific:</w:t>
      </w:r>
    </w:p>
    <w:p>
      <w:pPr>
        <w:pStyle w:val="ListBullet"/>
      </w:pPr>
      <w:r>
        <w:t>**"esthetic"** → **"aesthetic"**</w:t>
      </w:r>
    </w:p>
    <w:p>
      <w:pPr>
        <w:pStyle w:val="ListBullet"/>
      </w:pPr>
      <w:r>
        <w:t>**"gray"** → **"grey"**</w:t>
      </w:r>
    </w:p>
    <w:p>
      <w:pPr>
        <w:pStyle w:val="ListBullet"/>
      </w:pPr>
      <w:r>
        <w:t>**"molt"** → **"moult"**</w:t>
      </w:r>
    </w:p>
    <w:p>
      <w:pPr>
        <w:pStyle w:val="ListBullet"/>
      </w:pPr>
      <w:r>
        <w:t>**"fiber"** → **"fibre"**</w:t>
      </w:r>
    </w:p>
    <w:p>
      <w:pPr>
        <w:pStyle w:val="ListBullet"/>
      </w:pPr>
      <w:r>
        <w:t>**"sulfur"** → **"sulphur"**</w:t>
      </w:r>
    </w:p>
    <w:p/>
    <w:p>
      <w:pPr>
        <w:pStyle w:val="Heading2"/>
        <w:jc w:val="left"/>
      </w:pPr>
      <w:r>
        <w:t>🔍 Quality Assurance Implementation</w:t>
      </w:r>
    </w:p>
    <w:p/>
    <w:p>
      <w:pPr>
        <w:pStyle w:val="Heading3"/>
        <w:jc w:val="left"/>
      </w:pPr>
      <w:r>
        <w:t>Compliance Monitoring Protocols</w:t>
      </w:r>
    </w:p>
    <w:p/>
    <w:p>
      <w:r>
        <w:t>#### Content Review Stages:</w:t>
      </w:r>
    </w:p>
    <w:p>
      <w:r>
        <w:t>1. **Initial Draft Review:** British English compliance verification</w:t>
      </w:r>
    </w:p>
    <w:p>
      <w:r>
        <w:t>2. **Medical Accuracy Check:** Australian healthcare context verification</w:t>
      </w:r>
    </w:p>
    <w:p>
      <w:r>
        <w:t>3. **Cultural Appropriateness:** Local relevance and terminology check</w:t>
      </w:r>
    </w:p>
    <w:p>
      <w:r>
        <w:t>4. **Final Compliance Audit:** Comprehensive British English standard verification</w:t>
      </w:r>
    </w:p>
    <w:p/>
    <w:p>
      <w:r>
        <w:t>#### Tools and Resources for Compliance:</w:t>
      </w:r>
    </w:p>
    <w:p/>
    <w:p>
      <w:r>
        <w:t>##### Reference Sources:</w:t>
      </w:r>
    </w:p>
    <w:p>
      <w:pPr>
        <w:pStyle w:val="ListBullet"/>
      </w:pPr>
      <w:r>
        <w:t>**Macquarie Dictionary:** Australian English standard reference</w:t>
      </w:r>
    </w:p>
    <w:p>
      <w:pPr>
        <w:pStyle w:val="ListBullet"/>
      </w:pPr>
      <w:r>
        <w:t>**Australian Medical Dictionary:** Healthcare terminology standards</w:t>
      </w:r>
    </w:p>
    <w:p>
      <w:pPr>
        <w:pStyle w:val="ListBullet"/>
      </w:pPr>
      <w:r>
        <w:t>**AHPRA Guidelines:** Professional communication standards</w:t>
      </w:r>
    </w:p>
    <w:p>
      <w:pPr>
        <w:pStyle w:val="ListBullet"/>
      </w:pPr>
      <w:r>
        <w:t>**TGA Advertising Code:** Healthcare advertising compliance</w:t>
      </w:r>
    </w:p>
    <w:p/>
    <w:p>
      <w:r>
        <w:t>##### Technical Implementation:</w:t>
      </w:r>
    </w:p>
    <w:p>
      <w:pPr>
        <w:pStyle w:val="ListBullet"/>
      </w:pPr>
      <w:r>
        <w:t>**Spell Check Settings:** British English (Australian) dictionary activation</w:t>
      </w:r>
    </w:p>
    <w:p>
      <w:pPr>
        <w:pStyle w:val="ListBullet"/>
      </w:pPr>
      <w:r>
        <w:t>**Style Guide Development:** Practice-specific terminology standards</w:t>
      </w:r>
    </w:p>
    <w:p>
      <w:pPr>
        <w:pStyle w:val="ListBullet"/>
      </w:pPr>
      <w:r>
        <w:t>**Template Creation:** Pre-approved language and term templates</w:t>
      </w:r>
    </w:p>
    <w:p>
      <w:pPr>
        <w:pStyle w:val="ListBullet"/>
      </w:pPr>
      <w:r>
        <w:t>**Review Checklist:** Systematic compliance verification process</w:t>
      </w:r>
    </w:p>
    <w:p/>
    <w:p>
      <w:pPr>
        <w:pStyle w:val="Heading2"/>
        <w:jc w:val="left"/>
      </w:pPr>
      <w:r>
        <w:t>📊 Compliance Training and Education</w:t>
      </w:r>
    </w:p>
    <w:p/>
    <w:p>
      <w:pPr>
        <w:pStyle w:val="Heading3"/>
        <w:jc w:val="left"/>
      </w:pPr>
      <w:r>
        <w:t>Team Education Requirements</w:t>
      </w:r>
    </w:p>
    <w:p/>
    <w:p>
      <w:r>
        <w:t>#### Staff Training Components:</w:t>
      </w:r>
    </w:p>
    <w:p>
      <w:r>
        <w:t>1. **British English Fundamentals:** Core spelling and grammar standards</w:t>
      </w:r>
    </w:p>
    <w:p>
      <w:r>
        <w:t>2. **Australian Healthcare Context:** Local system and terminology understanding</w:t>
      </w:r>
    </w:p>
    <w:p>
      <w:r>
        <w:t>3. **Professional Communication:** AHPRA and industry standard compliance</w:t>
      </w:r>
    </w:p>
    <w:p>
      <w:r>
        <w:t>4. **Cultural Sensitivity:** Australian patient communication expectations</w:t>
      </w:r>
    </w:p>
    <w:p/>
    <w:p>
      <w:r>
        <w:t>#### Ongoing Compliance Education:</w:t>
      </w:r>
    </w:p>
    <w:p>
      <w:pPr>
        <w:pStyle w:val="ListBullet"/>
      </w:pPr>
      <w:r>
        <w:t>**Monthly Review Sessions:** Common error identification and correction</w:t>
      </w:r>
    </w:p>
    <w:p>
      <w:pPr>
        <w:pStyle w:val="ListBullet"/>
      </w:pPr>
      <w:r>
        <w:t>**Quarterly Updates:** Language standard changes and industry updates</w:t>
      </w:r>
    </w:p>
    <w:p>
      <w:pPr>
        <w:pStyle w:val="ListBullet"/>
      </w:pPr>
      <w:r>
        <w:t>**Annual Compliance Audit:** Comprehensive review and improvement planning</w:t>
      </w:r>
    </w:p>
    <w:p>
      <w:pPr>
        <w:pStyle w:val="ListBullet"/>
      </w:pPr>
      <w:r>
        <w:t>**Professional Development:** Australian healthcare communication best practices</w:t>
      </w:r>
    </w:p>
    <w:p/>
    <w:p>
      <w:pPr>
        <w:pStyle w:val="Heading2"/>
        <w:jc w:val="left"/>
      </w:pPr>
      <w:r>
        <w:t>🎯 Implementation Timeline and Milestones</w:t>
      </w:r>
    </w:p>
    <w:p/>
    <w:p>
      <w:pPr>
        <w:pStyle w:val="Heading3"/>
        <w:jc w:val="left"/>
      </w:pPr>
      <w:r>
        <w:t>Phase 1: Immediate Compliance Correction (Week 1)</w:t>
      </w:r>
    </w:p>
    <w:p/>
    <w:p>
      <w:r>
        <w:t>#### Critical Corrections:</w:t>
      </w:r>
    </w:p>
    <w:p>
      <w:pPr>
        <w:pStyle w:val="ListBullet"/>
      </w:pPr>
      <w:r>
        <w:t>**Existing Website Content:** Systematic British English conversion</w:t>
      </w:r>
    </w:p>
    <w:p>
      <w:pPr>
        <w:pStyle w:val="ListBullet"/>
      </w:pPr>
      <w:r>
        <w:t>**Patient Communication Materials:** Terminology standardisation</w:t>
      </w:r>
    </w:p>
    <w:p>
      <w:pPr>
        <w:pStyle w:val="ListBullet"/>
      </w:pPr>
      <w:r>
        <w:t>**Professional Documents:** AHPRA compliance verification</w:t>
      </w:r>
    </w:p>
    <w:p>
      <w:pPr>
        <w:pStyle w:val="ListBullet"/>
      </w:pPr>
      <w:r>
        <w:t>**Marketing Materials:** Australian context adjustment</w:t>
      </w:r>
    </w:p>
    <w:p/>
    <w:p>
      <w:pPr>
        <w:pStyle w:val="Heading3"/>
        <w:jc w:val="left"/>
      </w:pPr>
      <w:r>
        <w:t>Phase 2: Systematic Process Implementation (Weeks 2-4)</w:t>
      </w:r>
    </w:p>
    <w:p/>
    <w:p>
      <w:r>
        <w:t>#### Process Development:</w:t>
      </w:r>
    </w:p>
    <w:p>
      <w:pPr>
        <w:pStyle w:val="ListBullet"/>
      </w:pPr>
      <w:r>
        <w:t>**Style Guide Creation:** Comprehensive British English standards document</w:t>
      </w:r>
    </w:p>
    <w:p>
      <w:pPr>
        <w:pStyle w:val="ListBullet"/>
      </w:pPr>
      <w:r>
        <w:t>**Review Protocol Establishment:** Multi-stage compliance verification process</w:t>
      </w:r>
    </w:p>
    <w:p>
      <w:pPr>
        <w:pStyle w:val="ListBullet"/>
      </w:pPr>
      <w:r>
        <w:t>**Tool Configuration:** British English spell check and grammar tools</w:t>
      </w:r>
    </w:p>
    <w:p>
      <w:pPr>
        <w:pStyle w:val="ListBullet"/>
      </w:pPr>
      <w:r>
        <w:t>**Team Training Implementation:** Staff education on compliance standards</w:t>
      </w:r>
    </w:p>
    <w:p/>
    <w:p>
      <w:pPr>
        <w:pStyle w:val="Heading3"/>
        <w:jc w:val="left"/>
      </w:pPr>
      <w:r>
        <w:t>Phase 3: Ongoing Monitoring and Maintenance (Ongoing)</w:t>
      </w:r>
    </w:p>
    <w:p/>
    <w:p>
      <w:r>
        <w:t>#### Continuous Compliance:</w:t>
      </w:r>
    </w:p>
    <w:p>
      <w:pPr>
        <w:pStyle w:val="ListBullet"/>
      </w:pPr>
      <w:r>
        <w:t>**Regular Content Audits:** Monthly compliance verification reviews</w:t>
      </w:r>
    </w:p>
    <w:p>
      <w:pPr>
        <w:pStyle w:val="ListBullet"/>
      </w:pPr>
      <w:r>
        <w:t>**New Content Standards:** Pre-publication compliance protocols</w:t>
      </w:r>
    </w:p>
    <w:p>
      <w:pPr>
        <w:pStyle w:val="ListBullet"/>
      </w:pPr>
      <w:r>
        <w:t>**Team Refresher Training:** Quarterly compliance education sessions</w:t>
      </w:r>
    </w:p>
    <w:p>
      <w:pPr>
        <w:pStyle w:val="ListBullet"/>
      </w:pPr>
      <w:r>
        <w:t>**Industry Update Integration:** Annual standard review and adjustment</w:t>
      </w:r>
    </w:p>
    <w:p/>
    <w:p>
      <w:pPr>
        <w:pStyle w:val="Heading2"/>
        <w:jc w:val="left"/>
      </w:pPr>
      <w:r>
        <w:t>📈 Compliance Success Metrics</w:t>
      </w:r>
    </w:p>
    <w:p/>
    <w:p>
      <w:pPr>
        <w:pStyle w:val="Heading3"/>
        <w:jc w:val="left"/>
      </w:pPr>
      <w:r>
        <w:t>Measurement Framework</w:t>
      </w:r>
    </w:p>
    <w:p/>
    <w:p>
      <w:r>
        <w:t>#### Quantitative Metrics:</w:t>
      </w:r>
    </w:p>
    <w:p>
      <w:pPr>
        <w:pStyle w:val="ListBullet"/>
      </w:pPr>
      <w:r>
        <w:t>**Error Rate Reduction:** Target &lt;1% American English variant usage</w:t>
      </w:r>
    </w:p>
    <w:p>
      <w:pPr>
        <w:pStyle w:val="ListBullet"/>
      </w:pPr>
      <w:r>
        <w:t>**Compliance Score:** &gt;98% British English standard adherence</w:t>
      </w:r>
    </w:p>
    <w:p>
      <w:pPr>
        <w:pStyle w:val="ListBullet"/>
      </w:pPr>
      <w:r>
        <w:t>**Review Efficiency:** &lt;24 hour compliance verification turnaround</w:t>
      </w:r>
    </w:p>
    <w:p>
      <w:pPr>
        <w:pStyle w:val="ListBullet"/>
      </w:pPr>
      <w:r>
        <w:t>**Team Proficiency:** &gt;95% staff compliance assessment scores</w:t>
      </w:r>
    </w:p>
    <w:p/>
    <w:p>
      <w:r>
        <w:t>#### Qualitative Indicators:</w:t>
      </w:r>
    </w:p>
    <w:p>
      <w:pPr>
        <w:pStyle w:val="ListBullet"/>
      </w:pPr>
      <w:r>
        <w:t>**Professional Image Enhancement:** Consistent Australian healthcare communication</w:t>
      </w:r>
    </w:p>
    <w:p>
      <w:pPr>
        <w:pStyle w:val="ListBullet"/>
      </w:pPr>
      <w:r>
        <w:t>**Patient Confidence:** Appropriate local terminology usage</w:t>
      </w:r>
    </w:p>
    <w:p>
      <w:pPr>
        <w:pStyle w:val="ListBullet"/>
      </w:pPr>
      <w:r>
        <w:t>**Industry Recognition:** Professional standard maintenance</w:t>
      </w:r>
    </w:p>
    <w:p>
      <w:pPr>
        <w:pStyle w:val="ListBullet"/>
      </w:pPr>
      <w:r>
        <w:t>**Regulatory Compliance:** AHPRA and TGA standard adherence</w:t>
      </w:r>
    </w:p>
    <w:p/>
    <w:p>
      <w:pPr>
        <w:pStyle w:val="Heading2"/>
        <w:jc w:val="left"/>
      </w:pPr>
      <w:r>
        <w:t>🚨 Risk Management and Correction Protocols</w:t>
      </w:r>
    </w:p>
    <w:p/>
    <w:p>
      <w:pPr>
        <w:pStyle w:val="Heading3"/>
        <w:jc w:val="left"/>
      </w:pPr>
      <w:r>
        <w:t>Common Compliance Risks</w:t>
      </w:r>
    </w:p>
    <w:p/>
    <w:p>
      <w:r>
        <w:t>#### High-Risk Error Categories:</w:t>
      </w:r>
    </w:p>
    <w:p>
      <w:r>
        <w:t>1. **Automatic Spell Check Failures:** American English default settings</w:t>
      </w:r>
    </w:p>
    <w:p>
      <w:r>
        <w:t>2. **Template Inconsistencies:** Mixed standard usage in documents</w:t>
      </w:r>
    </w:p>
    <w:p>
      <w:r>
        <w:t>3. **Staff Training Gaps:** Inconsistent compliance understanding</w:t>
      </w:r>
    </w:p>
    <w:p>
      <w:r>
        <w:t>4. **Third-Party Content:** External content with American English variants</w:t>
      </w:r>
    </w:p>
    <w:p/>
    <w:p>
      <w:r>
        <w:t>#### Mitigation Strategies:</w:t>
      </w:r>
    </w:p>
    <w:p>
      <w:pPr>
        <w:pStyle w:val="ListBullet"/>
      </w:pPr>
      <w:r>
        <w:t>**Technology Configuration:** British English as default setting</w:t>
      </w:r>
    </w:p>
    <w:p>
      <w:pPr>
        <w:pStyle w:val="ListBullet"/>
      </w:pPr>
      <w:r>
        <w:t>**Template Standardisation:** Pre-approved compliant language templates</w:t>
      </w:r>
    </w:p>
    <w:p>
      <w:pPr>
        <w:pStyle w:val="ListBullet"/>
      </w:pPr>
      <w:r>
        <w:t>**Regular Training:** Ongoing staff education and assessment</w:t>
      </w:r>
    </w:p>
    <w:p>
      <w:pPr>
        <w:pStyle w:val="ListBullet"/>
      </w:pPr>
      <w:r>
        <w:t>**Content Source Verification:** British English standard requirement for all external content</w:t>
      </w:r>
    </w:p>
    <w:p/>
    <w:p>
      <w:pPr>
        <w:pStyle w:val="Heading3"/>
        <w:jc w:val="left"/>
      </w:pPr>
      <w:r>
        <w:t>Correction and Improvement Process</w:t>
      </w:r>
    </w:p>
    <w:p/>
    <w:p>
      <w:r>
        <w:t>#### Error Identification Protocol:</w:t>
      </w:r>
    </w:p>
    <w:p>
      <w:r>
        <w:t>1. **Immediate Correction:** Fix identified non-compliance errors</w:t>
      </w:r>
    </w:p>
    <w:p>
      <w:r>
        <w:t>2. **Root Cause Analysis:** Determine source of compliance failure</w:t>
      </w:r>
    </w:p>
    <w:p>
      <w:r>
        <w:t>3. **Process Improvement:** Adjust protocols to prevent future errors</w:t>
      </w:r>
    </w:p>
    <w:p>
      <w:r>
        <w:t>4. **Team Education:** Additional training for identified weak areas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Compliance Assessment Sources:</w:t>
      </w:r>
    </w:p>
    <w:p>
      <w:pPr>
        <w:pStyle w:val="ListBullet"/>
      </w:pPr>
      <w:r>
        <w:t>Macquarie Dictionary British English standards</w:t>
      </w:r>
    </w:p>
    <w:p>
      <w:pPr>
        <w:pStyle w:val="ListBullet"/>
      </w:pPr>
      <w:r>
        <w:t>Australian Medical Association terminology guidelines</w:t>
      </w:r>
    </w:p>
    <w:p>
      <w:pPr>
        <w:pStyle w:val="ListBullet"/>
      </w:pPr>
      <w:r>
        <w:t>AHPRA professional communication standards</w:t>
      </w:r>
    </w:p>
    <w:p>
      <w:pPr>
        <w:pStyle w:val="ListBullet"/>
      </w:pPr>
      <w:r>
        <w:t>TGA therapeutic advertising compliance requirements</w:t>
      </w:r>
    </w:p>
    <w:p/>
    <w:p>
      <w:r>
        <w:t>**Quality Assurance:** Multi-stage verification with ongoing monitoring protocols</w:t>
      </w:r>
    </w:p>
    <w:p/>
    <w:p>
      <w:r>
        <w:t>**Next Phase:** Implementation of systematic compliance protocols with regular monitoring and continuous improvement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