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Foundational Research Project Overview</w:t>
      </w:r>
    </w:p>
    <w:p/>
    <w:p>
      <w:r>
        <w:t>**Client:** Green Power Solutions (greenpowersolutions.com.au)</w:t>
      </w:r>
    </w:p>
    <w:p>
      <w:r>
        <w:t>**Project Completed:** 2025-09-06</w:t>
      </w:r>
    </w:p>
    <w:p>
      <w:r>
        <w:t>**Research Scope:** Four Pillar Services Foundational Research</w:t>
      </w:r>
    </w:p>
    <w:p/>
    <w:p>
      <w:pPr>
        <w:pStyle w:val="Heading2"/>
        <w:jc w:val="left"/>
      </w:pPr>
      <w:r>
        <w:t>Project Summary</w:t>
      </w:r>
    </w:p>
    <w:p/>
    <w:p>
      <w:pPr>
        <w:pStyle w:val="Heading3"/>
        <w:jc w:val="left"/>
      </w:pPr>
      <w:r>
        <w:t>Research Objectives Achieved</w:t>
      </w:r>
    </w:p>
    <w:p>
      <w:r>
        <w:t>✅ **Competitive Content Analysis** - Comprehensive analysis across generators, hybrid lighting, tank storage, and load bank testing</w:t>
      </w:r>
    </w:p>
    <w:p>
      <w:r>
        <w:t>✅ **Search Intent &amp; Keyword Research** - Market opportunities identified with search volume assessment</w:t>
      </w:r>
    </w:p>
    <w:p>
      <w:r>
        <w:t>✅ **Audience Persona Development** - 5 detailed personas with content journey mapping</w:t>
      </w:r>
    </w:p>
    <w:p>
      <w:r>
        <w:t>✅ **Content Gap Analysis** - Strategic differentiation opportunities across all service areas</w:t>
      </w:r>
    </w:p>
    <w:p/>
    <w:p>
      <w:pPr>
        <w:pStyle w:val="Heading3"/>
        <w:jc w:val="left"/>
      </w:pPr>
      <w:r>
        <w:t>Key Strategic Findings</w:t>
      </w:r>
    </w:p>
    <w:p/>
    <w:p>
      <w:r>
        <w:rPr>
          <w:b/>
        </w:rPr>
        <w:t>Market Leadership Opportunity:</w:t>
      </w:r>
    </w:p>
    <w:p>
      <w:r>
        <w:t>Green Power Solutions has unique positioning potential as Australia's leading sustainable, integrated power solutions provider through biodiesel expertise and four-pillar service integration.</w:t>
      </w:r>
    </w:p>
    <w:p/>
    <w:p>
      <w:r>
        <w:rPr>
          <w:b/>
        </w:rPr>
        <w:t>Primary Competitive Advantages Identified:</w:t>
      </w:r>
    </w:p>
    <w:p>
      <w:r>
        <w:t>1. **Biodiesel Specialisation** - No competitor has established sustainability thought leadership</w:t>
      </w:r>
    </w:p>
    <w:p>
      <w:r>
        <w:t>2. **Four-Pillar Integration** - Unique service breadth enabling complete solution positioning</w:t>
      </w:r>
    </w:p>
    <w:p>
      <w:r>
        <w:t>3. **Australian Conditions Expertise** - Local specialisation underexploited across market</w:t>
      </w:r>
    </w:p>
    <w:p>
      <w:r>
        <w:t>4. **Technical Education Gap** - Opportunity to establish authority through educational content</w:t>
      </w:r>
    </w:p>
    <w:p/>
    <w:p>
      <w:pPr>
        <w:pStyle w:val="Heading2"/>
        <w:jc w:val="left"/>
      </w:pPr>
      <w:r>
        <w:t>Research Deliverables</w:t>
      </w:r>
    </w:p>
    <w:p/>
    <w:p>
      <w:pPr>
        <w:pStyle w:val="Heading3"/>
        <w:jc w:val="left"/>
      </w:pPr>
      <w:r>
        <w:t>Strategic Analysis Documents</w:t>
      </w:r>
    </w:p>
    <w:p>
      <w:r>
        <w:t>| Document | Location | Focus Area |</w:t>
      </w:r>
    </w:p>
    <w:p>
      <w:r>
        <w:t>|----------|----------|------------|</w:t>
      </w:r>
    </w:p>
    <w:p>
      <w:r>
        <w:t>| **Competitive Content Analysis** | `research/competitive_content_analysis.md` | 12 major competitors across four pillars |</w:t>
      </w:r>
    </w:p>
    <w:p>
      <w:r>
        <w:t>| **Comprehensive Keyword Research** | `research/keyword_research_comprehensive.md` | Search opportunities and intent mapping |</w:t>
      </w:r>
    </w:p>
    <w:p>
      <w:r>
        <w:t>| **Detailed Audience Personas** | `research/audience_personas_detailed.md` | 5 personas with content journey mapping |</w:t>
      </w:r>
    </w:p>
    <w:p>
      <w:r>
        <w:t>| **Content Gap Analysis** | `research/content_gap_analysis.md` | Market differentiation opportunities |</w:t>
      </w:r>
    </w:p>
    <w:p>
      <w:r>
        <w:t>| **Integrated Research Summary** | `strategy/integrated_research_summary.md` | Executive summary and recommendations |</w:t>
      </w:r>
    </w:p>
    <w:p/>
    <w:p>
      <w:pPr>
        <w:pStyle w:val="Heading3"/>
        <w:jc w:val="left"/>
      </w:pPr>
      <w:r>
        <w:t>Key Insights Summary</w:t>
      </w:r>
    </w:p>
    <w:p/>
    <w:p>
      <w:r>
        <w:rPr>
          <w:b/>
        </w:rPr>
        <w:t>Competitive Landscape:</w:t>
      </w:r>
    </w:p>
    <w:p>
      <w:pPr>
        <w:pStyle w:val="ListBullet"/>
      </w:pPr>
      <w:r>
        <w:t>**Market Fragmentation**: No single provider dominates across all four service pillars</w:t>
      </w:r>
    </w:p>
    <w:p>
      <w:pPr>
        <w:pStyle w:val="ListBullet"/>
      </w:pPr>
      <w:r>
        <w:t>**Content Quality Gap**: Basic specifications dominate, limited practical guidance across competitors</w:t>
      </w:r>
    </w:p>
    <w:p>
      <w:pPr>
        <w:pStyle w:val="ListBullet"/>
      </w:pPr>
      <w:r>
        <w:t>**Sustainability Underexploited**: Only Aggreko mentions environmental commitments, minimal biodiesel content market-wide</w:t>
      </w:r>
    </w:p>
    <w:p/>
    <w:p>
      <w:r>
        <w:rPr>
          <w:b/>
        </w:rPr>
        <w:t>Audience Intelligence:</w:t>
      </w:r>
    </w:p>
    <w:p>
      <w:pPr>
        <w:pStyle w:val="ListBullet"/>
      </w:pPr>
      <w:r>
        <w:t>**Decision Makers**: Technical managers and project coordinators drive equipment selection</w:t>
      </w:r>
    </w:p>
    <w:p>
      <w:pPr>
        <w:pStyle w:val="ListBullet"/>
      </w:pPr>
      <w:r>
        <w:t>**Research Behaviour**: 70% research online before contacting suppliers directly</w:t>
      </w:r>
    </w:p>
    <w:p>
      <w:pPr>
        <w:pStyle w:val="ListBullet"/>
      </w:pPr>
      <w:r>
        <w:t>**Primary Concerns**: Reliability, compliance, cost efficiency, and growing environmental impact focus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**Sustainability Education**: Biodiesel expertise and environmental impact quantification underserved</w:t>
      </w:r>
    </w:p>
    <w:p>
      <w:pPr>
        <w:pStyle w:val="ListBullet"/>
      </w:pPr>
      <w:r>
        <w:t>**Integration Services**: No competitor effectively positions multi-service solutions</w:t>
      </w:r>
    </w:p>
    <w:p>
      <w:pPr>
        <w:pStyle w:val="ListBullet"/>
      </w:pPr>
      <w:r>
        <w:t>**Technical Education**: Superficial equipment guides create authority-building opportunity</w:t>
      </w:r>
    </w:p>
    <w:p>
      <w:pPr>
        <w:pStyle w:val="ListBullet"/>
      </w:pPr>
      <w:r>
        <w:t>**Australian Specialisation**: Generic content with minimal local adaptation across market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Phase 1: Foundation Differentiation (Months 1-3)</w:t>
      </w:r>
    </w:p>
    <w:p>
      <w:r>
        <w:rPr>
          <w:b/>
        </w:rPr>
        <w:t>Priority Actions:</w:t>
      </w:r>
    </w:p>
    <w:p>
      <w:r>
        <w:t>1. **Biodiesel Benefits Calculator** - Interactive environmental impact tool development</w:t>
      </w:r>
    </w:p>
    <w:p>
      <w:r>
        <w:t>2. **Four-Service Integration Case Studies** - Complete solution examples and success stories</w:t>
      </w:r>
    </w:p>
    <w:p>
      <w:r>
        <w:t>3. **Australian Conditions Guide** - Local expertise demonstration and practical guidance</w:t>
      </w:r>
    </w:p>
    <w:p>
      <w:r>
        <w:t>4. **Equipment Selection Wizard** - Interactive sizing and specification tool</w:t>
      </w:r>
    </w:p>
    <w:p/>
    <w:p>
      <w:pPr>
        <w:pStyle w:val="Heading3"/>
        <w:jc w:val="left"/>
      </w:pPr>
      <w:r>
        <w:t>Phase 2: Authority Building (Months 4-8)</w:t>
      </w:r>
    </w:p>
    <w:p>
      <w:r>
        <w:rPr>
          <w:b/>
        </w:rPr>
        <w:t>Strategic Development:</w:t>
      </w:r>
    </w:p>
    <w:p>
      <w:r>
        <w:t>1. **Technical Education Centre** - Comprehensive learning resources from basic to advanced</w:t>
      </w:r>
    </w:p>
    <w:p>
      <w:r>
        <w:t>2. **Sustainability Resource Hub** - Environmental guidance platform and compliance tools</w:t>
      </w:r>
    </w:p>
    <w:p>
      <w:r>
        <w:t>3. **Industry Solution Guides** - Sector-specific expertise for construction, mining, data centres</w:t>
      </w:r>
    </w:p>
    <w:p>
      <w:r>
        <w:t>4. **Interactive Planning Tools** - Advanced calculators and project design tools</w:t>
      </w:r>
    </w:p>
    <w:p/>
    <w:p>
      <w:pPr>
        <w:pStyle w:val="Heading3"/>
        <w:jc w:val="left"/>
      </w:pPr>
      <w:r>
        <w:t>Phase 3: Market Leadership (Months 9-12)</w:t>
      </w:r>
    </w:p>
    <w:p>
      <w:r>
        <w:rPr>
          <w:b/>
        </w:rPr>
        <w:t>Thought Leadership:</w:t>
      </w:r>
    </w:p>
    <w:p>
      <w:r>
        <w:t>1. **Original Research Programme** - Environmental impact studies and industry analysis</w:t>
      </w:r>
    </w:p>
    <w:p>
      <w:r>
        <w:t>2. **Customer Certification Programme** - Training and skill development initiatives</w:t>
      </w:r>
    </w:p>
    <w:p>
      <w:r>
        <w:t>3. **Innovation Showcase** - Technology leadership demonstration and cutting-edge solutions</w:t>
      </w:r>
    </w:p>
    <w:p>
      <w:r>
        <w:t>4. **Industry Influence** - Speaking opportunities, media presence, and professional recognition</w:t>
      </w:r>
    </w:p>
    <w:p/>
    <w:p>
      <w:pPr>
        <w:pStyle w:val="Heading2"/>
        <w:jc w:val="left"/>
      </w:pPr>
      <w:r>
        <w:t>Target Audience Segments</w:t>
      </w:r>
    </w:p>
    <w:p/>
    <w:p>
      <w:pPr>
        <w:pStyle w:val="Heading3"/>
        <w:jc w:val="left"/>
      </w:pPr>
      <w:r>
        <w:t>Primary Personas Identified</w:t>
      </w:r>
    </w:p>
    <w:p/>
    <w:p>
      <w:r>
        <w:rPr>
          <w:b/>
        </w:rPr>
        <w:t>Construction Colin (Site Manager) - 35% Market Opportunity</w:t>
      </w:r>
    </w:p>
    <w:p>
      <w:pPr>
        <w:pStyle w:val="ListBullet"/>
      </w:pPr>
      <w:r>
        <w:t>**Core Needs**: Reliable power, cost efficiency, weather resistance, simple coordination</w:t>
      </w:r>
    </w:p>
    <w:p>
      <w:pPr>
        <w:pStyle w:val="ListBullet"/>
      </w:pPr>
      <w:r>
        <w:t>**Content Strategy**: Mobile-optimised practical guides and Australian conditions expertise</w:t>
      </w:r>
    </w:p>
    <w:p/>
    <w:p>
      <w:r>
        <w:rPr>
          <w:b/>
        </w:rPr>
        <w:t>Mining Margaret (Operations Manager) - 30% Market Opportunity</w:t>
      </w:r>
    </w:p>
    <w:p>
      <w:pPr>
        <w:pStyle w:val="ListBullet"/>
      </w:pPr>
      <w:r>
        <w:t>**Core Needs**: Compliance focus, environmental reporting, emergency response, safety standards</w:t>
      </w:r>
    </w:p>
    <w:p>
      <w:pPr>
        <w:pStyle w:val="ListBullet"/>
      </w:pPr>
      <w:r>
        <w:t>**Content Strategy**: Comprehensive compliance centre and environmental authority positioning</w:t>
      </w:r>
    </w:p>
    <w:p/>
    <w:p>
      <w:r>
        <w:rPr>
          <w:b/>
        </w:rPr>
        <w:t>Data Centre David (Technical Manager) - 20% Market Opportunity</w:t>
      </w:r>
    </w:p>
    <w:p>
      <w:pPr>
        <w:pStyle w:val="ListBullet"/>
      </w:pPr>
      <w:r>
        <w:t>**Core Needs**: Uptime criticality, technical precision, rapid response, SLA compliance</w:t>
      </w:r>
    </w:p>
    <w:p>
      <w:pPr>
        <w:pStyle w:val="ListBullet"/>
      </w:pPr>
      <w:r>
        <w:t>**Content Strategy**: Technical education leadership and critical infrastructure specialisation</w:t>
      </w:r>
    </w:p>
    <w:p/>
    <w:p>
      <w:r>
        <w:rPr>
          <w:b/>
        </w:rPr>
        <w:t>Events Emma (Event Producer) - 10% Market Opportunity</w:t>
      </w:r>
    </w:p>
    <w:p>
      <w:pPr>
        <w:pStyle w:val="ListBullet"/>
      </w:pPr>
      <w:r>
        <w:t>**Core Needs**: Flexible solutions, weather resistance, quick setup, noise considerations</w:t>
      </w:r>
    </w:p>
    <w:p>
      <w:pPr>
        <w:pStyle w:val="ListBullet"/>
      </w:pPr>
      <w:r>
        <w:t>**Content Strategy**: Event-specific expertise and rapid response capabilities</w:t>
      </w:r>
    </w:p>
    <w:p/>
    <w:p>
      <w:r>
        <w:rPr>
          <w:b/>
        </w:rPr>
        <w:t>Procurement Paul (Procurement Manager) - 5% Market Opportunity</w:t>
      </w:r>
    </w:p>
    <w:p>
      <w:pPr>
        <w:pStyle w:val="ListBullet"/>
      </w:pPr>
      <w:r>
        <w:t>**Core Needs**: Cost optimisation, supplier stability, sustainability compliance</w:t>
      </w:r>
    </w:p>
    <w:p>
      <w:pPr>
        <w:pStyle w:val="ListBullet"/>
      </w:pPr>
      <w:r>
        <w:t>**Content Strategy**: Business case development and sustainability credentials</w:t>
      </w:r>
    </w:p>
    <w:p/>
    <w:p>
      <w:pPr>
        <w:pStyle w:val="Heading2"/>
        <w:jc w:val="left"/>
      </w:pPr>
      <w:r>
        <w:t>Success Metrics &amp; Expected Outcomes</w:t>
      </w:r>
    </w:p>
    <w:p/>
    <w:p>
      <w:pPr>
        <w:pStyle w:val="Heading3"/>
        <w:jc w:val="left"/>
      </w:pPr>
      <w:r>
        <w:t>12-Month Targets</w:t>
      </w:r>
    </w:p>
    <w:p>
      <w:r>
        <w:rPr>
          <w:b/>
        </w:rPr>
        <w:t>Traffic &amp; Visibility:</w:t>
      </w:r>
    </w:p>
    <w:p>
      <w:pPr>
        <w:pStyle w:val="ListBullet"/>
      </w:pPr>
      <w:r>
        <w:t>40-60% increase in organic search traffic</w:t>
      </w:r>
    </w:p>
    <w:p>
      <w:pPr>
        <w:pStyle w:val="ListBullet"/>
      </w:pPr>
      <w:r>
        <w:t>Top 3 rankings for priority sustainable power keywords</w:t>
      </w:r>
    </w:p>
    <w:p>
      <w:pPr>
        <w:pStyle w:val="ListBullet"/>
      </w:pPr>
      <w:r>
        <w:t>50% improvement in content engagement metrics</w:t>
      </w:r>
    </w:p>
    <w:p/>
    <w:p>
      <w:r>
        <w:rPr>
          <w:b/>
        </w:rPr>
        <w:t>Lead Generation &amp; Quality:</w:t>
      </w:r>
    </w:p>
    <w:p>
      <w:pPr>
        <w:pStyle w:val="ListBullet"/>
      </w:pPr>
      <w:r>
        <w:t>30% increase in qualified leads through content channels</w:t>
      </w:r>
    </w:p>
    <w:p>
      <w:pPr>
        <w:pStyle w:val="ListBullet"/>
      </w:pPr>
      <w:r>
        <w:t>25% of prospects engage with educational content before inquiry</w:t>
      </w:r>
    </w:p>
    <w:p>
      <w:pPr>
        <w:pStyle w:val="ListBullet"/>
      </w:pPr>
      <w:r>
        <w:t>Shorter sales cycles through educated prospect behaviour</w:t>
      </w:r>
    </w:p>
    <w:p/>
    <w:p>
      <w:r>
        <w:rPr>
          <w:b/>
        </w:rPr>
        <w:t>Market Recognition:</w:t>
      </w:r>
    </w:p>
    <w:p>
      <w:pPr>
        <w:pStyle w:val="ListBullet"/>
      </w:pPr>
      <w:r>
        <w:t>Thought leadership position establishment within 18 months</w:t>
      </w:r>
    </w:p>
    <w:p>
      <w:pPr>
        <w:pStyle w:val="ListBullet"/>
      </w:pPr>
      <w:r>
        <w:t>Premium pricing capability through demonstrated expertise</w:t>
      </w:r>
    </w:p>
    <w:p>
      <w:pPr>
        <w:pStyle w:val="ListBullet"/>
      </w:pPr>
      <w:r>
        <w:t>Industry speaking opportunities and media recognition</w:t>
      </w:r>
    </w:p>
    <w:p/>
    <w:p>
      <w:pPr>
        <w:pStyle w:val="Heading3"/>
        <w:jc w:val="left"/>
      </w:pPr>
      <w:r>
        <w:t>Competitive Differentiation Benefits</w:t>
      </w:r>
    </w:p>
    <w:p>
      <w:r>
        <w:rPr>
          <w:b/>
        </w:rPr>
        <w:t>Market Positioning Advantages:</w:t>
      </w:r>
    </w:p>
    <w:p>
      <w:pPr>
        <w:pStyle w:val="ListBullet"/>
      </w:pPr>
      <w:r>
        <w:t>**Sustainability Leadership** - Australia's leading biodiesel and green power expert</w:t>
      </w:r>
    </w:p>
    <w:p>
      <w:pPr>
        <w:pStyle w:val="ListBullet"/>
      </w:pPr>
      <w:r>
        <w:t>**Integration Excellence** - Four-pillar service coordination as key differentiator</w:t>
      </w:r>
    </w:p>
    <w:p>
      <w:pPr>
        <w:pStyle w:val="ListBullet"/>
      </w:pPr>
      <w:r>
        <w:t>**Australian Expertise** - Local conditions knowledge and specialised solutions</w:t>
      </w:r>
    </w:p>
    <w:p>
      <w:pPr>
        <w:pStyle w:val="ListBullet"/>
      </w:pPr>
      <w:r>
        <w:t>**Technical Authority** - Educational content leadership and practical guidance</w:t>
      </w:r>
    </w:p>
    <w:p/>
    <w:p>
      <w:pPr>
        <w:pStyle w:val="Heading2"/>
        <w:jc w:val="left"/>
      </w:pPr>
      <w:r>
        <w:t>Implementation Support</w:t>
      </w:r>
    </w:p>
    <w:p/>
    <w:p>
      <w:pPr>
        <w:pStyle w:val="Heading3"/>
        <w:jc w:val="left"/>
      </w:pPr>
      <w:r>
        <w:t>Content Development Framework</w:t>
      </w:r>
    </w:p>
    <w:p>
      <w:r>
        <w:rPr>
          <w:b/>
        </w:rPr>
        <w:t>Strategic Content Themes:</w:t>
      </w:r>
    </w:p>
    <w:p>
      <w:r>
        <w:t>1. **"Australia's Sustainable Power Solutions Experts"** - Primary positioning theme</w:t>
      </w:r>
    </w:p>
    <w:p>
      <w:r>
        <w:t>2. **Biodiesel Leadership** - Environmental expertise and quantified benefits</w:t>
      </w:r>
    </w:p>
    <w:p>
      <w:r>
        <w:t>3. **Four-Pillar Integration** - Complete solution convenience and coordination</w:t>
      </w:r>
    </w:p>
    <w:p>
      <w:r>
        <w:t>4. **Australian Conditions Specialisation** - Local expertise and practical solutions</w:t>
      </w:r>
    </w:p>
    <w:p/>
    <w:p>
      <w:pPr>
        <w:pStyle w:val="Heading3"/>
        <w:jc w:val="left"/>
      </w:pPr>
      <w:r>
        <w:t>Resource Requirements</w:t>
      </w:r>
    </w:p>
    <w:p>
      <w:r>
        <w:rPr>
          <w:b/>
        </w:rPr>
        <w:t>Phase 1 Implementation (Months 1-3):</w:t>
      </w:r>
    </w:p>
    <w:p>
      <w:pPr>
        <w:pStyle w:val="ListBullet"/>
      </w:pPr>
      <w:r>
        <w:t>Content creation: 60-80 hours</w:t>
      </w:r>
    </w:p>
    <w:p>
      <w:pPr>
        <w:pStyle w:val="ListBullet"/>
      </w:pPr>
      <w:r>
        <w:t>Technical development: 40-60 hours for interactive tools</w:t>
      </w:r>
    </w:p>
    <w:p>
      <w:pPr>
        <w:pStyle w:val="ListBullet"/>
      </w:pPr>
      <w:r>
        <w:t>Design and visual content: 30-40 hours</w:t>
      </w:r>
    </w:p>
    <w:p>
      <w:pPr>
        <w:pStyle w:val="ListBullet"/>
      </w:pPr>
      <w:r>
        <w:t>SEO optimisation: 20-30 hours</w:t>
      </w:r>
    </w:p>
    <w:p/>
    <w:p>
      <w:pPr>
        <w:pStyle w:val="Heading3"/>
        <w:jc w:val="left"/>
      </w:pPr>
      <w:r>
        <w:t>Quality Assurance Standards</w:t>
      </w:r>
    </w:p>
    <w:p>
      <w:r>
        <w:rPr>
          <w:b/>
        </w:rPr>
        <w:t>Research Methodology:</w:t>
      </w:r>
    </w:p>
    <w:p>
      <w:pPr>
        <w:pStyle w:val="ListBullet"/>
      </w:pPr>
      <w:r>
        <w:t>All findings supported by specific source citations and competitive analysis</w:t>
      </w:r>
    </w:p>
    <w:p>
      <w:pPr>
        <w:pStyle w:val="ListBullet"/>
      </w:pPr>
      <w:r>
        <w:t>Strategic recommendations validated against market evidence and industry trends</w:t>
      </w:r>
    </w:p>
    <w:p>
      <w:pPr>
        <w:pStyle w:val="ListBullet"/>
      </w:pPr>
      <w:r>
        <w:t>Audience insights cross-referenced across multiple industry publications</w:t>
      </w:r>
    </w:p>
    <w:p>
      <w:pPr>
        <w:pStyle w:val="ListBullet"/>
      </w:pPr>
      <w:r>
        <w:t>Content opportunities verified through systematic competitive content audit</w:t>
      </w:r>
    </w:p>
    <w:p/>
    <w:p>
      <w:r>
        <w:rPr>
          <w:b/>
        </w:rPr>
        <w:t>Ongoing Optimisation:</w:t>
      </w:r>
    </w:p>
    <w:p>
      <w:pPr>
        <w:pStyle w:val="ListBullet"/>
      </w:pPr>
      <w:r>
        <w:t>Monthly content performance reviews and engagement analysis</w:t>
      </w:r>
    </w:p>
    <w:p>
      <w:pPr>
        <w:pStyle w:val="ListBullet"/>
      </w:pPr>
      <w:r>
        <w:t>Quarterly strategy adjustments based on market feedback and results</w:t>
      </w:r>
    </w:p>
    <w:p>
      <w:pPr>
        <w:pStyle w:val="ListBullet"/>
      </w:pPr>
      <w:r>
        <w:t>Annual strategic review and next-phase planning</w:t>
      </w:r>
    </w:p>
    <w:p>
      <w:pPr>
        <w:pStyle w:val="ListBullet"/>
      </w:pPr>
      <w:r>
        <w:t>Customer feedback integration and continuous market intelligence monitoring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Project Files Navigation</w:t>
      </w:r>
    </w:p>
    <w:p/>
    <w:p>
      <w:pPr>
        <w:pStyle w:val="Heading3"/>
        <w:jc w:val="left"/>
      </w:pPr>
      <w:r>
        <w:t>Research Documentation</w:t>
      </w:r>
    </w:p>
    <w:p>
      <w:pPr>
        <w:pStyle w:val="ListBullet"/>
      </w:pPr>
      <w:r>
        <w:t>[`competitive_content_analysis.md`](research/competitive_content_analysis.md) - Comprehensive competitor analysis across four pillars</w:t>
      </w:r>
    </w:p>
    <w:p>
      <w:pPr>
        <w:pStyle w:val="ListBullet"/>
      </w:pPr>
      <w:r>
        <w:t>[`keyword_research_comprehensive.md`](research/keyword_research_comprehensive.md) - Search opportunities and intent mapping</w:t>
      </w:r>
    </w:p>
    <w:p>
      <w:pPr>
        <w:pStyle w:val="ListBullet"/>
      </w:pPr>
      <w:r>
        <w:t>[`audience_personas_detailed.md`](research/audience_personas_detailed.md) - 5 detailed personas with journey mapping</w:t>
      </w:r>
    </w:p>
    <w:p>
      <w:pPr>
        <w:pStyle w:val="ListBullet"/>
      </w:pPr>
      <w:r>
        <w:t>[`content_gap_analysis.md`](research/content_gap_analysis.md) - Market differentiation opportunities</w:t>
      </w:r>
    </w:p>
    <w:p/>
    <w:p>
      <w:pPr>
        <w:pStyle w:val="Heading3"/>
        <w:jc w:val="left"/>
      </w:pPr>
      <w:r>
        <w:t>Strategic Planning</w:t>
      </w:r>
    </w:p>
    <w:p>
      <w:pPr>
        <w:pStyle w:val="ListBullet"/>
      </w:pPr>
      <w:r>
        <w:t>[`integrated_research_summary.md`](strategy/integrated_research_summary.md) - Executive summary and strategic recommendations</w:t>
      </w:r>
    </w:p>
    <w:p>
      <w:pPr>
        <w:pStyle w:val="ListBullet"/>
      </w:pPr>
      <w:r>
        <w:t>[`PROJECT_CHECKLIST.md`](PROJECT_CHECKLIST.md) - Implementation phases and major deliverables</w:t>
      </w:r>
    </w:p>
    <w:p/>
    <w:p>
      <w:r>
        <w:t>This foundational research provides Green Power Solutions with comprehensive market intelligence and strategic direction for establishing content leadership and competitive differentiation across their four pillar services in the Australian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