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Quality Control Directory</w:t>
      </w:r>
    </w:p>
    <w:p/>
    <w:p>
      <w:r>
        <w:t>This directory contains all quality assurance documentation, checklists, and review reports for the four pillar pages implementation.</w:t>
      </w:r>
    </w:p>
    <w:p/>
    <w:p>
      <w:pPr>
        <w:pStyle w:val="Heading2"/>
        <w:jc w:val="left"/>
      </w:pPr>
      <w:r>
        <w:t>Directory Structure</w:t>
      </w:r>
    </w:p>
    <w:p/>
    <w:p>
      <w:pPr>
        <w:pStyle w:val="Heading3"/>
        <w:jc w:val="left"/>
      </w:pPr>
      <w:r>
        <w:t>Technical Accuracy Reports (`/technical_accuracy_reports/`)</w:t>
      </w:r>
    </w:p>
    <w:p>
      <w:r>
        <w:t>Contains detailed technical verification reports for each pillar page:</w:t>
      </w:r>
    </w:p>
    <w:p>
      <w:pPr>
        <w:pStyle w:val="ListBullet"/>
      </w:pPr>
      <w:r>
        <w:t>Generator technical specifications verification</w:t>
      </w:r>
    </w:p>
    <w:p>
      <w:pPr>
        <w:pStyle w:val="ListBullet"/>
      </w:pPr>
      <w:r>
        <w:t>Hybrid lighting performance claims validation</w:t>
      </w:r>
    </w:p>
    <w:p>
      <w:pPr>
        <w:pStyle w:val="ListBullet"/>
      </w:pPr>
      <w:r>
        <w:t>Tank storage safety compliance confirmation</w:t>
      </w:r>
    </w:p>
    <w:p>
      <w:pPr>
        <w:pStyle w:val="ListBullet"/>
      </w:pPr>
      <w:r>
        <w:t>Load bank testing methodology accuracy</w:t>
      </w:r>
    </w:p>
    <w:p/>
    <w:p>
      <w:pPr>
        <w:pStyle w:val="Heading3"/>
        <w:jc w:val="left"/>
      </w:pPr>
      <w:r>
        <w:t>SOP Compliance Checklists (`/sop_compliance_checklists/`)</w:t>
      </w:r>
    </w:p>
    <w:p>
      <w:r>
        <w:t>Contains comprehensive compliance verification for each pillar:</w:t>
      </w:r>
    </w:p>
    <w:p>
      <w:pPr>
        <w:pStyle w:val="ListBullet"/>
      </w:pPr>
      <w:r>
        <w:t>Citation verification and source credibility confirmation</w:t>
      </w:r>
    </w:p>
    <w:p>
      <w:pPr>
        <w:pStyle w:val="ListBullet"/>
      </w:pPr>
      <w:r>
        <w:t>Australian English compliance verification</w:t>
      </w:r>
    </w:p>
    <w:p>
      <w:pPr>
        <w:pStyle w:val="ListBullet"/>
      </w:pPr>
      <w:r>
        <w:t>Brand voice consistency assessment</w:t>
      </w:r>
    </w:p>
    <w:p>
      <w:pPr>
        <w:pStyle w:val="ListBullet"/>
      </w:pPr>
      <w:r>
        <w:t>Content structure and requirement fulfillment</w:t>
      </w:r>
    </w:p>
    <w:p/>
    <w:p>
      <w:pPr>
        <w:pStyle w:val="Heading3"/>
        <w:jc w:val="left"/>
      </w:pPr>
      <w:r>
        <w:t>Cross-Pillar Consistency Reviews (`/cross_pillar_consistency_reviews/`)</w:t>
      </w:r>
    </w:p>
    <w:p>
      <w:r>
        <w:t>Contains integration and consistency verification reports:</w:t>
      </w:r>
    </w:p>
    <w:p>
      <w:pPr>
        <w:pStyle w:val="ListBullet"/>
      </w:pPr>
      <w:r>
        <w:t>Technical terminology alignment verification</w:t>
      </w:r>
    </w:p>
    <w:p>
      <w:pPr>
        <w:pStyle w:val="ListBullet"/>
      </w:pPr>
      <w:r>
        <w:t>Specification consistency cross-checks</w:t>
      </w:r>
    </w:p>
    <w:p>
      <w:pPr>
        <w:pStyle w:val="ListBullet"/>
      </w:pPr>
      <w:r>
        <w:t>Brand messaging alignment confirmation</w:t>
      </w:r>
    </w:p>
    <w:p>
      <w:pPr>
        <w:pStyle w:val="ListBullet"/>
      </w:pPr>
      <w:r>
        <w:t>Customer journey flow validation</w:t>
      </w:r>
    </w:p>
    <w:p/>
    <w:p>
      <w:pPr>
        <w:pStyle w:val="Heading2"/>
        <w:jc w:val="left"/>
      </w:pPr>
      <w:r>
        <w:t>Quality Gate Schedule</w:t>
      </w:r>
    </w:p>
    <w:p/>
    <w:p>
      <w:pPr>
        <w:pStyle w:val="Heading3"/>
        <w:jc w:val="left"/>
      </w:pPr>
      <w:r>
        <w:t>Gate 1: Technical Accuracy Review</w:t>
      </w:r>
    </w:p>
    <w:p>
      <w:r>
        <w:t>**Schedule**: Days 5, 8, 10, 12</w:t>
      </w:r>
    </w:p>
    <w:p>
      <w:r>
        <w:t>**Focus**: Technical specifications, calculations, compliance requirements</w:t>
      </w:r>
    </w:p>
    <w:p>
      <w:r>
        <w:t>**Approval Required**: Technical Specialist + Quality Controller</w:t>
      </w:r>
    </w:p>
    <w:p/>
    <w:p>
      <w:pPr>
        <w:pStyle w:val="Heading3"/>
        <w:jc w:val="left"/>
      </w:pPr>
      <w:r>
        <w:t>Gate 2: SOP Compliance Review</w:t>
      </w:r>
    </w:p>
    <w:p>
      <w:r>
        <w:t>**Schedule**: Days 7, 9, 11, 13</w:t>
      </w:r>
    </w:p>
    <w:p>
      <w:r>
        <w:t>**Focus**: Citation compliance, Australian English, brand voice consistency</w:t>
      </w:r>
    </w:p>
    <w:p>
      <w:r>
        <w:t>**Approval Required**: Quality Controller + Lead Orchestrator</w:t>
      </w:r>
    </w:p>
    <w:p/>
    <w:p>
      <w:pPr>
        <w:pStyle w:val="Heading3"/>
        <w:jc w:val="left"/>
      </w:pPr>
      <w:r>
        <w:t>Gate 3: Publication Readiness Review</w:t>
      </w:r>
    </w:p>
    <w:p>
      <w:r>
        <w:t>**Schedule**: Day 14</w:t>
      </w:r>
    </w:p>
    <w:p>
      <w:r>
        <w:t>**Focus**: Complete implementation verification, final approval</w:t>
      </w:r>
    </w:p>
    <w:p>
      <w:r>
        <w:t>**Approval Required**: All Specialists + Lead Orchestrator (unanimous)</w:t>
      </w:r>
    </w:p>
    <w:p/>
    <w:p>
      <w:pPr>
        <w:pStyle w:val="Heading2"/>
        <w:jc w:val="left"/>
      </w:pPr>
      <w:r>
        <w:t>Quality Metrics Tracking</w:t>
      </w:r>
    </w:p>
    <w:p/>
    <w:p>
      <w:pPr>
        <w:pStyle w:val="ListBullet"/>
      </w:pPr>
      <w:r>
        <w:t>**SOP Compliance Percentage**: Target 100%</w:t>
      </w:r>
    </w:p>
    <w:p>
      <w:pPr>
        <w:pStyle w:val="ListBullet"/>
      </w:pPr>
      <w:r>
        <w:t>**Technical Accuracy Verification**: Target 100%</w:t>
      </w:r>
    </w:p>
    <w:p>
      <w:pPr>
        <w:pStyle w:val="ListBullet"/>
      </w:pPr>
      <w:r>
        <w:t>**Cross-Pillar Consistency Score**: Target 95%+</w:t>
      </w:r>
    </w:p>
    <w:p>
      <w:pPr>
        <w:pStyle w:val="ListBullet"/>
      </w:pPr>
      <w:r>
        <w:t>**Publication Readiness Percentage**: Target 100%</w:t>
      </w:r>
    </w:p>
    <w:p/>
    <w:p>
      <w:r>
        <w:t>**Quality Controller**: Assigned specialist for continuous oversight</w:t>
      </w:r>
    </w:p>
    <w:p>
      <w:r>
        <w:t>**Review Frequency**: Daily during implementation phase</w:t>
      </w:r>
    </w:p>
    <w:p>
      <w:r>
        <w:t>**Escalation Protocol**: Any quality score below target triggers immediate specialist review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