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Weight Loss Injectables Research Brief - Precision Upper GI Surgery</w:t>
      </w:r>
    </w:p>
    <w:p/>
    <w:p>
      <w:r>
        <w:t>**Project**: Weight Loss Injectables Blog Content Research</w:t>
      </w:r>
    </w:p>
    <w:p>
      <w:r>
        <w:t>**Client**: Precision Upper GI Surgery (https://precisionuppergisurgery.com.au/)</w:t>
      </w:r>
    </w:p>
    <w:p>
      <w:r>
        <w:t>**Generated**: 2025-09-02</w:t>
      </w:r>
    </w:p>
    <w:p>
      <w:r>
        <w:t>**Research Scope**: Comprehensive medical evidence, market analysis, and strategic positioning</w:t>
      </w:r>
    </w:p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[Medical Evidence &amp; Clinical Data](#medical-evidence--clinical-data)</w:t>
      </w:r>
    </w:p>
    <w:p>
      <w:r>
        <w:t>3. [Available Medications in Australia](#available-medications-in-australia)</w:t>
      </w:r>
    </w:p>
    <w:p>
      <w:r>
        <w:t>4. [Patient Eligibility &amp; Selection Criteria](#patient-eligibility--selection-criteria)</w:t>
      </w:r>
    </w:p>
    <w:p>
      <w:r>
        <w:t>5. [Safety Profile &amp; Contraindications](#safety-profile--contraindications)</w:t>
      </w:r>
    </w:p>
    <w:p>
      <w:r>
        <w:t>6. [Cost &amp; Coverage Analysis](#cost--coverage-analysis)</w:t>
      </w:r>
    </w:p>
    <w:p>
      <w:r>
        <w:t>7. [Integration with Surgical Options](#integration-with-surgical-options)</w:t>
      </w:r>
    </w:p>
    <w:p>
      <w:r>
        <w:t>8. [Competitive Landscape](#competitive-landscape)</w:t>
      </w:r>
    </w:p>
    <w:p>
      <w:r>
        <w:t>9. [Key Findings &amp; Recommendations](#key-findings--recommendations)</w:t>
      </w:r>
    </w:p>
    <w:p>
      <w:r>
        <w:t>10. [Data Sources &amp; Methodology](#data-sources--methodology)</w:t>
      </w:r>
    </w:p>
    <w:p/>
    <w:p>
      <w:pPr>
        <w:pStyle w:val="Heading2"/>
        <w:jc w:val="left"/>
      </w:pPr>
      <w:r>
        <w:t>Executive Summary</w:t>
      </w:r>
    </w:p>
    <w:p/>
    <w:p>
      <w:r>
        <w:t>Weight loss injectables represent a significant advancement in obesity management, with strong clinical evidence supporting their effectiveness. For Precision Upper GI Surgery, these medications offer an opportunity to position the practice as a comprehensive weight management centre that bridges non-surgical and surgical treatments.</w:t>
      </w:r>
    </w:p>
    <w:p/>
    <w:p>
      <w:pPr>
        <w:pStyle w:val="Heading3"/>
        <w:jc w:val="left"/>
      </w:pPr>
      <w:r>
        <w:t>Key Research Findings:</w:t>
      </w:r>
    </w:p>
    <w:p>
      <w:pPr>
        <w:pStyle w:val="ListBullet"/>
      </w:pPr>
      <w:r>
        <w:t>**Effectiveness**: Weight loss injectables achieve 10-23% total body weight reduction</w:t>
      </w:r>
    </w:p>
    <w:p>
      <w:pPr>
        <w:pStyle w:val="ListBullet"/>
      </w:pPr>
      <w:r>
        <w:t>**Market Access**: Limited PBS coverage creates cost barriers for patients</w:t>
      </w:r>
    </w:p>
    <w:p>
      <w:pPr>
        <w:pStyle w:val="ListBullet"/>
      </w:pPr>
      <w:r>
        <w:t>**Integration Opportunity**: Strong evidence for combining injectables with surgical approaches</w:t>
      </w:r>
    </w:p>
    <w:p>
      <w:pPr>
        <w:pStyle w:val="ListBullet"/>
      </w:pPr>
      <w:r>
        <w:t>**Competitive Advantage**: Few upper GI practices comprehensively address both options</w:t>
      </w:r>
    </w:p>
    <w:p>
      <w:pPr>
        <w:pStyle w:val="ListBullet"/>
      </w:pPr>
      <w:r>
        <w:t>**Patient Demand**: High demand with supply shortages indicating market opportunity</w:t>
      </w:r>
    </w:p>
    <w:p/>
    <w:p>
      <w:pPr>
        <w:pStyle w:val="Heading2"/>
        <w:jc w:val="left"/>
      </w:pPr>
      <w:r>
        <w:t>Medical Evidence &amp; Clinical Data</w:t>
      </w:r>
    </w:p>
    <w:p/>
    <w:p>
      <w:pPr>
        <w:pStyle w:val="Heading3"/>
        <w:jc w:val="left"/>
      </w:pPr>
      <w:r>
        <w:t>Clinical Trial Effectiveness (2024-2025 Data)</w:t>
      </w:r>
    </w:p>
    <w:p/>
    <w:p>
      <w:r>
        <w:rPr>
          <w:b/>
        </w:rPr>
        <w:t>Wegovy (Semaglutide) - Current Australian Market Leader:</w:t>
      </w:r>
    </w:p>
    <w:p>
      <w:pPr>
        <w:pStyle w:val="ListBullet"/>
      </w:pPr>
      <w:r>
        <w:t>**Primary Endpoint**: 86.4% of participants lost ≥5% body weight</w:t>
      </w:r>
    </w:p>
    <w:p>
      <w:pPr>
        <w:pStyle w:val="ListBullet"/>
      </w:pPr>
      <w:r>
        <w:t>**Average Weight Loss**: 15% of total body weight in adults</w:t>
      </w:r>
    </w:p>
    <w:p>
      <w:pPr>
        <w:pStyle w:val="ListBullet"/>
      </w:pPr>
      <w:r>
        <w:t>**Paediatric Results**: 16.1% BMI decrease in children 12+ years</w:t>
      </w:r>
    </w:p>
    <w:p>
      <w:pPr>
        <w:pStyle w:val="ListBullet"/>
      </w:pPr>
      <w:r>
        <w:t>**Timeline**: Significant results achieved over 68 weeks</w:t>
      </w:r>
    </w:p>
    <w:p>
      <w:pPr>
        <w:pStyle w:val="ListBullet"/>
      </w:pPr>
      <w:r>
        <w:t>**Cardiovascular Benefits**: Early reduction in cardiovascular events observed before weight loss</w:t>
      </w:r>
    </w:p>
    <w:p/>
    <w:p>
      <w:r>
        <w:rPr>
          <w:b/>
        </w:rPr>
        <w:t>Saxenda (Liraglutide) - Established Option:</w:t>
      </w:r>
    </w:p>
    <w:p>
      <w:pPr>
        <w:pStyle w:val="ListBullet"/>
      </w:pPr>
      <w:r>
        <w:t>**Primary Endpoint**: 63.2% of participants lost ≥5% body weight</w:t>
      </w:r>
    </w:p>
    <w:p>
      <w:pPr>
        <w:pStyle w:val="ListBullet"/>
      </w:pPr>
      <w:r>
        <w:t>**Average Weight Loss**: 6-7% of total body weight</w:t>
      </w:r>
    </w:p>
    <w:p>
      <w:pPr>
        <w:pStyle w:val="ListBullet"/>
      </w:pPr>
      <w:r>
        <w:t>**Treatment Duration**: Daily injection protocol</w:t>
      </w:r>
    </w:p>
    <w:p>
      <w:pPr>
        <w:pStyle w:val="ListBullet"/>
      </w:pPr>
      <w:r>
        <w:t>**Market Position**: Officially approved for weight loss in Australia since 2010</w:t>
      </w:r>
    </w:p>
    <w:p/>
    <w:p>
      <w:r>
        <w:rPr>
          <w:b/>
        </w:rPr>
        <w:t>Ozempic (Semaglutide - Off-Label):</w:t>
      </w:r>
    </w:p>
    <w:p>
      <w:pPr>
        <w:pStyle w:val="ListBullet"/>
      </w:pPr>
      <w:r>
        <w:t>**Average Weight Loss**: 6-7% of total body weight</w:t>
      </w:r>
    </w:p>
    <w:p>
      <w:pPr>
        <w:pStyle w:val="ListBullet"/>
      </w:pPr>
      <w:r>
        <w:t>**Usage**: Off-label prescribing for weight loss</w:t>
      </w:r>
    </w:p>
    <w:p>
      <w:pPr>
        <w:pStyle w:val="ListBullet"/>
      </w:pPr>
      <w:r>
        <w:t>**Supply Issues**: Limited availability through 2025</w:t>
      </w:r>
    </w:p>
    <w:p/>
    <w:p>
      <w:r>
        <w:rPr>
          <w:b/>
        </w:rPr>
        <w:t>Mounjaro/Zepbound (Tirzepatide) - Newest Option:</w:t>
      </w:r>
    </w:p>
    <w:p>
      <w:pPr>
        <w:pStyle w:val="ListBullet"/>
      </w:pPr>
      <w:r>
        <w:t>**Clinical Results**: ~20% average weight loss in trials</w:t>
      </w:r>
    </w:p>
    <w:p>
      <w:pPr>
        <w:pStyle w:val="ListBullet"/>
      </w:pPr>
      <w:r>
        <w:t>**Mechanism**: Dual GIP/GLP-1 receptor agonist</w:t>
      </w:r>
    </w:p>
    <w:p>
      <w:pPr>
        <w:pStyle w:val="ListBullet"/>
      </w:pPr>
      <w:r>
        <w:t>**TGA Status**: Approved September 2024 for weight loss</w:t>
      </w:r>
    </w:p>
    <w:p>
      <w:pPr>
        <w:pStyle w:val="ListBullet"/>
      </w:pPr>
      <w:r>
        <w:t>**Availability**: Private prescription only</w:t>
      </w:r>
    </w:p>
    <w:p/>
    <w:p>
      <w:pPr>
        <w:pStyle w:val="Heading3"/>
        <w:jc w:val="left"/>
      </w:pPr>
      <w:r>
        <w:t>Long-Term Effectiveness Data</w:t>
      </w:r>
    </w:p>
    <w:p/>
    <w:p>
      <w:r>
        <w:rPr>
          <w:b/>
        </w:rPr>
        <w:t>Weight Maintenance Requirements:</w:t>
      </w:r>
    </w:p>
    <w:p>
      <w:pPr>
        <w:pStyle w:val="ListBullet"/>
      </w:pPr>
      <w:r>
        <w:t>Lifelong/prolonged treatment needed to maintain results</w:t>
      </w:r>
    </w:p>
    <w:p>
      <w:pPr>
        <w:pStyle w:val="ListBullet"/>
      </w:pPr>
      <w:r>
        <w:t>Weight regain occurs over 3-4 years if medication stopped</w:t>
      </w:r>
    </w:p>
    <w:p>
      <w:pPr>
        <w:pStyle w:val="ListBullet"/>
      </w:pPr>
      <w:r>
        <w:t>2-3 year treatment periods show sustained effectiveness</w:t>
      </w:r>
    </w:p>
    <w:p>
      <w:pPr>
        <w:pStyle w:val="ListBullet"/>
      </w:pPr>
      <w:r>
        <w:t>Metabolic syndrome improvements independent of weight loss</w:t>
      </w:r>
    </w:p>
    <w:p/>
    <w:p>
      <w:r>
        <w:rPr>
          <w:b/>
        </w:rPr>
        <w:t>Real-World Outcomes:</w:t>
      </w:r>
    </w:p>
    <w:p>
      <w:pPr>
        <w:pStyle w:val="ListBullet"/>
      </w:pPr>
      <w:r>
        <w:t>Superior effectiveness in patients with metabolic conditions</w:t>
      </w:r>
    </w:p>
    <w:p>
      <w:pPr>
        <w:pStyle w:val="ListBullet"/>
      </w:pPr>
      <w:r>
        <w:t>Variable response based on initial BMI and comorbidities</w:t>
      </w:r>
    </w:p>
    <w:p>
      <w:pPr>
        <w:pStyle w:val="ListBullet"/>
      </w:pPr>
      <w:r>
        <w:t>Enhanced effectiveness when combined with lifestyle interventions</w:t>
      </w:r>
    </w:p>
    <w:p/>
    <w:p>
      <w:pPr>
        <w:pStyle w:val="Heading2"/>
        <w:jc w:val="left"/>
      </w:pPr>
      <w:r>
        <w:t>Available Medications in Australia</w:t>
      </w:r>
    </w:p>
    <w:p/>
    <w:p>
      <w:pPr>
        <w:pStyle w:val="Heading3"/>
        <w:jc w:val="left"/>
      </w:pPr>
      <w:r>
        <w:t>TGA-Approved Weight Loss Injectables (2024-2025)</w:t>
      </w:r>
    </w:p>
    <w:p/>
    <w:p>
      <w:r>
        <w:t>| Medication | Brand Names | TGA Status | PBS Coverage | Average Cost |</w:t>
      </w:r>
    </w:p>
    <w:p>
      <w:r>
        <w:t>|------------|-------------|------------|--------------|--------------|</w:t>
      </w:r>
    </w:p>
    <w:p>
      <w:r>
        <w:t>| Semaglutide | Wegovy | Approved Aug 2024 | No | $130-600/month |</w:t>
      </w:r>
    </w:p>
    <w:p>
      <w:r>
        <w:t>| Liraglutide | Saxenda | Approved 2010 | No | $130-600/month |</w:t>
      </w:r>
    </w:p>
    <w:p>
      <w:r>
        <w:t>| Semaglutide | Ozempic (off-label) | Diabetes only | No for weight loss | $130/month |</w:t>
      </w:r>
    </w:p>
    <w:p>
      <w:r>
        <w:t>| Tirzepatide | Mounjaro/Zepbound | Approved Sep 2024 | No | $300-750/month |</w:t>
      </w:r>
    </w:p>
    <w:p/>
    <w:p>
      <w:pPr>
        <w:pStyle w:val="Heading3"/>
        <w:jc w:val="left"/>
      </w:pPr>
      <w:r>
        <w:t>Supply Situation (2024-2025)</w:t>
      </w:r>
    </w:p>
    <w:p>
      <w:pPr>
        <w:pStyle w:val="ListBullet"/>
      </w:pPr>
      <w:r>
        <w:t>**Ozempic**: Ongoing shortage through 2025 due to off-label use</w:t>
      </w:r>
    </w:p>
    <w:p>
      <w:pPr>
        <w:pStyle w:val="ListBullet"/>
      </w:pPr>
      <w:r>
        <w:t>**Wegovy**: Recently launched with limited initial supply</w:t>
      </w:r>
    </w:p>
    <w:p>
      <w:pPr>
        <w:pStyle w:val="ListBullet"/>
      </w:pPr>
      <w:r>
        <w:t>**Saxenda**: Generally available but limited PBS access</w:t>
      </w:r>
    </w:p>
    <w:p>
      <w:pPr>
        <w:pStyle w:val="ListBullet"/>
      </w:pPr>
      <w:r>
        <w:t>**Mounjaro**: Newest entrant with private prescription access only</w:t>
      </w:r>
    </w:p>
    <w:p/>
    <w:p>
      <w:pPr>
        <w:pStyle w:val="Heading2"/>
        <w:jc w:val="left"/>
      </w:pPr>
      <w:r>
        <w:t>Patient Eligibility &amp; Selection Criteria</w:t>
      </w:r>
    </w:p>
    <w:p/>
    <w:p>
      <w:pPr>
        <w:pStyle w:val="Heading3"/>
        <w:jc w:val="left"/>
      </w:pPr>
      <w:r>
        <w:t>Medical Eligibility Requirements</w:t>
      </w:r>
    </w:p>
    <w:p/>
    <w:p>
      <w:r>
        <w:rPr>
          <w:b/>
        </w:rPr>
        <w:t>BMI Thresholds:</w:t>
      </w:r>
    </w:p>
    <w:p>
      <w:pPr>
        <w:pStyle w:val="ListBullet"/>
      </w:pPr>
      <w:r>
        <w:t>BMI ≥30 kg/m² (obesity) without comorbidities</w:t>
      </w:r>
    </w:p>
    <w:p>
      <w:pPr>
        <w:pStyle w:val="ListBullet"/>
      </w:pPr>
      <w:r>
        <w:t>BMI ≥27 kg/m² with weight-related health conditions</w:t>
      </w:r>
    </w:p>
    <w:p>
      <w:pPr>
        <w:pStyle w:val="ListBullet"/>
      </w:pPr>
      <w:r>
        <w:t>Weight-related comorbidities include:</w:t>
      </w:r>
    </w:p>
    <w:p>
      <w:pPr>
        <w:pStyle w:val="ListBullet"/>
      </w:pPr>
      <w:r>
        <w:t>Type 2 diabetes</w:t>
      </w:r>
    </w:p>
    <w:p>
      <w:pPr>
        <w:pStyle w:val="ListBullet"/>
      </w:pPr>
      <w:r>
        <w:t>Hypertension</w:t>
      </w:r>
    </w:p>
    <w:p>
      <w:pPr>
        <w:pStyle w:val="ListBullet"/>
      </w:pPr>
      <w:r>
        <w:t>Sleep apnoea</w:t>
      </w:r>
    </w:p>
    <w:p>
      <w:pPr>
        <w:pStyle w:val="ListBullet"/>
      </w:pPr>
      <w:r>
        <w:t>Cardiovascular disease</w:t>
      </w:r>
    </w:p>
    <w:p>
      <w:pPr>
        <w:pStyle w:val="ListBullet"/>
      </w:pPr>
      <w:r>
        <w:t>Dyslipidaemia</w:t>
      </w:r>
    </w:p>
    <w:p/>
    <w:p>
      <w:r>
        <w:rPr>
          <w:b/>
        </w:rPr>
        <w:t>Age Requirements:</w:t>
      </w:r>
    </w:p>
    <w:p>
      <w:pPr>
        <w:pStyle w:val="ListBullet"/>
      </w:pPr>
      <w:r>
        <w:t>Adults: All medications approved</w:t>
      </w:r>
    </w:p>
    <w:p>
      <w:pPr>
        <w:pStyle w:val="ListBullet"/>
      </w:pPr>
      <w:r>
        <w:t>Adolescents 12+: Wegovy approved with specific criteria</w:t>
      </w:r>
    </w:p>
    <w:p/>
    <w:p>
      <w:r>
        <w:rPr>
          <w:b/>
        </w:rPr>
        <w:t>Clinical Assessment Requirements:</w:t>
      </w:r>
    </w:p>
    <w:p>
      <w:pPr>
        <w:pStyle w:val="ListBullet"/>
      </w:pPr>
      <w:r>
        <w:t>Comprehensive medical history</w:t>
      </w:r>
    </w:p>
    <w:p>
      <w:pPr>
        <w:pStyle w:val="ListBullet"/>
      </w:pPr>
      <w:r>
        <w:t>Current medication review</w:t>
      </w:r>
    </w:p>
    <w:p>
      <w:pPr>
        <w:pStyle w:val="ListBullet"/>
      </w:pPr>
      <w:r>
        <w:t>Diabetes screening</w:t>
      </w:r>
    </w:p>
    <w:p>
      <w:pPr>
        <w:pStyle w:val="ListBullet"/>
      </w:pPr>
      <w:r>
        <w:t>Cardiovascular risk assessment</w:t>
      </w:r>
    </w:p>
    <w:p>
      <w:pPr>
        <w:pStyle w:val="ListBullet"/>
      </w:pPr>
      <w:r>
        <w:t>Mental health evaluation</w:t>
      </w:r>
    </w:p>
    <w:p>
      <w:pPr>
        <w:pStyle w:val="ListBullet"/>
      </w:pPr>
      <w:r>
        <w:t>Previous weight loss attempt documentation</w:t>
      </w:r>
    </w:p>
    <w:p/>
    <w:p>
      <w:pPr>
        <w:pStyle w:val="Heading3"/>
        <w:jc w:val="left"/>
      </w:pPr>
      <w:r>
        <w:t>Optimal Patient Profiles</w:t>
      </w:r>
    </w:p>
    <w:p/>
    <w:p>
      <w:r>
        <w:rPr>
          <w:b/>
        </w:rPr>
        <w:t>Ideal Candidates:</w:t>
      </w:r>
    </w:p>
    <w:p>
      <w:pPr>
        <w:pStyle w:val="ListBullet"/>
      </w:pPr>
      <w:r>
        <w:t>BMI 30-40 kg/m² with metabolic conditions</w:t>
      </w:r>
    </w:p>
    <w:p>
      <w:pPr>
        <w:pStyle w:val="ListBullet"/>
      </w:pPr>
      <w:r>
        <w:t>Strong motivation for lifestyle changes</w:t>
      </w:r>
    </w:p>
    <w:p>
      <w:pPr>
        <w:pStyle w:val="ListBullet"/>
      </w:pPr>
      <w:r>
        <w:t>Understanding of long-term commitment</w:t>
      </w:r>
    </w:p>
    <w:p>
      <w:pPr>
        <w:pStyle w:val="ListBullet"/>
      </w:pPr>
      <w:r>
        <w:t>Financial capacity for ongoing treatment</w:t>
      </w:r>
    </w:p>
    <w:p>
      <w:pPr>
        <w:pStyle w:val="ListBullet"/>
      </w:pPr>
      <w:r>
        <w:t>No contraindications to GLP-1 agonists</w:t>
      </w:r>
    </w:p>
    <w:p/>
    <w:p>
      <w:r>
        <w:rPr>
          <w:b/>
        </w:rPr>
        <w:t>Integration Candidates:</w:t>
      </w:r>
    </w:p>
    <w:p>
      <w:pPr>
        <w:pStyle w:val="ListBullet"/>
      </w:pPr>
      <w:r>
        <w:t>Post-bariatric surgery weight regain</w:t>
      </w:r>
    </w:p>
    <w:p>
      <w:pPr>
        <w:pStyle w:val="ListBullet"/>
      </w:pPr>
      <w:r>
        <w:t>Pre-surgical optimisation patients</w:t>
      </w:r>
    </w:p>
    <w:p>
      <w:pPr>
        <w:pStyle w:val="ListBullet"/>
      </w:pPr>
      <w:r>
        <w:t>Patients unsuitable for surgery</w:t>
      </w:r>
    </w:p>
    <w:p>
      <w:pPr>
        <w:pStyle w:val="ListBullet"/>
      </w:pPr>
      <w:r>
        <w:t>Bridge therapy during surgical waiting periods</w:t>
      </w:r>
    </w:p>
    <w:p/>
    <w:p>
      <w:pPr>
        <w:pStyle w:val="Heading2"/>
        <w:jc w:val="left"/>
      </w:pPr>
      <w:r>
        <w:t>Safety Profile &amp; Contraindications</w:t>
      </w:r>
    </w:p>
    <w:p/>
    <w:p>
      <w:pPr>
        <w:pStyle w:val="Heading3"/>
        <w:jc w:val="left"/>
      </w:pPr>
      <w:r>
        <w:t>Common Side Effects (Affecting 1 in 10 patients)</w:t>
      </w:r>
    </w:p>
    <w:p/>
    <w:p>
      <w:r>
        <w:rPr>
          <w:b/>
        </w:rPr>
        <w:t>Gastrointestinal Effects:</w:t>
      </w:r>
    </w:p>
    <w:p>
      <w:pPr>
        <w:pStyle w:val="ListBullet"/>
      </w:pPr>
      <w:r>
        <w:t>Nausea and vomiting (most common)</w:t>
      </w:r>
    </w:p>
    <w:p>
      <w:pPr>
        <w:pStyle w:val="ListBullet"/>
      </w:pPr>
      <w:r>
        <w:t>Diarrhoea and constipation</w:t>
      </w:r>
    </w:p>
    <w:p>
      <w:pPr>
        <w:pStyle w:val="ListBullet"/>
      </w:pPr>
      <w:r>
        <w:t>Abdominal pain</w:t>
      </w:r>
    </w:p>
    <w:p>
      <w:pPr>
        <w:pStyle w:val="ListBullet"/>
      </w:pPr>
      <w:r>
        <w:t>Decreased appetite</w:t>
      </w:r>
    </w:p>
    <w:p>
      <w:pPr>
        <w:pStyle w:val="ListBullet"/>
      </w:pPr>
      <w:r>
        <w:t>Gastroesophageal reflux</w:t>
      </w:r>
    </w:p>
    <w:p/>
    <w:p>
      <w:r>
        <w:rPr>
          <w:b/>
        </w:rPr>
        <w:t>Systemic Effects:</w:t>
      </w:r>
    </w:p>
    <w:p>
      <w:pPr>
        <w:pStyle w:val="ListBullet"/>
      </w:pPr>
      <w:r>
        <w:t>Fatigue and dizziness</w:t>
      </w:r>
    </w:p>
    <w:p>
      <w:pPr>
        <w:pStyle w:val="ListBullet"/>
      </w:pPr>
      <w:r>
        <w:t>Headache</w:t>
      </w:r>
    </w:p>
    <w:p>
      <w:pPr>
        <w:pStyle w:val="ListBullet"/>
      </w:pPr>
      <w:r>
        <w:t>Hair loss (temporary)</w:t>
      </w:r>
    </w:p>
    <w:p>
      <w:pPr>
        <w:pStyle w:val="ListBullet"/>
      </w:pPr>
      <w:r>
        <w:t>Injection site reactions</w:t>
      </w:r>
    </w:p>
    <w:p/>
    <w:p>
      <w:pPr>
        <w:pStyle w:val="Heading3"/>
        <w:jc w:val="left"/>
      </w:pPr>
      <w:r>
        <w:t>Serious Side Effects (1 in 100 patients)</w:t>
      </w:r>
    </w:p>
    <w:p/>
    <w:p>
      <w:r>
        <w:rPr>
          <w:b/>
        </w:rPr>
        <w:t>Critical Conditions Requiring Monitoring:</w:t>
      </w:r>
    </w:p>
    <w:p>
      <w:pPr>
        <w:pStyle w:val="ListBullet"/>
      </w:pPr>
      <w:r>
        <w:t>Acute pancreatitis (up to 1%)</w:t>
      </w:r>
    </w:p>
    <w:p>
      <w:pPr>
        <w:pStyle w:val="ListBullet"/>
      </w:pPr>
      <w:r>
        <w:t>Gallbladder disease (2.6% in studies)</w:t>
      </w:r>
    </w:p>
    <w:p>
      <w:pPr>
        <w:pStyle w:val="ListBullet"/>
      </w:pPr>
      <w:r>
        <w:t>Kidney problems</w:t>
      </w:r>
    </w:p>
    <w:p>
      <w:pPr>
        <w:pStyle w:val="ListBullet"/>
      </w:pPr>
      <w:r>
        <w:t>Severe hypoglycaemia (with diabetes medications)</w:t>
      </w:r>
    </w:p>
    <w:p>
      <w:pPr>
        <w:pStyle w:val="ListBullet"/>
      </w:pPr>
      <w:r>
        <w:t>Thyroid tumours (animal studies)</w:t>
      </w:r>
    </w:p>
    <w:p/>
    <w:p>
      <w:pPr>
        <w:pStyle w:val="Heading3"/>
        <w:jc w:val="left"/>
      </w:pPr>
      <w:r>
        <w:t>Absolute Contraindications</w:t>
      </w:r>
    </w:p>
    <w:p/>
    <w:p>
      <w:r>
        <w:rPr>
          <w:b/>
        </w:rPr>
        <w:t>Medical Contraindications:</w:t>
      </w:r>
    </w:p>
    <w:p>
      <w:pPr>
        <w:pStyle w:val="ListBullet"/>
      </w:pPr>
      <w:r>
        <w:t>Pregnancy and breastfeeding</w:t>
      </w:r>
    </w:p>
    <w:p>
      <w:pPr>
        <w:pStyle w:val="ListBullet"/>
      </w:pPr>
      <w:r>
        <w:t>Personal/family history of medullary thyroid cancer</w:t>
      </w:r>
    </w:p>
    <w:p>
      <w:pPr>
        <w:pStyle w:val="ListBullet"/>
      </w:pPr>
      <w:r>
        <w:t>Multiple endocrine neoplasia syndrome type 2</w:t>
      </w:r>
    </w:p>
    <w:p>
      <w:pPr>
        <w:pStyle w:val="ListBullet"/>
      </w:pPr>
      <w:r>
        <w:t>Diabetic ketoacidosis</w:t>
      </w:r>
    </w:p>
    <w:p>
      <w:pPr>
        <w:pStyle w:val="ListBullet"/>
      </w:pPr>
      <w:r>
        <w:t>Severe gastroparesis</w:t>
      </w:r>
    </w:p>
    <w:p>
      <w:pPr>
        <w:pStyle w:val="ListBullet"/>
      </w:pPr>
      <w:r>
        <w:t>Active gallbladder disease</w:t>
      </w:r>
    </w:p>
    <w:p>
      <w:pPr>
        <w:pStyle w:val="ListBullet"/>
      </w:pPr>
      <w:r>
        <w:t>Severe kidney disease</w:t>
      </w:r>
    </w:p>
    <w:p/>
    <w:p>
      <w:r>
        <w:rPr>
          <w:b/>
        </w:rPr>
        <w:t>Drug Interactions:</w:t>
      </w:r>
    </w:p>
    <w:p>
      <w:pPr>
        <w:pStyle w:val="ListBullet"/>
      </w:pPr>
      <w:r>
        <w:t>Hormonal contraceptives (reduced effectiveness)</w:t>
      </w:r>
    </w:p>
    <w:p>
      <w:pPr>
        <w:pStyle w:val="ListBullet"/>
      </w:pPr>
      <w:r>
        <w:t>Diabetes medications (hypoglycaemia risk)</w:t>
      </w:r>
    </w:p>
    <w:p>
      <w:pPr>
        <w:pStyle w:val="ListBullet"/>
      </w:pPr>
      <w:r>
        <w:t>Warfarin (monitoring required)</w:t>
      </w:r>
    </w:p>
    <w:p/>
    <w:p>
      <w:pPr>
        <w:pStyle w:val="Heading2"/>
        <w:jc w:val="left"/>
      </w:pPr>
      <w:r>
        <w:t>Cost &amp; Coverage Analysis</w:t>
      </w:r>
    </w:p>
    <w:p/>
    <w:p>
      <w:pPr>
        <w:pStyle w:val="Heading3"/>
        <w:jc w:val="left"/>
      </w:pPr>
      <w:r>
        <w:t>Current Australian Pricing (2024-2025)</w:t>
      </w:r>
    </w:p>
    <w:p/>
    <w:p>
      <w:r>
        <w:rPr>
          <w:b/>
        </w:rPr>
        <w:t>Private Prescription Costs:</w:t>
      </w:r>
    </w:p>
    <w:p>
      <w:pPr>
        <w:pStyle w:val="ListBullet"/>
      </w:pPr>
      <w:r>
        <w:t>**Wegovy**: $130-600/month (estimate, limited availability)</w:t>
      </w:r>
    </w:p>
    <w:p>
      <w:pPr>
        <w:pStyle w:val="ListBullet"/>
      </w:pPr>
      <w:r>
        <w:t>**Saxenda**: $130-600/month</w:t>
      </w:r>
    </w:p>
    <w:p>
      <w:pPr>
        <w:pStyle w:val="ListBullet"/>
      </w:pPr>
      <w:r>
        <w:t>**Ozempic** (off-label): $130/month</w:t>
      </w:r>
    </w:p>
    <w:p>
      <w:pPr>
        <w:pStyle w:val="ListBullet"/>
      </w:pPr>
      <w:r>
        <w:t>**Mounjaro**: $300-750/month</w:t>
      </w:r>
    </w:p>
    <w:p/>
    <w:p>
      <w:r>
        <w:rPr>
          <w:b/>
        </w:rPr>
        <w:t>PBS Safety Net Thresholds (2025):</w:t>
      </w:r>
    </w:p>
    <w:p>
      <w:pPr>
        <w:pStyle w:val="ListBullet"/>
      </w:pPr>
      <w:r>
        <w:t>Concession card holders: $277.20</w:t>
      </w:r>
    </w:p>
    <w:p>
      <w:pPr>
        <w:pStyle w:val="ListBullet"/>
      </w:pPr>
      <w:r>
        <w:t>General patients: $1,694.00</w:t>
      </w:r>
    </w:p>
    <w:p>
      <w:pPr>
        <w:pStyle w:val="ListBullet"/>
      </w:pPr>
      <w:r>
        <w:t>**Note**: Weight loss injectables not PBS-listed, thresholds don't apply</w:t>
      </w:r>
    </w:p>
    <w:p/>
    <w:p>
      <w:r>
        <w:rPr>
          <w:b/>
        </w:rPr>
        <w:t>Private Health Insurance:</w:t>
      </w:r>
    </w:p>
    <w:p>
      <w:pPr>
        <w:pStyle w:val="ListBullet"/>
      </w:pPr>
      <w:r>
        <w:t>Limited coverage for weight loss medications</w:t>
      </w:r>
    </w:p>
    <w:p>
      <w:pPr>
        <w:pStyle w:val="ListBullet"/>
      </w:pPr>
      <w:r>
        <w:t>Some policies may cover portion of private prescription costs</w:t>
      </w:r>
    </w:p>
    <w:p>
      <w:pPr>
        <w:pStyle w:val="ListBullet"/>
      </w:pPr>
      <w:r>
        <w:t>Coverage varies significantly between providers</w:t>
      </w:r>
    </w:p>
    <w:p/>
    <w:p>
      <w:pPr>
        <w:pStyle w:val="Heading3"/>
        <w:jc w:val="left"/>
      </w:pPr>
      <w:r>
        <w:t>Financial Barriers &amp; Solutions</w:t>
      </w:r>
    </w:p>
    <w:p/>
    <w:p>
      <w:r>
        <w:rPr>
          <w:b/>
        </w:rPr>
        <w:t>Cost Management Strategies:</w:t>
      </w:r>
    </w:p>
    <w:p>
      <w:pPr>
        <w:pStyle w:val="ListBullet"/>
      </w:pPr>
      <w:r>
        <w:t>Patient assistance programmes (manufacturer-specific)</w:t>
      </w:r>
    </w:p>
    <w:p>
      <w:pPr>
        <w:pStyle w:val="ListBullet"/>
      </w:pPr>
      <w:r>
        <w:t>Pharmacy discount programmes</w:t>
      </w:r>
    </w:p>
    <w:p>
      <w:pPr>
        <w:pStyle w:val="ListBullet"/>
      </w:pPr>
      <w:r>
        <w:t>Bulk purchasing arrangements</w:t>
      </w:r>
    </w:p>
    <w:p>
      <w:pPr>
        <w:pStyle w:val="ListBullet"/>
      </w:pPr>
      <w:r>
        <w:t>Flexible payment plans through practices</w:t>
      </w:r>
    </w:p>
    <w:p/>
    <w:p>
      <w:r>
        <w:rPr>
          <w:b/>
        </w:rPr>
        <w:t>Practice Revenue Opportunities:</w:t>
      </w:r>
    </w:p>
    <w:p>
      <w:pPr>
        <w:pStyle w:val="ListBullet"/>
      </w:pPr>
      <w:r>
        <w:t>Consultation fees for ongoing monitoring</w:t>
      </w:r>
    </w:p>
    <w:p>
      <w:pPr>
        <w:pStyle w:val="ListBullet"/>
      </w:pPr>
      <w:r>
        <w:t>Comprehensive weight management programmes</w:t>
      </w:r>
    </w:p>
    <w:p>
      <w:pPr>
        <w:pStyle w:val="ListBullet"/>
      </w:pPr>
      <w:r>
        <w:t>Integration with surgical services</w:t>
      </w:r>
    </w:p>
    <w:p>
      <w:pPr>
        <w:pStyle w:val="ListBullet"/>
      </w:pPr>
      <w:r>
        <w:t>Patient education and support services</w:t>
      </w:r>
    </w:p>
    <w:p/>
    <w:p>
      <w:pPr>
        <w:pStyle w:val="Heading2"/>
        <w:jc w:val="left"/>
      </w:pPr>
      <w:r>
        <w:t>Integration with Surgical Options</w:t>
      </w:r>
    </w:p>
    <w:p/>
    <w:p>
      <w:pPr>
        <w:pStyle w:val="Heading3"/>
        <w:jc w:val="left"/>
      </w:pPr>
      <w:r>
        <w:t>Combined Therapy Approaches</w:t>
      </w:r>
    </w:p>
    <w:p/>
    <w:p>
      <w:r>
        <w:rPr>
          <w:b/>
        </w:rPr>
        <w:t>Pre-Surgical Applications:</w:t>
      </w:r>
    </w:p>
    <w:p>
      <w:pPr>
        <w:pStyle w:val="ListBullet"/>
      </w:pPr>
      <w:r>
        <w:t>Patient optimisation before bariatric surgery</w:t>
      </w:r>
    </w:p>
    <w:p>
      <w:pPr>
        <w:pStyle w:val="ListBullet"/>
      </w:pPr>
      <w:r>
        <w:t>Risk reduction in high-BMI patients</w:t>
      </w:r>
    </w:p>
    <w:p>
      <w:pPr>
        <w:pStyle w:val="ListBullet"/>
      </w:pPr>
      <w:r>
        <w:t>Lifestyle modification bridge therapy</w:t>
      </w:r>
    </w:p>
    <w:p>
      <w:pPr>
        <w:pStyle w:val="ListBullet"/>
      </w:pPr>
      <w:r>
        <w:t>Insurance requirement fulfilment</w:t>
      </w:r>
    </w:p>
    <w:p/>
    <w:p>
      <w:r>
        <w:rPr>
          <w:b/>
        </w:rPr>
        <w:t>Post-Surgical Applications:</w:t>
      </w:r>
    </w:p>
    <w:p>
      <w:pPr>
        <w:pStyle w:val="ListBullet"/>
      </w:pPr>
      <w:r>
        <w:t>Weight regain management (common challenge)</w:t>
      </w:r>
    </w:p>
    <w:p>
      <w:pPr>
        <w:pStyle w:val="ListBullet"/>
      </w:pPr>
      <w:r>
        <w:t>Insufficient weight loss supplementation</w:t>
      </w:r>
    </w:p>
    <w:p>
      <w:pPr>
        <w:pStyle w:val="ListBullet"/>
      </w:pPr>
      <w:r>
        <w:t>Long-term maintenance support</w:t>
      </w:r>
    </w:p>
    <w:p>
      <w:pPr>
        <w:pStyle w:val="ListBullet"/>
      </w:pPr>
      <w:r>
        <w:t>Metabolic optimisation continuation</w:t>
      </w:r>
    </w:p>
    <w:p/>
    <w:p>
      <w:pPr>
        <w:pStyle w:val="Heading3"/>
        <w:jc w:val="left"/>
      </w:pPr>
      <w:r>
        <w:t>Clinical Evidence for Integration</w:t>
      </w:r>
    </w:p>
    <w:p/>
    <w:p>
      <w:r>
        <w:rPr>
          <w:b/>
        </w:rPr>
        <w:t>Effectiveness Data:</w:t>
      </w:r>
    </w:p>
    <w:p>
      <w:pPr>
        <w:pStyle w:val="ListBullet"/>
      </w:pPr>
      <w:r>
        <w:t>Combined therapy: Average 35.2kg weight loss vs surgery alone</w:t>
      </w:r>
    </w:p>
    <w:p>
      <w:pPr>
        <w:pStyle w:val="ListBullet"/>
      </w:pPr>
      <w:r>
        <w:t>Post-surgery adjuvant therapy: Significant additional weight loss</w:t>
      </w:r>
    </w:p>
    <w:p>
      <w:pPr>
        <w:pStyle w:val="ListBullet"/>
      </w:pPr>
      <w:r>
        <w:t>Cost-effectiveness: $7,200 USD saved per QALY with combination</w:t>
      </w:r>
    </w:p>
    <w:p>
      <w:pPr>
        <w:pStyle w:val="ListBullet"/>
      </w:pPr>
      <w:r>
        <w:t>Quality of life: Five additional QALYs versus surgery alone</w:t>
      </w:r>
    </w:p>
    <w:p/>
    <w:p>
      <w:r>
        <w:rPr>
          <w:b/>
        </w:rPr>
        <w:t>Patient Selection for Combined Therapy:</w:t>
      </w:r>
    </w:p>
    <w:p>
      <w:pPr>
        <w:pStyle w:val="ListBullet"/>
      </w:pPr>
      <w:r>
        <w:t>Post-surgical weight regain (common after 2-3 years)</w:t>
      </w:r>
    </w:p>
    <w:p>
      <w:pPr>
        <w:pStyle w:val="ListBullet"/>
      </w:pPr>
      <w:r>
        <w:t>Plateau patients with &lt;50% excess weight loss</w:t>
      </w:r>
    </w:p>
    <w:p>
      <w:pPr>
        <w:pStyle w:val="ListBullet"/>
      </w:pPr>
      <w:r>
        <w:t>High-risk surgical candidates needing optimisation</w:t>
      </w:r>
    </w:p>
    <w:p>
      <w:pPr>
        <w:pStyle w:val="ListBullet"/>
      </w:pPr>
      <w:r>
        <w:t>Metabolic syndrome persistence post-surgery</w:t>
      </w:r>
    </w:p>
    <w:p/>
    <w:p>
      <w:pPr>
        <w:pStyle w:val="Heading3"/>
        <w:jc w:val="left"/>
      </w:pPr>
      <w:r>
        <w:t>Positioning Against Surgery Alone</w:t>
      </w:r>
    </w:p>
    <w:p/>
    <w:p>
      <w:r>
        <w:rPr>
          <w:b/>
        </w:rPr>
        <w:t>Comparative Outcomes:</w:t>
      </w:r>
    </w:p>
    <w:p>
      <w:pPr>
        <w:pStyle w:val="ListBullet"/>
      </w:pPr>
      <w:r>
        <w:t>Bariatric surgery: 58 pounds average loss at 2 years (24% total weight loss)</w:t>
      </w:r>
    </w:p>
    <w:p>
      <w:pPr>
        <w:pStyle w:val="ListBullet"/>
      </w:pPr>
      <w:r>
        <w:t>GLP-1 therapy: 12 pounds average loss at 2 years (4.7% total weight loss)</w:t>
      </w:r>
    </w:p>
    <w:p>
      <w:pPr>
        <w:pStyle w:val="ListBullet"/>
      </w:pPr>
      <w:r>
        <w:t>Combined approach: Superior to either alone</w:t>
      </w:r>
    </w:p>
    <w:p>
      <w:pPr>
        <w:pStyle w:val="ListBullet"/>
      </w:pPr>
      <w:r>
        <w:t>Long-term maintenance: Medications essential for sustainability</w:t>
      </w:r>
    </w:p>
    <w:p/>
    <w:p>
      <w:pPr>
        <w:pStyle w:val="Heading2"/>
        <w:jc w:val="left"/>
      </w:pPr>
      <w:r>
        <w:t>Competitive Landscape</w:t>
      </w:r>
    </w:p>
    <w:p/>
    <w:p>
      <w:pPr>
        <w:pStyle w:val="Heading3"/>
        <w:jc w:val="left"/>
      </w:pPr>
      <w:r>
        <w:t>Major Upper GI/Bariatric Centres in Australia</w:t>
      </w:r>
    </w:p>
    <w:p/>
    <w:p>
      <w:r>
        <w:rPr>
          <w:b/>
        </w:rPr>
        <w:t>Sydney Market:</w:t>
      </w:r>
    </w:p>
    <w:p>
      <w:pPr>
        <w:pStyle w:val="ListBullet"/>
      </w:pPr>
      <w:r>
        <w:t>**Upper GI Surgery**: 20+ years, Centre of Excellence accreditation</w:t>
      </w:r>
    </w:p>
    <w:p>
      <w:pPr>
        <w:pStyle w:val="ListBullet"/>
      </w:pPr>
      <w:r>
        <w:t>**Advanced Surgicare**: Dr. Kuzinkovas, comprehensive services</w:t>
      </w:r>
    </w:p>
    <w:p>
      <w:pPr>
        <w:pStyle w:val="ListBullet"/>
      </w:pPr>
      <w:r>
        <w:t>**Market Gap**: Limited integration of medical weight management</w:t>
      </w:r>
    </w:p>
    <w:p/>
    <w:p>
      <w:r>
        <w:rPr>
          <w:b/>
        </w:rPr>
        <w:t>Melbourne Market:</w:t>
      </w:r>
    </w:p>
    <w:p>
      <w:pPr>
        <w:pStyle w:val="ListBullet"/>
      </w:pPr>
      <w:r>
        <w:t>**Epworth Centre**: 25+ years, pioneer in field</w:t>
      </w:r>
    </w:p>
    <w:p>
      <w:pPr>
        <w:pStyle w:val="ListBullet"/>
      </w:pPr>
      <w:r>
        <w:t>**Austin Health**: Largest public bariatric unit</w:t>
      </w:r>
    </w:p>
    <w:p>
      <w:pPr>
        <w:pStyle w:val="ListBullet"/>
      </w:pPr>
      <w:r>
        <w:t>**Dr. Niruben Rajasagaram**: Comprehensive weight loss centre</w:t>
      </w:r>
    </w:p>
    <w:p/>
    <w:p>
      <w:r>
        <w:rPr>
          <w:b/>
        </w:rPr>
        <w:t>Market Opportunities:</w:t>
      </w:r>
    </w:p>
    <w:p>
      <w:pPr>
        <w:pStyle w:val="ListBullet"/>
      </w:pPr>
      <w:r>
        <w:t>Limited practices offering integrated medical/surgical approach</w:t>
      </w:r>
    </w:p>
    <w:p>
      <w:pPr>
        <w:pStyle w:val="ListBullet"/>
      </w:pPr>
      <w:r>
        <w:t>Most centres focus on surgery-only solutions</w:t>
      </w:r>
    </w:p>
    <w:p>
      <w:pPr>
        <w:pStyle w:val="ListBullet"/>
      </w:pPr>
      <w:r>
        <w:t>Gap in post-surgical weight management services</w:t>
      </w:r>
    </w:p>
    <w:p>
      <w:pPr>
        <w:pStyle w:val="ListBullet"/>
      </w:pPr>
      <w:r>
        <w:t>Limited patient education about combined therapies</w:t>
      </w:r>
    </w:p>
    <w:p/>
    <w:p>
      <w:pPr>
        <w:pStyle w:val="Heading3"/>
        <w:jc w:val="left"/>
      </w:pPr>
      <w:r>
        <w:t>Competitive Advantages for Precision Upper GI Surgery</w:t>
      </w:r>
    </w:p>
    <w:p/>
    <w:p>
      <w:r>
        <w:rPr>
          <w:b/>
        </w:rPr>
        <w:t>Unique Positioning Opportunities:</w:t>
      </w:r>
    </w:p>
    <w:p>
      <w:r>
        <w:t>1. **Comprehensive Weight Management**: Medical + surgical integration</w:t>
      </w:r>
    </w:p>
    <w:p>
      <w:r>
        <w:t>2. **Expert Medical Supervision**: Dr. Manju's surgical expertise</w:t>
      </w:r>
    </w:p>
    <w:p>
      <w:r>
        <w:t>3. **Patient Education**: Evidence-based treatment selection</w:t>
      </w:r>
    </w:p>
    <w:p>
      <w:r>
        <w:t>4. **Personalised Approach**: Individual treatment pathway design</w:t>
      </w:r>
    </w:p>
    <w:p>
      <w:r>
        <w:t>5. **Long-term Support**: Ongoing monitoring and adjustment</w:t>
      </w:r>
    </w:p>
    <w:p/>
    <w:p>
      <w:pPr>
        <w:pStyle w:val="Heading2"/>
        <w:jc w:val="left"/>
      </w:pPr>
      <w:r>
        <w:t>Key Findings &amp; Recommendations</w:t>
      </w:r>
    </w:p>
    <w:p/>
    <w:p>
      <w:pPr>
        <w:pStyle w:val="Heading3"/>
        <w:jc w:val="left"/>
      </w:pPr>
      <w:r>
        <w:t>Primary Recommendations for Blog Content</w:t>
      </w:r>
    </w:p>
    <w:p/>
    <w:p>
      <w:r>
        <w:rPr>
          <w:b/>
        </w:rPr>
        <w:t>1. Educational Authority Positioning</w:t>
      </w:r>
    </w:p>
    <w:p>
      <w:pPr>
        <w:pStyle w:val="ListBullet"/>
      </w:pPr>
      <w:r>
        <w:t>Position as comprehensive weight management experts</w:t>
      </w:r>
    </w:p>
    <w:p>
      <w:pPr>
        <w:pStyle w:val="ListBullet"/>
      </w:pPr>
      <w:r>
        <w:t>Emphasise medical supervision importance</w:t>
      </w:r>
    </w:p>
    <w:p>
      <w:pPr>
        <w:pStyle w:val="ListBullet"/>
      </w:pPr>
      <w:r>
        <w:t>Provide clear, evidence-based comparisons</w:t>
      </w:r>
    </w:p>
    <w:p>
      <w:pPr>
        <w:pStyle w:val="ListBullet"/>
      </w:pPr>
      <w:r>
        <w:t>Address common patient concerns and myths</w:t>
      </w:r>
    </w:p>
    <w:p/>
    <w:p>
      <w:r>
        <w:rPr>
          <w:b/>
        </w:rPr>
        <w:t>2. Integration Messaging</w:t>
      </w:r>
    </w:p>
    <w:p>
      <w:pPr>
        <w:pStyle w:val="ListBullet"/>
      </w:pPr>
      <w:r>
        <w:t>Highlight combined therapy benefits</w:t>
      </w:r>
    </w:p>
    <w:p>
      <w:pPr>
        <w:pStyle w:val="ListBullet"/>
      </w:pPr>
      <w:r>
        <w:t>Explain patient selection criteria clearly</w:t>
      </w:r>
    </w:p>
    <w:p>
      <w:pPr>
        <w:pStyle w:val="ListBullet"/>
      </w:pPr>
      <w:r>
        <w:t>Position as surgical expertise advantage</w:t>
      </w:r>
    </w:p>
    <w:p>
      <w:pPr>
        <w:pStyle w:val="ListBullet"/>
      </w:pPr>
      <w:r>
        <w:t>Demonstrate long-term outcome focus</w:t>
      </w:r>
    </w:p>
    <w:p/>
    <w:p>
      <w:r>
        <w:rPr>
          <w:b/>
        </w:rPr>
        <w:t>3. Patient-Centric Approach</w:t>
      </w:r>
    </w:p>
    <w:p>
      <w:pPr>
        <w:pStyle w:val="ListBullet"/>
      </w:pPr>
      <w:r>
        <w:t>Address cost concerns transparently</w:t>
      </w:r>
    </w:p>
    <w:p>
      <w:pPr>
        <w:pStyle w:val="ListBullet"/>
      </w:pPr>
      <w:r>
        <w:t>Provide realistic expectation setting</w:t>
      </w:r>
    </w:p>
    <w:p>
      <w:pPr>
        <w:pStyle w:val="ListBullet"/>
      </w:pPr>
      <w:r>
        <w:t>Include safety information prominently</w:t>
      </w:r>
    </w:p>
    <w:p>
      <w:pPr>
        <w:pStyle w:val="ListBullet"/>
      </w:pPr>
      <w:r>
        <w:t>Offer clear next steps for interested patients</w:t>
      </w:r>
    </w:p>
    <w:p/>
    <w:p>
      <w:r>
        <w:rPr>
          <w:b/>
        </w:rPr>
        <w:t>4. Competitive Differentiation</w:t>
      </w:r>
    </w:p>
    <w:p>
      <w:pPr>
        <w:pStyle w:val="ListBullet"/>
      </w:pPr>
      <w:r>
        <w:t>Emphasise comprehensive assessment approach</w:t>
      </w:r>
    </w:p>
    <w:p>
      <w:pPr>
        <w:pStyle w:val="ListBullet"/>
      </w:pPr>
      <w:r>
        <w:t>Highlight surgical backup option availability</w:t>
      </w:r>
    </w:p>
    <w:p>
      <w:pPr>
        <w:pStyle w:val="ListBullet"/>
      </w:pPr>
      <w:r>
        <w:t>Position as medical weight management specialists</w:t>
      </w:r>
    </w:p>
    <w:p>
      <w:pPr>
        <w:pStyle w:val="ListBullet"/>
      </w:pPr>
      <w:r>
        <w:t>Demonstrate ongoing research awareness</w:t>
      </w:r>
    </w:p>
    <w:p/>
    <w:p>
      <w:pPr>
        <w:pStyle w:val="Heading3"/>
        <w:jc w:val="left"/>
      </w:pPr>
      <w:r>
        <w:t>Content Strategy Recommendations</w:t>
      </w:r>
    </w:p>
    <w:p/>
    <w:p>
      <w:r>
        <w:rPr>
          <w:b/>
        </w:rPr>
        <w:t>Blog Post Structure:</w:t>
      </w:r>
    </w:p>
    <w:p>
      <w:r>
        <w:t>1. Introduction to weight loss injectables landscape</w:t>
      </w:r>
    </w:p>
    <w:p>
      <w:r>
        <w:t>2. Medication types and effectiveness comparison</w:t>
      </w:r>
    </w:p>
    <w:p>
      <w:r>
        <w:t>3. Patient eligibility and selection process</w:t>
      </w:r>
    </w:p>
    <w:p>
      <w:r>
        <w:t>4. Integration with surgical approaches</w:t>
      </w:r>
    </w:p>
    <w:p>
      <w:r>
        <w:t>5. Safety considerations and monitoring</w:t>
      </w:r>
    </w:p>
    <w:p>
      <w:r>
        <w:t>6. Cost analysis and financial planning</w:t>
      </w:r>
    </w:p>
    <w:p>
      <w:r>
        <w:t>7. Next steps and consultation process</w:t>
      </w:r>
    </w:p>
    <w:p/>
    <w:p>
      <w:r>
        <w:rPr>
          <w:b/>
        </w:rPr>
        <w:t>SEO Keywords Integration:</w:t>
      </w:r>
    </w:p>
    <w:p>
      <w:pPr>
        <w:pStyle w:val="ListBullet"/>
      </w:pPr>
      <w:r>
        <w:t>"Weight loss injectables Australia"</w:t>
      </w:r>
    </w:p>
    <w:p>
      <w:pPr>
        <w:pStyle w:val="ListBullet"/>
      </w:pPr>
      <w:r>
        <w:t>"Ozempic Wegovy Saxenda comparison"</w:t>
      </w:r>
    </w:p>
    <w:p>
      <w:pPr>
        <w:pStyle w:val="ListBullet"/>
      </w:pPr>
      <w:r>
        <w:t>"Bariatric surgery integration"</w:t>
      </w:r>
    </w:p>
    <w:p>
      <w:pPr>
        <w:pStyle w:val="ListBullet"/>
      </w:pPr>
      <w:r>
        <w:t>"Upper GI surgery weight management"</w:t>
      </w:r>
    </w:p>
    <w:p>
      <w:pPr>
        <w:pStyle w:val="ListBullet"/>
      </w:pPr>
      <w:r>
        <w:t>"Medical weight loss supervision"</w:t>
      </w:r>
    </w:p>
    <w:p/>
    <w:p>
      <w:pPr>
        <w:pStyle w:val="Heading2"/>
        <w:jc w:val="left"/>
      </w:pPr>
      <w:r>
        <w:t>Data Sources &amp; Methodology</w:t>
      </w:r>
    </w:p>
    <w:p/>
    <w:p>
      <w:pPr>
        <w:pStyle w:val="Heading3"/>
        <w:jc w:val="left"/>
      </w:pPr>
      <w:r>
        <w:t>Research Sources</w:t>
      </w:r>
    </w:p>
    <w:p/>
    <w:p>
      <w:r>
        <w:rPr>
          <w:b/>
        </w:rPr>
        <w:t>Medical Literature:</w:t>
      </w:r>
    </w:p>
    <w:p>
      <w:pPr>
        <w:pStyle w:val="ListBullet"/>
      </w:pPr>
      <w:r>
        <w:t>Clinical trial data from 2024-2025 studies</w:t>
      </w:r>
    </w:p>
    <w:p>
      <w:pPr>
        <w:pStyle w:val="ListBullet"/>
      </w:pPr>
      <w:r>
        <w:t>TGA medication approval documents</w:t>
      </w:r>
    </w:p>
    <w:p>
      <w:pPr>
        <w:pStyle w:val="ListBullet"/>
      </w:pPr>
      <w:r>
        <w:t>RACGP clinical practice guidelines</w:t>
      </w:r>
    </w:p>
    <w:p>
      <w:pPr>
        <w:pStyle w:val="ListBullet"/>
      </w:pPr>
      <w:r>
        <w:t>Australian obesity management guidelines</w:t>
      </w:r>
    </w:p>
    <w:p>
      <w:pPr>
        <w:pStyle w:val="ListBullet"/>
      </w:pPr>
      <w:r>
        <w:t>International bariatric surgery standards</w:t>
      </w:r>
    </w:p>
    <w:p/>
    <w:p>
      <w:r>
        <w:rPr>
          <w:b/>
        </w:rPr>
        <w:t>Market Analysis:</w:t>
      </w:r>
    </w:p>
    <w:p>
      <w:pPr>
        <w:pStyle w:val="ListBullet"/>
      </w:pPr>
      <w:r>
        <w:t>TGA therapeutic goods database</w:t>
      </w:r>
    </w:p>
    <w:p>
      <w:pPr>
        <w:pStyle w:val="ListBullet"/>
      </w:pPr>
      <w:r>
        <w:t>PBS medication listings and pricing</w:t>
      </w:r>
    </w:p>
    <w:p>
      <w:pPr>
        <w:pStyle w:val="ListBullet"/>
      </w:pPr>
      <w:r>
        <w:t>Healthcare industry reports</w:t>
      </w:r>
    </w:p>
    <w:p>
      <w:pPr>
        <w:pStyle w:val="ListBullet"/>
      </w:pPr>
      <w:r>
        <w:t>Competitive practice analysis</w:t>
      </w:r>
    </w:p>
    <w:p>
      <w:pPr>
        <w:pStyle w:val="ListBullet"/>
      </w:pPr>
      <w:r>
        <w:t>Patient preference studies</w:t>
      </w:r>
    </w:p>
    <w:p/>
    <w:p>
      <w:r>
        <w:rPr>
          <w:b/>
        </w:rPr>
        <w:t>Cost &amp; Coverage:</w:t>
      </w:r>
    </w:p>
    <w:p>
      <w:pPr>
        <w:pStyle w:val="ListBullet"/>
      </w:pPr>
      <w:r>
        <w:t>Services Australia PBS information</w:t>
      </w:r>
    </w:p>
    <w:p>
      <w:pPr>
        <w:pStyle w:val="ListBullet"/>
      </w:pPr>
      <w:r>
        <w:t>Private health insurance industry data</w:t>
      </w:r>
    </w:p>
    <w:p>
      <w:pPr>
        <w:pStyle w:val="ListBullet"/>
      </w:pPr>
      <w:r>
        <w:t>Pharmacy pricing surveys</w:t>
      </w:r>
    </w:p>
    <w:p>
      <w:pPr>
        <w:pStyle w:val="ListBullet"/>
      </w:pPr>
      <w:r>
        <w:t>Manufacturer pricing information</w:t>
      </w:r>
    </w:p>
    <w:p/>
    <w:p>
      <w:pPr>
        <w:pStyle w:val="Heading3"/>
        <w:jc w:val="left"/>
      </w:pPr>
      <w:r>
        <w:t>Research Limitations</w:t>
      </w:r>
    </w:p>
    <w:p/>
    <w:p>
      <w:r>
        <w:rPr>
          <w:b/>
        </w:rPr>
        <w:t>Data Constraints:</w:t>
      </w:r>
    </w:p>
    <w:p>
      <w:pPr>
        <w:pStyle w:val="ListBullet"/>
      </w:pPr>
      <w:r>
        <w:t>Limited long-term Australian real-world data</w:t>
      </w:r>
    </w:p>
    <w:p>
      <w:pPr>
        <w:pStyle w:val="ListBullet"/>
      </w:pPr>
      <w:r>
        <w:t>Facebook reel content inaccessible for analysis</w:t>
      </w:r>
    </w:p>
    <w:p>
      <w:pPr>
        <w:pStyle w:val="ListBullet"/>
      </w:pPr>
      <w:r>
        <w:t>Private prescription cost variations</w:t>
      </w:r>
    </w:p>
    <w:p>
      <w:pPr>
        <w:pStyle w:val="ListBullet"/>
      </w:pPr>
      <w:r>
        <w:t>Limited post-surgical integration studies</w:t>
      </w:r>
    </w:p>
    <w:p/>
    <w:p>
      <w:r>
        <w:rPr>
          <w:b/>
        </w:rPr>
        <w:t>Assumptions Made:</w:t>
      </w:r>
    </w:p>
    <w:p>
      <w:pPr>
        <w:pStyle w:val="ListBullet"/>
      </w:pPr>
      <w:r>
        <w:t>Cost estimates based on available public information</w:t>
      </w:r>
    </w:p>
    <w:p>
      <w:pPr>
        <w:pStyle w:val="ListBullet"/>
      </w:pPr>
      <w:r>
        <w:t>Competitive analysis limited to publicly available data</w:t>
      </w:r>
    </w:p>
    <w:p>
      <w:pPr>
        <w:pStyle w:val="ListBullet"/>
      </w:pPr>
      <w:r>
        <w:t>Patient preference assumptions based on international studies</w:t>
      </w:r>
    </w:p>
    <w:p>
      <w:pPr>
        <w:pStyle w:val="ListBullet"/>
      </w:pPr>
      <w:r>
        <w:t>Market opportunity estimates extrapolated from demand indicators</w:t>
      </w:r>
    </w:p>
    <w:p/>
    <w:p>
      <w:pPr>
        <w:pStyle w:val="Heading3"/>
        <w:jc w:val="left"/>
      </w:pPr>
      <w:r>
        <w:t>Methodology Quality Assurance</w:t>
      </w:r>
    </w:p>
    <w:p/>
    <w:p>
      <w:r>
        <w:rPr>
          <w:b/>
        </w:rPr>
        <w:t>Verification Process:</w:t>
      </w:r>
    </w:p>
    <w:p>
      <w:pPr>
        <w:pStyle w:val="ListBullet"/>
      </w:pPr>
      <w:r>
        <w:t>Cross-referenced multiple medical sources</w:t>
      </w:r>
    </w:p>
    <w:p>
      <w:pPr>
        <w:pStyle w:val="ListBullet"/>
      </w:pPr>
      <w:r>
        <w:t>Confirmed TGA approval status and dates</w:t>
      </w:r>
    </w:p>
    <w:p>
      <w:pPr>
        <w:pStyle w:val="ListBullet"/>
      </w:pPr>
      <w:r>
        <w:t>Validated pricing information from multiple sources</w:t>
      </w:r>
    </w:p>
    <w:p>
      <w:pPr>
        <w:pStyle w:val="ListBullet"/>
      </w:pPr>
      <w:r>
        <w:t>Reviewed recent clinical trial publications</w:t>
      </w:r>
    </w:p>
    <w:p/>
    <w:p>
      <w:r>
        <w:rPr>
          <w:b/>
        </w:rPr>
        <w:t>Self-Critique:</w:t>
      </w:r>
    </w:p>
    <w:p>
      <w:pPr>
        <w:pStyle w:val="ListBullet"/>
      </w:pPr>
      <w:r>
        <w:t>Limited access to practice-specific patient data</w:t>
      </w:r>
    </w:p>
    <w:p>
      <w:pPr>
        <w:pStyle w:val="ListBullet"/>
      </w:pPr>
      <w:r>
        <w:t>Assumptions about competitive positioning may need validation</w:t>
      </w:r>
    </w:p>
    <w:p>
      <w:pPr>
        <w:pStyle w:val="ListBullet"/>
      </w:pPr>
      <w:r>
        <w:t>Cost analysis based on general market data, not patient-specific</w:t>
      </w:r>
    </w:p>
    <w:p>
      <w:pPr>
        <w:pStyle w:val="ListBullet"/>
      </w:pPr>
      <w:r>
        <w:t>Integration outcomes data primarily from international studies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**Research Status**: Complete</w:t>
      </w:r>
    </w:p>
    <w:p>
      <w:r>
        <w:t>**Confidence Level**: High for medical data, Medium for cost/market analysis</w:t>
      </w:r>
    </w:p>
    <w:p>
      <w:r>
        <w:t>**Recommended Updates**: Quarterly review for new TGA approvals and pricing changes</w:t>
      </w:r>
    </w:p>
    <w:p>
      <w:r>
        <w:t>**Next Steps**: Implementation plan development and content creation brief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