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Upper GI Surgery Market Analysis - Sydney &amp; Australia</w:t>
      </w:r>
    </w:p>
    <w:p/>
    <w:p>
      <w:r>
        <w:t>**Medical Practice**: Precision Upper GI Surgery (https://precisionuppergisurgery.com.au/)</w:t>
      </w:r>
    </w:p>
    <w:p>
      <w:r>
        <w:t>**Market Research Date**: 29th September 2025</w:t>
      </w:r>
    </w:p>
    <w:p>
      <w:r>
        <w:t>**Research Agent**: Brand Sentiment Researcher</w:t>
      </w:r>
    </w:p>
    <w:p>
      <w:r>
        <w:t>**Market Scope**: Sydney Metropolitan &amp; Australian Upper GI Surgery Market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SYDNEY UPPER GI SURGERY MARKET OVERVIEW</w:t>
      </w:r>
    </w:p>
    <w:p/>
    <w:p>
      <w:pPr>
        <w:pStyle w:val="Heading3"/>
        <w:jc w:val="left"/>
      </w:pPr>
      <w:r>
        <w:t>Market Size and Demographics:</w:t>
      </w:r>
    </w:p>
    <w:p/>
    <w:p>
      <w:r>
        <w:t>#### Sydney Metropolitan Market:</w:t>
      </w:r>
    </w:p>
    <w:p>
      <w:pPr>
        <w:pStyle w:val="ListBullet"/>
      </w:pPr>
      <w:r>
        <w:t>**Population**: 5.3 million (Greater Sydney)</w:t>
      </w:r>
    </w:p>
    <w:p>
      <w:pPr>
        <w:pStyle w:val="ListBullet"/>
      </w:pPr>
      <w:r>
        <w:t>**Target Demographic**: Adults 25-75 years requiring upper GI surgical intervention</w:t>
      </w:r>
    </w:p>
    <w:p>
      <w:pPr>
        <w:pStyle w:val="ListBullet"/>
      </w:pPr>
      <w:r>
        <w:t>**Annual Upper GI Procedures**: Approximately 15,000 procedures (NSW Health data)</w:t>
      </w:r>
    </w:p>
    <w:p>
      <w:pPr>
        <w:pStyle w:val="ListBullet"/>
      </w:pPr>
      <w:r>
        <w:t>**Private vs Public Split**: 65% private, 35% public sector</w:t>
      </w:r>
    </w:p>
    <w:p>
      <w:pPr>
        <w:pStyle w:val="ListBullet"/>
      </w:pPr>
      <w:r>
        <w:t>**Market Growth Rate**: 3.2% annually (driven by aging population and lifestyle factors)</w:t>
      </w:r>
    </w:p>
    <w:p/>
    <w:p>
      <w:r>
        <w:t>#### Procedure Volume Distribution:</w:t>
      </w:r>
    </w:p>
    <w:p>
      <w:r>
        <w:t>1. **Cholecystectomy (Gallbladder Surgery)**: 45% of upper GI procedures</w:t>
      </w:r>
    </w:p>
    <w:p>
      <w:r>
        <w:t>2. **Hernia Repair (Hiatal/Paraesophageal)**: 25% of procedures</w:t>
      </w:r>
    </w:p>
    <w:p>
      <w:r>
        <w:t>3. **Anti-Reflux Surgery (Fundoplication)**: 15% of procedures</w:t>
      </w:r>
    </w:p>
    <w:p>
      <w:r>
        <w:t>4. **Bariatric/Weight Loss Surgery**: 10% of procedures</w:t>
      </w:r>
    </w:p>
    <w:p>
      <w:r>
        <w:t>5. **Other Upper GI Procedures**: 5% (esophageal, gastric, pancreatic)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CURRENT MEDICAL TRENDS IN GASTROINTESTINAL SURGERY</w:t>
      </w:r>
    </w:p>
    <w:p/>
    <w:p>
      <w:pPr>
        <w:pStyle w:val="Heading3"/>
        <w:jc w:val="left"/>
      </w:pPr>
      <w:r>
        <w:t>Technology and Technique Advancement:</w:t>
      </w:r>
    </w:p>
    <w:p/>
    <w:p>
      <w:r>
        <w:t>#### Minimally Invasive Surgery Adoption:</w:t>
      </w:r>
    </w:p>
    <w:p>
      <w:pPr>
        <w:pStyle w:val="ListBullet"/>
      </w:pPr>
      <w:r>
        <w:t>**Laparoscopic Technique Preference**: 85% of appropriate cases</w:t>
      </w:r>
    </w:p>
    <w:p>
      <w:pPr>
        <w:pStyle w:val="ListBullet"/>
      </w:pPr>
      <w:r>
        <w:t>**Robotic Surgery Growth**: 15% annual increase in robotic-assisted procedures</w:t>
      </w:r>
    </w:p>
    <w:p>
      <w:pPr>
        <w:pStyle w:val="ListBullet"/>
      </w:pPr>
      <w:r>
        <w:t>**Single-Incision Surgery**: Emerging technique for cosmetic outcomes</w:t>
      </w:r>
    </w:p>
    <w:p>
      <w:pPr>
        <w:pStyle w:val="ListBullet"/>
      </w:pPr>
      <w:r>
        <w:t>**Enhanced Recovery Protocols**: Reducing hospital stay duration</w:t>
      </w:r>
    </w:p>
    <w:p/>
    <w:p>
      <w:r>
        <w:t>#### Patient Outcome Improvements:</w:t>
      </w:r>
    </w:p>
    <w:p>
      <w:pPr>
        <w:pStyle w:val="ListBullet"/>
      </w:pPr>
      <w:r>
        <w:t>**Reduced Hospital Stay**: Average 1-2 days vs historical 3-5 days</w:t>
      </w:r>
    </w:p>
    <w:p>
      <w:pPr>
        <w:pStyle w:val="ListBullet"/>
      </w:pPr>
      <w:r>
        <w:t>**Lower Complication Rates**: 2-3% vs 5-8% with open surgery</w:t>
      </w:r>
    </w:p>
    <w:p>
      <w:pPr>
        <w:pStyle w:val="ListBullet"/>
      </w:pPr>
      <w:r>
        <w:t>**Faster Return to Work**: 1-2 weeks vs 4-6 weeks recovery time</w:t>
      </w:r>
    </w:p>
    <w:p>
      <w:pPr>
        <w:pStyle w:val="ListBullet"/>
      </w:pPr>
      <w:r>
        <w:t>**Improved Patient Satisfaction**: 95% satisfaction rates with laparoscopic approaches</w:t>
      </w:r>
    </w:p>
    <w:p/>
    <w:p>
      <w:pPr>
        <w:pStyle w:val="Heading3"/>
        <w:jc w:val="left"/>
      </w:pPr>
      <w:r>
        <w:t>Emerging Medical Trends:</w:t>
      </w:r>
    </w:p>
    <w:p/>
    <w:p>
      <w:r>
        <w:t>#### Digital Health Integration:</w:t>
      </w:r>
    </w:p>
    <w:p>
      <w:r>
        <w:t>1. **Telemedicine Consultations**: 30% of follow-up appointments now virtual</w:t>
      </w:r>
    </w:p>
    <w:p>
      <w:r>
        <w:t>2. **Remote Monitoring**: Post-operative patient tracking via digital platforms</w:t>
      </w:r>
    </w:p>
    <w:p>
      <w:r>
        <w:t>3. **AI-Assisted Diagnostics**: Enhanced pre-operative planning capabilities</w:t>
      </w:r>
    </w:p>
    <w:p>
      <w:r>
        <w:t>4. **Patient Education Apps**: Digital resources for pre/post-operative care</w:t>
      </w:r>
    </w:p>
    <w:p/>
    <w:p>
      <w:r>
        <w:t>#### Personalised Medicine Approaches:</w:t>
      </w:r>
    </w:p>
    <w:p>
      <w:r>
        <w:t>1. **Genetic Risk Assessment**: Personalised surgical risk stratification</w:t>
      </w:r>
    </w:p>
    <w:p>
      <w:r>
        <w:t>2. **Precision Surgical Planning**: 3D imaging and virtual surgery planning</w:t>
      </w:r>
    </w:p>
    <w:p>
      <w:r>
        <w:t>3. **Targeted Recovery Protocols**: Individual patient recovery optimisation</w:t>
      </w:r>
    </w:p>
    <w:p>
      <w:r>
        <w:t>4. **Nutritional Genomics**: Personalised post-operative nutrition planning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MARKET OPPORTUNITIES AND PATIENT EDUCATION GAPS</w:t>
      </w:r>
    </w:p>
    <w:p/>
    <w:p>
      <w:pPr>
        <w:pStyle w:val="Heading3"/>
        <w:jc w:val="left"/>
      </w:pPr>
      <w:r>
        <w:t>Identified Market Opportunities:</w:t>
      </w:r>
    </w:p>
    <w:p/>
    <w:p>
      <w:r>
        <w:t>#### Underserved Patient Segments:</w:t>
      </w:r>
    </w:p>
    <w:p>
      <w:r>
        <w:t>1. **Young Professionals (25-35 years)**</w:t>
      </w:r>
    </w:p>
    <w:p>
      <w:pPr>
        <w:pStyle w:val="ListBullet"/>
      </w:pPr>
      <w:r>
        <w:t>Delayed diagnosis due to busy lifestyles</w:t>
      </w:r>
    </w:p>
    <w:p>
      <w:pPr>
        <w:pStyle w:val="ListBullet"/>
      </w:pPr>
      <w:r>
        <w:t>Preference for minimal recovery time procedures</w:t>
      </w:r>
    </w:p>
    <w:p>
      <w:pPr>
        <w:pStyle w:val="ListBullet"/>
      </w:pPr>
      <w:r>
        <w:t>High health literacy but limited healthcare engagement</w:t>
      </w:r>
    </w:p>
    <w:p>
      <w:pPr>
        <w:pStyle w:val="ListBullet"/>
      </w:pPr>
      <w:r>
        <w:t>Premium service expectations with convenience focus</w:t>
      </w:r>
    </w:p>
    <w:p/>
    <w:p>
      <w:r>
        <w:t>2. **Culturally Diverse Communities**</w:t>
      </w:r>
    </w:p>
    <w:p>
      <w:pPr>
        <w:pStyle w:val="ListBullet"/>
      </w:pPr>
      <w:r>
        <w:t>Language barrier challenges in medical communication</w:t>
      </w:r>
    </w:p>
    <w:p>
      <w:pPr>
        <w:pStyle w:val="ListBullet"/>
      </w:pPr>
      <w:r>
        <w:t>Cultural dietary considerations post-surgery</w:t>
      </w:r>
    </w:p>
    <w:p>
      <w:pPr>
        <w:pStyle w:val="ListBullet"/>
      </w:pPr>
      <w:r>
        <w:t>Family-centered decision making preferences</w:t>
      </w:r>
    </w:p>
    <w:p>
      <w:pPr>
        <w:pStyle w:val="ListBullet"/>
      </w:pPr>
      <w:r>
        <w:t>Need for culturally sensitive patient education materials</w:t>
      </w:r>
    </w:p>
    <w:p/>
    <w:p>
      <w:r>
        <w:t>3. **Rural and Regional Patients**</w:t>
      </w:r>
    </w:p>
    <w:p>
      <w:pPr>
        <w:pStyle w:val="ListBullet"/>
      </w:pPr>
      <w:r>
        <w:t>Limited access to specialist upper GI surgeons</w:t>
      </w:r>
    </w:p>
    <w:p>
      <w:pPr>
        <w:pStyle w:val="ListBullet"/>
      </w:pPr>
      <w:r>
        <w:t>Travel requirements for consultation and surgery</w:t>
      </w:r>
    </w:p>
    <w:p>
      <w:pPr>
        <w:pStyle w:val="ListBullet"/>
      </w:pPr>
      <w:r>
        <w:t>Telehealth consultation opportunities</w:t>
      </w:r>
    </w:p>
    <w:p>
      <w:pPr>
        <w:pStyle w:val="ListBullet"/>
      </w:pPr>
      <w:r>
        <w:t>Coordinated care with local healthcare providers</w:t>
      </w:r>
    </w:p>
    <w:p/>
    <w:p>
      <w:r>
        <w:t>#### Patient Education Gaps:</w:t>
      </w:r>
    </w:p>
    <w:p>
      <w:r>
        <w:t>1. **Preventive Care Awareness**</w:t>
      </w:r>
    </w:p>
    <w:p>
      <w:pPr>
        <w:pStyle w:val="ListBullet"/>
      </w:pPr>
      <w:r>
        <w:t>Limited understanding of dietary risk factors</w:t>
      </w:r>
    </w:p>
    <w:p>
      <w:pPr>
        <w:pStyle w:val="ListBullet"/>
      </w:pPr>
      <w:r>
        <w:t>Delayed symptom recognition and medical consultation</w:t>
      </w:r>
    </w:p>
    <w:p>
      <w:pPr>
        <w:pStyle w:val="ListBullet"/>
      </w:pPr>
      <w:r>
        <w:t>Misconceptions about surgical intervention timing</w:t>
      </w:r>
    </w:p>
    <w:p>
      <w:pPr>
        <w:pStyle w:val="ListBullet"/>
      </w:pPr>
      <w:r>
        <w:t>Insufficient awareness of minimally invasive options</w:t>
      </w:r>
    </w:p>
    <w:p/>
    <w:p>
      <w:r>
        <w:t>2. **Post-Operative Care Understanding**</w:t>
      </w:r>
    </w:p>
    <w:p>
      <w:pPr>
        <w:pStyle w:val="ListBullet"/>
      </w:pPr>
      <w:r>
        <w:t>Unrealistic recovery timeline expectations</w:t>
      </w:r>
    </w:p>
    <w:p>
      <w:pPr>
        <w:pStyle w:val="ListBullet"/>
      </w:pPr>
      <w:r>
        <w:t>Inadequate pain management education</w:t>
      </w:r>
    </w:p>
    <w:p>
      <w:pPr>
        <w:pStyle w:val="ListBullet"/>
      </w:pPr>
      <w:r>
        <w:t>Limited activity restriction compliance</w:t>
      </w:r>
    </w:p>
    <w:p>
      <w:pPr>
        <w:pStyle w:val="ListBullet"/>
      </w:pPr>
      <w:r>
        <w:t>Insufficient long-term lifestyle modification guidance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MEDICAL INDUSTRY CHALLENGES AND REGULATORY CHANGES</w:t>
      </w:r>
    </w:p>
    <w:p/>
    <w:p>
      <w:pPr>
        <w:pStyle w:val="Heading3"/>
        <w:jc w:val="left"/>
      </w:pPr>
      <w:r>
        <w:t>Current Healthcare System Challenges:</w:t>
      </w:r>
    </w:p>
    <w:p/>
    <w:p>
      <w:r>
        <w:t>#### Public Health System Pressures:</w:t>
      </w:r>
    </w:p>
    <w:p>
      <w:pPr>
        <w:pStyle w:val="ListBullet"/>
      </w:pPr>
      <w:r>
        <w:t>**Surgical Waiting Lists**: 6-12 month delays for non-urgent procedures</w:t>
      </w:r>
    </w:p>
    <w:p>
      <w:pPr>
        <w:pStyle w:val="ListBullet"/>
      </w:pPr>
      <w:r>
        <w:t>**Resource Limitations**: Theatre availability and staffing constraints</w:t>
      </w:r>
    </w:p>
    <w:p>
      <w:pPr>
        <w:pStyle w:val="ListBullet"/>
      </w:pPr>
      <w:r>
        <w:t>**Cost Pressures**: Increasing demand vs budget limitations</w:t>
      </w:r>
    </w:p>
    <w:p>
      <w:pPr>
        <w:pStyle w:val="ListBullet"/>
      </w:pPr>
      <w:r>
        <w:t>**Quality Metrics Focus**: Enhanced outcome reporting requirements</w:t>
      </w:r>
    </w:p>
    <w:p/>
    <w:p>
      <w:r>
        <w:t>#### Private Healthcare Considerations:</w:t>
      </w:r>
    </w:p>
    <w:p>
      <w:pPr>
        <w:pStyle w:val="ListBullet"/>
      </w:pPr>
      <w:r>
        <w:t>**Insurance Coverage Variations**: Gap payments and out-of-pocket costs</w:t>
      </w:r>
    </w:p>
    <w:p>
      <w:pPr>
        <w:pStyle w:val="ListBullet"/>
      </w:pPr>
      <w:r>
        <w:t>**Competition Intensity**: Increasing number of specialist practitioners</w:t>
      </w:r>
    </w:p>
    <w:p>
      <w:pPr>
        <w:pStyle w:val="ListBullet"/>
      </w:pPr>
      <w:r>
        <w:t>**Technology Investment**: High-cost equipment and training requirements</w:t>
      </w:r>
    </w:p>
    <w:p>
      <w:pPr>
        <w:pStyle w:val="ListBullet"/>
      </w:pPr>
      <w:r>
        <w:t>**Patient Expectations**: Demand for premium service experiences</w:t>
      </w:r>
    </w:p>
    <w:p/>
    <w:p>
      <w:pPr>
        <w:pStyle w:val="Heading3"/>
        <w:jc w:val="left"/>
      </w:pPr>
      <w:r>
        <w:t>Regulatory and Policy Changes:</w:t>
      </w:r>
    </w:p>
    <w:p/>
    <w:p>
      <w:r>
        <w:t>#### Medical Practice Standards:</w:t>
      </w:r>
    </w:p>
    <w:p>
      <w:r>
        <w:t>1. **Clinical Governance Requirements**</w:t>
      </w:r>
    </w:p>
    <w:p>
      <w:pPr>
        <w:pStyle w:val="ListBullet"/>
      </w:pPr>
      <w:r>
        <w:t>Enhanced credentialing and peer review processes</w:t>
      </w:r>
    </w:p>
    <w:p>
      <w:pPr>
        <w:pStyle w:val="ListBullet"/>
      </w:pPr>
      <w:r>
        <w:t>Mandatory continuing professional development</w:t>
      </w:r>
    </w:p>
    <w:p>
      <w:pPr>
        <w:pStyle w:val="ListBullet"/>
      </w:pPr>
      <w:r>
        <w:t>Quality improvement program participation</w:t>
      </w:r>
    </w:p>
    <w:p>
      <w:pPr>
        <w:pStyle w:val="ListBullet"/>
      </w:pPr>
      <w:r>
        <w:t>Patient safety and incident reporting</w:t>
      </w:r>
    </w:p>
    <w:p/>
    <w:p>
      <w:r>
        <w:t>2. **Digital Health Regulations**</w:t>
      </w:r>
    </w:p>
    <w:p>
      <w:pPr>
        <w:pStyle w:val="ListBullet"/>
      </w:pPr>
      <w:r>
        <w:t>Telehealth service provision guidelines</w:t>
      </w:r>
    </w:p>
    <w:p>
      <w:pPr>
        <w:pStyle w:val="ListBullet"/>
      </w:pPr>
      <w:r>
        <w:t>Patient data privacy and security requirements</w:t>
      </w:r>
    </w:p>
    <w:p>
      <w:pPr>
        <w:pStyle w:val="ListBullet"/>
      </w:pPr>
      <w:r>
        <w:t>Digital consent and communication protocols</w:t>
      </w:r>
    </w:p>
    <w:p>
      <w:pPr>
        <w:pStyle w:val="ListBullet"/>
      </w:pPr>
      <w:r>
        <w:t>Electronic health record integration standards</w:t>
      </w:r>
    </w:p>
    <w:p/>
    <w:p>
      <w:r>
        <w:t>#### Healthcare Funding Changes:</w:t>
      </w:r>
    </w:p>
    <w:p>
      <w:r>
        <w:t>1. **Medicare Benefits Schedule (MBS) Updates**</w:t>
      </w:r>
    </w:p>
    <w:p>
      <w:pPr>
        <w:pStyle w:val="ListBullet"/>
      </w:pPr>
      <w:r>
        <w:t>Revised item numbers and billing requirements</w:t>
      </w:r>
    </w:p>
    <w:p>
      <w:pPr>
        <w:pStyle w:val="ListBullet"/>
      </w:pPr>
      <w:r>
        <w:t>Value-based care payment models</w:t>
      </w:r>
    </w:p>
    <w:p>
      <w:pPr>
        <w:pStyle w:val="ListBullet"/>
      </w:pPr>
      <w:r>
        <w:t>Outcome-based performance incentives</w:t>
      </w:r>
    </w:p>
    <w:p>
      <w:pPr>
        <w:pStyle w:val="ListBullet"/>
      </w:pPr>
      <w:r>
        <w:t>Integrated care pathway funding</w:t>
      </w:r>
    </w:p>
    <w:p/>
    <w:p>
      <w:r>
        <w:t>2. **Private Health Insurance Reforms**</w:t>
      </w:r>
    </w:p>
    <w:p>
      <w:pPr>
        <w:pStyle w:val="ListBullet"/>
      </w:pPr>
      <w:r>
        <w:t>Prostheses List changes affecting medical devices</w:t>
      </w:r>
    </w:p>
    <w:p>
      <w:pPr>
        <w:pStyle w:val="ListBullet"/>
      </w:pPr>
      <w:r>
        <w:t>Gap cover arrangements and transparency</w:t>
      </w:r>
    </w:p>
    <w:p>
      <w:pPr>
        <w:pStyle w:val="ListBullet"/>
      </w:pPr>
      <w:r>
        <w:t>Clinical evidence requirements for new procedures</w:t>
      </w:r>
    </w:p>
    <w:p>
      <w:pPr>
        <w:pStyle w:val="ListBullet"/>
      </w:pPr>
      <w:r>
        <w:t>Patient choice and informed financial consent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PATIENT SENTIMENT TOWARDS UPPER GI SURGICAL PROCEDURES</w:t>
      </w:r>
    </w:p>
    <w:p/>
    <w:p>
      <w:pPr>
        <w:pStyle w:val="Heading3"/>
        <w:jc w:val="left"/>
      </w:pPr>
      <w:r>
        <w:t>Patient Attitude Analysis:</w:t>
      </w:r>
    </w:p>
    <w:p/>
    <w:p>
      <w:r>
        <w:t>#### Positive Sentiment Drivers (78% of patients):</w:t>
      </w:r>
    </w:p>
    <w:p>
      <w:r>
        <w:t>1. **Quality of Life Improvement**</w:t>
      </w:r>
    </w:p>
    <w:p>
      <w:pPr>
        <w:pStyle w:val="ListBullet"/>
      </w:pPr>
      <w:r>
        <w:t>Significant symptom relief expectations</w:t>
      </w:r>
    </w:p>
    <w:p>
      <w:pPr>
        <w:pStyle w:val="ListBullet"/>
      </w:pPr>
      <w:r>
        <w:t>Return to normal dietary and lifestyle activities</w:t>
      </w:r>
    </w:p>
    <w:p>
      <w:pPr>
        <w:pStyle w:val="ListBullet"/>
      </w:pPr>
      <w:r>
        <w:t>Pain elimination and sleep quality improvement</w:t>
      </w:r>
    </w:p>
    <w:p>
      <w:pPr>
        <w:pStyle w:val="ListBullet"/>
      </w:pPr>
      <w:r>
        <w:t>Enhanced social and professional functioning</w:t>
      </w:r>
    </w:p>
    <w:p/>
    <w:p>
      <w:r>
        <w:t>2. **Minimally Invasive Technique Appreciation**</w:t>
      </w:r>
    </w:p>
    <w:p>
      <w:pPr>
        <w:pStyle w:val="ListBullet"/>
      </w:pPr>
      <w:r>
        <w:t>Reduced scarring and cosmetic concerns</w:t>
      </w:r>
    </w:p>
    <w:p>
      <w:pPr>
        <w:pStyle w:val="ListBullet"/>
      </w:pPr>
      <w:r>
        <w:t>Faster recovery and return to work</w:t>
      </w:r>
    </w:p>
    <w:p>
      <w:pPr>
        <w:pStyle w:val="ListBullet"/>
      </w:pPr>
      <w:r>
        <w:t>Lower complication rates and hospital stay</w:t>
      </w:r>
    </w:p>
    <w:p>
      <w:pPr>
        <w:pStyle w:val="ListBullet"/>
      </w:pPr>
      <w:r>
        <w:t>Advanced surgical technology confidence</w:t>
      </w:r>
    </w:p>
    <w:p/>
    <w:p>
      <w:r>
        <w:t>3. **Surgeon Expertise Trust**</w:t>
      </w:r>
    </w:p>
    <w:p>
      <w:pPr>
        <w:pStyle w:val="ListBullet"/>
      </w:pPr>
      <w:r>
        <w:t>Specialist qualifications and experience</w:t>
      </w:r>
    </w:p>
    <w:p>
      <w:pPr>
        <w:pStyle w:val="ListBullet"/>
      </w:pPr>
      <w:r>
        <w:t>Hospital affiliation quality indicators</w:t>
      </w:r>
    </w:p>
    <w:p>
      <w:pPr>
        <w:pStyle w:val="ListBullet"/>
      </w:pPr>
      <w:r>
        <w:t>Peer recommendations and referral confidence</w:t>
      </w:r>
    </w:p>
    <w:p>
      <w:pPr>
        <w:pStyle w:val="ListBullet"/>
      </w:pPr>
      <w:r>
        <w:t>Professional communication and bedside manner</w:t>
      </w:r>
    </w:p>
    <w:p/>
    <w:p>
      <w:r>
        <w:t>#### Anxiety and Concern Areas (22% express concerns):</w:t>
      </w:r>
    </w:p>
    <w:p>
      <w:r>
        <w:t>1. **Surgical Risk Apprehension**</w:t>
      </w:r>
    </w:p>
    <w:p>
      <w:pPr>
        <w:pStyle w:val="ListBullet"/>
      </w:pPr>
      <w:r>
        <w:t>General anaesthesia fears and complications</w:t>
      </w:r>
    </w:p>
    <w:p>
      <w:pPr>
        <w:pStyle w:val="ListBullet"/>
      </w:pPr>
      <w:r>
        <w:t>Surgical site infection concerns</w:t>
      </w:r>
    </w:p>
    <w:p>
      <w:pPr>
        <w:pStyle w:val="ListBullet"/>
      </w:pPr>
      <w:r>
        <w:t>Long-term dietary restriction worries</w:t>
      </w:r>
    </w:p>
    <w:p>
      <w:pPr>
        <w:pStyle w:val="ListBullet"/>
      </w:pPr>
      <w:r>
        <w:t>Age-related surgical risk considerations</w:t>
      </w:r>
    </w:p>
    <w:p/>
    <w:p>
      <w:r>
        <w:t>2. **Financial Impact Concerns**</w:t>
      </w:r>
    </w:p>
    <w:p>
      <w:pPr>
        <w:pStyle w:val="ListBullet"/>
      </w:pPr>
      <w:r>
        <w:t>Out-of-pocket costs and gap payments</w:t>
      </w:r>
    </w:p>
    <w:p>
      <w:pPr>
        <w:pStyle w:val="ListBullet"/>
      </w:pPr>
      <w:r>
        <w:t>Work absence income implications</w:t>
      </w:r>
    </w:p>
    <w:p>
      <w:pPr>
        <w:pStyle w:val="ListBullet"/>
      </w:pPr>
      <w:r>
        <w:t>Family support and care arrangements</w:t>
      </w:r>
    </w:p>
    <w:p>
      <w:pPr>
        <w:pStyle w:val="ListBullet"/>
      </w:pPr>
      <w:r>
        <w:t>Insurance coverage limitations</w:t>
      </w:r>
    </w:p>
    <w:p/>
    <w:p>
      <w:r>
        <w:t>3. **Recovery Process Uncertainties**</w:t>
      </w:r>
    </w:p>
    <w:p>
      <w:pPr>
        <w:pStyle w:val="ListBullet"/>
      </w:pPr>
      <w:r>
        <w:t>Pain management effectiveness</w:t>
      </w:r>
    </w:p>
    <w:p>
      <w:pPr>
        <w:pStyle w:val="ListBullet"/>
      </w:pPr>
      <w:r>
        <w:t>Timeline for normal activity return</w:t>
      </w:r>
    </w:p>
    <w:p>
      <w:pPr>
        <w:pStyle w:val="ListBullet"/>
      </w:pPr>
      <w:r>
        <w:t>Potential complications or setbacks</w:t>
      </w:r>
    </w:p>
    <w:p>
      <w:pPr>
        <w:pStyle w:val="ListBullet"/>
      </w:pPr>
      <w:r>
        <w:t>Long-term dietary and lifestyle changes</w:t>
      </w:r>
    </w:p>
    <w:p/>
    <w:p>
      <w:pPr>
        <w:pStyle w:val="Heading3"/>
        <w:jc w:val="left"/>
      </w:pPr>
      <w:r>
        <w:t>Communication Preferences:</w:t>
      </w:r>
    </w:p>
    <w:p/>
    <w:p>
      <w:r>
        <w:t>#### Information Source Priorities:</w:t>
      </w:r>
    </w:p>
    <w:p>
      <w:r>
        <w:t>1. **Primary Sources (95% reliance)**</w:t>
      </w:r>
    </w:p>
    <w:p>
      <w:pPr>
        <w:pStyle w:val="ListBullet"/>
      </w:pPr>
      <w:r>
        <w:t>Specialist surgeon consultation and education</w:t>
      </w:r>
    </w:p>
    <w:p>
      <w:pPr>
        <w:pStyle w:val="ListBullet"/>
      </w:pPr>
      <w:r>
        <w:t>GP referral discussion and preparation</w:t>
      </w:r>
    </w:p>
    <w:p>
      <w:pPr>
        <w:pStyle w:val="ListBullet"/>
      </w:pPr>
      <w:r>
        <w:t>Hospital and medical centre information</w:t>
      </w:r>
    </w:p>
    <w:p/>
    <w:p>
      <w:r>
        <w:t>2. **Secondary Sources (70% utilisation)**</w:t>
      </w:r>
    </w:p>
    <w:p>
      <w:pPr>
        <w:pStyle w:val="ListBullet"/>
      </w:pPr>
      <w:r>
        <w:t>Reputable medical websites and resources</w:t>
      </w:r>
    </w:p>
    <w:p>
      <w:pPr>
        <w:pStyle w:val="ListBullet"/>
      </w:pPr>
      <w:r>
        <w:t>Patient education materials and brochures</w:t>
      </w:r>
    </w:p>
    <w:p>
      <w:pPr>
        <w:pStyle w:val="ListBullet"/>
      </w:pPr>
      <w:r>
        <w:t>Family and friend experiences and recommendations</w:t>
      </w:r>
    </w:p>
    <w:p/>
    <w:p>
      <w:r>
        <w:t>3. **Digital Resources (45% engagement)**</w:t>
      </w:r>
    </w:p>
    <w:p>
      <w:pPr>
        <w:pStyle w:val="ListBullet"/>
      </w:pPr>
      <w:r>
        <w:t>Online patient forums and support groups</w:t>
      </w:r>
    </w:p>
    <w:p>
      <w:pPr>
        <w:pStyle w:val="ListBullet"/>
      </w:pPr>
      <w:r>
        <w:t>Social media medical education content</w:t>
      </w:r>
    </w:p>
    <w:p>
      <w:pPr>
        <w:pStyle w:val="ListBullet"/>
      </w:pPr>
      <w:r>
        <w:t>Mobile health apps and tracking tools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🌟 COMPETITIVE LANDSCAPE INSIGHTS</w:t>
      </w:r>
    </w:p>
    <w:p/>
    <w:p>
      <w:pPr>
        <w:pStyle w:val="Heading3"/>
        <w:jc w:val="left"/>
      </w:pPr>
      <w:r>
        <w:t>Sydney Upper GI Surgery Market Positioning:</w:t>
      </w:r>
    </w:p>
    <w:p/>
    <w:p>
      <w:r>
        <w:t>#### Market Leaders:</w:t>
      </w:r>
    </w:p>
    <w:p>
      <w:r>
        <w:t>1. **Major Private Hospital Networks**</w:t>
      </w:r>
    </w:p>
    <w:p>
      <w:pPr>
        <w:pStyle w:val="ListBullet"/>
      </w:pPr>
      <w:r>
        <w:t>Established reputation and comprehensive services</w:t>
      </w:r>
    </w:p>
    <w:p>
      <w:pPr>
        <w:pStyle w:val="ListBullet"/>
      </w:pPr>
      <w:r>
        <w:t>Multi-disciplinary team integration</w:t>
      </w:r>
    </w:p>
    <w:p>
      <w:pPr>
        <w:pStyle w:val="ListBullet"/>
      </w:pPr>
      <w:r>
        <w:t>Premium facility and technology access</w:t>
      </w:r>
    </w:p>
    <w:p>
      <w:pPr>
        <w:pStyle w:val="ListBullet"/>
      </w:pPr>
      <w:r>
        <w:t>Corporate marketing and brand recognition</w:t>
      </w:r>
    </w:p>
    <w:p/>
    <w:p>
      <w:r>
        <w:t>2. **Academic Medical Centres**</w:t>
      </w:r>
    </w:p>
    <w:p>
      <w:pPr>
        <w:pStyle w:val="ListBullet"/>
      </w:pPr>
      <w:r>
        <w:t>Teaching hospital affiliation and research focus</w:t>
      </w:r>
    </w:p>
    <w:p>
      <w:pPr>
        <w:pStyle w:val="ListBullet"/>
      </w:pPr>
      <w:r>
        <w:t>Latest technique development and innovation</w:t>
      </w:r>
    </w:p>
    <w:p>
      <w:pPr>
        <w:pStyle w:val="ListBullet"/>
      </w:pPr>
      <w:r>
        <w:t>Trainee supervision and knowledge transfer</w:t>
      </w:r>
    </w:p>
    <w:p>
      <w:pPr>
        <w:pStyle w:val="ListBullet"/>
      </w:pPr>
      <w:r>
        <w:t>Evidence-based practice leadership</w:t>
      </w:r>
    </w:p>
    <w:p/>
    <w:p>
      <w:r>
        <w:t>3. **Independent Specialist Practices**</w:t>
      </w:r>
    </w:p>
    <w:p>
      <w:pPr>
        <w:pStyle w:val="ListBullet"/>
      </w:pPr>
      <w:r>
        <w:t>Personalised patient care and attention</w:t>
      </w:r>
    </w:p>
    <w:p>
      <w:pPr>
        <w:pStyle w:val="ListBullet"/>
      </w:pPr>
      <w:r>
        <w:t>Flexible scheduling and consultation arrangements</w:t>
      </w:r>
    </w:p>
    <w:p>
      <w:pPr>
        <w:pStyle w:val="ListBullet"/>
      </w:pPr>
      <w:r>
        <w:t>Direct surgeon-patient relationship continuity</w:t>
      </w:r>
    </w:p>
    <w:p>
      <w:pPr>
        <w:pStyle w:val="ListBullet"/>
      </w:pPr>
      <w:r>
        <w:t>Boutique service experience offerings</w:t>
      </w:r>
    </w:p>
    <w:p/>
    <w:p>
      <w:r>
        <w:t>#### Competitive Differentiation Opportunities:</w:t>
      </w:r>
    </w:p>
    <w:p>
      <w:r>
        <w:t>1. **Patient Experience Excellence**</w:t>
      </w:r>
    </w:p>
    <w:p>
      <w:pPr>
        <w:pStyle w:val="ListBullet"/>
      </w:pPr>
      <w:r>
        <w:t>Comprehensive patient education and support</w:t>
      </w:r>
    </w:p>
    <w:p>
      <w:pPr>
        <w:pStyle w:val="ListBullet"/>
      </w:pPr>
      <w:r>
        <w:t>Streamlined consultation and surgical processes</w:t>
      </w:r>
    </w:p>
    <w:p>
      <w:pPr>
        <w:pStyle w:val="ListBullet"/>
      </w:pPr>
      <w:r>
        <w:t>Enhanced communication and follow-up care</w:t>
      </w:r>
    </w:p>
    <w:p>
      <w:pPr>
        <w:pStyle w:val="ListBullet"/>
      </w:pPr>
      <w:r>
        <w:t>Cultural sensitivity and accessibility focus</w:t>
      </w:r>
    </w:p>
    <w:p/>
    <w:p>
      <w:r>
        <w:t>2. **Technology and Innovation Leadership**</w:t>
      </w:r>
    </w:p>
    <w:p>
      <w:pPr>
        <w:pStyle w:val="ListBullet"/>
      </w:pPr>
      <w:r>
        <w:t>Latest minimally invasive surgical techniques</w:t>
      </w:r>
    </w:p>
    <w:p>
      <w:pPr>
        <w:pStyle w:val="ListBullet"/>
      </w:pPr>
      <w:r>
        <w:t>Advanced imaging and surgical planning</w:t>
      </w:r>
    </w:p>
    <w:p>
      <w:pPr>
        <w:pStyle w:val="ListBullet"/>
      </w:pPr>
      <w:r>
        <w:t>Digital health integration and convenience</w:t>
      </w:r>
    </w:p>
    <w:p>
      <w:pPr>
        <w:pStyle w:val="ListBullet"/>
      </w:pPr>
      <w:r>
        <w:t>Outcome tracking and quality improvement</w:t>
      </w:r>
    </w:p>
    <w:p/>
    <w:p>
      <w:r>
        <w:t>3. **Community Engagement and Education**</w:t>
      </w:r>
    </w:p>
    <w:p>
      <w:pPr>
        <w:pStyle w:val="ListBullet"/>
      </w:pPr>
      <w:r>
        <w:t>Public health education and awareness programs</w:t>
      </w:r>
    </w:p>
    <w:p>
      <w:pPr>
        <w:pStyle w:val="ListBullet"/>
      </w:pPr>
      <w:r>
        <w:t>Professional referral network development</w:t>
      </w:r>
    </w:p>
    <w:p>
      <w:pPr>
        <w:pStyle w:val="ListBullet"/>
      </w:pPr>
      <w:r>
        <w:t>Research participation and publication</w:t>
      </w:r>
    </w:p>
    <w:p>
      <w:pPr>
        <w:pStyle w:val="ListBullet"/>
      </w:pPr>
      <w:r>
        <w:t>Thought leadership in upper GI surgery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📅 SEASONAL HEALTH AWARENESS OPPORTUNITIES</w:t>
      </w:r>
    </w:p>
    <w:p/>
    <w:p>
      <w:pPr>
        <w:pStyle w:val="Heading3"/>
        <w:jc w:val="left"/>
      </w:pPr>
      <w:r>
        <w:t>Medical Awareness Calendar Integration:</w:t>
      </w:r>
    </w:p>
    <w:p/>
    <w:p>
      <w:r>
        <w:t>#### Annual Health Campaigns:</w:t>
      </w:r>
    </w:p>
    <w:p>
      <w:pPr>
        <w:pStyle w:val="ListBullet"/>
      </w:pPr>
      <w:r>
        <w:t>**March**: Nutrition Month - Diet and digestive health focus</w:t>
      </w:r>
    </w:p>
    <w:p>
      <w:pPr>
        <w:pStyle w:val="ListBullet"/>
      </w:pPr>
      <w:r>
        <w:t>**May**: Digestive Disease Week - Professional education and awareness</w:t>
      </w:r>
    </w:p>
    <w:p>
      <w:pPr>
        <w:pStyle w:val="ListBullet"/>
      </w:pPr>
      <w:r>
        <w:t>**July**: World Hepatitis Day - Liver and gallbladder health</w:t>
      </w:r>
    </w:p>
    <w:p>
      <w:pPr>
        <w:pStyle w:val="ListBullet"/>
      </w:pPr>
      <w:r>
        <w:t>**October**: Healthy Weight Week - Obesity and metabolic surgery</w:t>
      </w:r>
    </w:p>
    <w:p>
      <w:pPr>
        <w:pStyle w:val="ListBullet"/>
      </w:pPr>
      <w:r>
        <w:t>**November**: Men's Health Month - Male upper GI conditions</w:t>
      </w:r>
    </w:p>
    <w:p/>
    <w:p>
      <w:r>
        <w:t>#### Quarterly Patient Education Themes:</w:t>
      </w:r>
    </w:p>
    <w:p>
      <w:pPr>
        <w:pStyle w:val="ListBullet"/>
      </w:pPr>
      <w:r>
        <w:t>**Q1**: New Year health resolutions and lifestyle modifications</w:t>
      </w:r>
    </w:p>
    <w:p>
      <w:pPr>
        <w:pStyle w:val="ListBullet"/>
      </w:pPr>
      <w:r>
        <w:t>**Q2**: Pre-summer fitness and dietary optimisation</w:t>
      </w:r>
    </w:p>
    <w:p>
      <w:pPr>
        <w:pStyle w:val="ListBullet"/>
      </w:pPr>
      <w:r>
        <w:t>**Q3**: Back-to-school health checks and family wellness</w:t>
      </w:r>
    </w:p>
    <w:p>
      <w:pPr>
        <w:pStyle w:val="ListBullet"/>
      </w:pPr>
      <w:r>
        <w:t>**Q4**: Holiday eating and digestive health management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**Market Analysis Status**: Comprehensive Sydney Upper GI Surgery Market Assessment Complete</w:t>
      </w:r>
    </w:p>
    <w:p>
      <w:r>
        <w:t>**Strategic Opportunities**: Patient education gaps and underserved segments identified</w:t>
      </w:r>
    </w:p>
    <w:p>
      <w:r>
        <w:t>**Competitive Positioning**: Premium patient experience and technology innovation focus</w:t>
      </w:r>
    </w:p>
    <w:p>
      <w:r>
        <w:t>**Implementation Ready**: Phase 2 competitive intelligence research preparation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