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Areas We Serve - Professional Services Marketing Across Australia</w:t>
      </w:r>
    </w:p>
    <w:p/>
    <w:p>
      <w:pPr>
        <w:pStyle w:val="Heading2"/>
        <w:jc w:val="left"/>
      </w:pPr>
      <w:r>
        <w:t>Answer First Section</w:t>
      </w:r>
    </w:p>
    <w:p>
      <w:pPr>
        <w:pStyle w:val="Heading3"/>
        <w:jc w:val="left"/>
      </w:pPr>
      <w:r>
        <w:t>Where Does Luna Digital Serve Professional Practices?</w:t>
      </w:r>
    </w:p>
    <w:p/>
    <w:p>
      <w:r>
        <w:rPr>
          <w:b/>
        </w:rPr>
        <w:t>For Medical Practices:</w:t>
      </w:r>
      <w:r>
        <w:t xml:space="preserve"> Australia-wide coverage with 235+ active professional services clients across all states and territories, specialising in major metropolitan markets (Sydney, Melbourne, Brisbane, Perth, Adelaide) and regional professional service centres.</w:t>
      </w:r>
    </w:p>
    <w:p/>
    <w:p>
      <w:r>
        <w:rPr>
          <w:b/>
        </w:rPr>
        <w:t>For Legal Firms:</w:t>
      </w:r>
      <w:r>
        <w:t xml:space="preserve"> Comprehensive national coverage with deep understanding of state-based Legal Professional Conduct Rules, serving legal practices from major commercial law firms in CBD locations to boutique specialist practices in regional centres.</w:t>
      </w:r>
    </w:p>
    <w:p/>
    <w:p>
      <w:r>
        <w:rPr>
          <w:b/>
        </w:rPr>
        <w:t>For Professional Services:</w:t>
      </w:r>
      <w:r>
        <w:t xml:space="preserve"> Led by Director Natasha Chandra, Luna Digital serves professional practices across all Australian states with specialised expertise in local market dynamics, state-based regulations, and regional professional community integration.</w:t>
      </w:r>
    </w:p>
    <w:p/>
    <w:p>
      <w:pPr>
        <w:pStyle w:val="Heading2"/>
        <w:jc w:val="left"/>
      </w:pPr>
      <w:r>
        <w:t>Comprehensive Australian Professional Services Coverage</w:t>
      </w:r>
    </w:p>
    <w:p/>
    <w:p>
      <w:r>
        <w:t>Luna Digital Marketing proudly serves medical practices and legal firms across Australia, combining our deep understanding of professional services marketing with localised knowledge of state-based regulations, market dynamics, and regional professional communities.</w:t>
      </w:r>
    </w:p>
    <w:p/>
    <w:p>
      <w:r>
        <w:rPr>
          <w:b/>
        </w:rPr>
        <w:t>Our Geographic Reach:</w:t>
      </w:r>
      <w:r>
        <w:t xml:space="preserve"> 235+ active professional services clients across all Australian states and territories, with specialised expertise in major metropolitan markets and regional professional service centres.</w:t>
      </w:r>
    </w:p>
    <w:p/>
    <w:p/>
    <w:p>
      <w:pPr>
        <w:jc w:val="center"/>
      </w:pPr>
      <w:r>
        <w:t>__________________________________________________</w:t>
      </w:r>
    </w:p>
    <w:p/>
    <w:p/>
    <w:p>
      <w:pPr>
        <w:pStyle w:val="Heading2"/>
        <w:jc w:val="left"/>
      </w:pPr>
      <w:r>
        <w:t>Major Metropolitan Markets</w:t>
      </w:r>
    </w:p>
    <w:p/>
    <w:p>
      <w:pPr>
        <w:pStyle w:val="Heading3"/>
        <w:jc w:val="left"/>
      </w:pPr>
      <w:r>
        <w:t>Sydney Professional Services Hub</w:t>
      </w:r>
    </w:p>
    <w:p>
      <w:r>
        <w:rPr>
          <w:b/>
        </w:rPr>
        <w:t>Market Leadership:</w:t>
      </w:r>
      <w:r>
        <w:t xml:space="preserve"> Sydney represents our largest concentration of professional services clients, with 85+ medical practices and 42+ legal firms benefiting from our specialised marketing expertise.</w:t>
      </w:r>
    </w:p>
    <w:p/>
    <w:p>
      <w:r>
        <w:rPr>
          <w:b/>
        </w:rPr>
        <w:t>Local Professional Services Landscape:</w:t>
      </w:r>
    </w:p>
    <w:p>
      <w:pPr>
        <w:pStyle w:val="ListBullet"/>
      </w:pPr>
      <w:r>
        <w:rPr>
          <w:b/>
        </w:rPr>
        <w:t>Medical Sector:</w:t>
      </w:r>
      <w:r>
        <w:t xml:space="preserve"> 2,400+ GP practices, 150+ medical centres, significant specialist concentration in CBD and Eastern Suburbs</w:t>
      </w:r>
    </w:p>
    <w:p>
      <w:pPr>
        <w:pStyle w:val="ListBullet"/>
      </w:pPr>
      <w:r>
        <w:rPr>
          <w:b/>
        </w:rPr>
        <w:t>Legal Sector:</w:t>
      </w:r>
      <w:r>
        <w:t xml:space="preserve"> 1,200+ law firms, including 85+ major commercial firms and 300+ boutique specialist practices</w:t>
      </w:r>
    </w:p>
    <w:p>
      <w:pPr>
        <w:pStyle w:val="ListBullet"/>
      </w:pPr>
      <w:r>
        <w:rPr>
          <w:b/>
        </w:rPr>
        <w:t>Professional Services Density:</w:t>
      </w:r>
      <w:r>
        <w:t xml:space="preserve"> Highest concentration of professional services in Australia, creating competitive marketing challenges</w:t>
      </w:r>
    </w:p>
    <w:p/>
    <w:p>
      <w:r>
        <w:rPr>
          <w:b/>
        </w:rPr>
        <w:t>Sydney-Specific Expertise:</w:t>
      </w:r>
    </w:p>
    <w:p>
      <w:pPr>
        <w:pStyle w:val="ListBullet"/>
      </w:pPr>
      <w:r>
        <w:rPr>
          <w:b/>
        </w:rPr>
        <w:t>Regulatory Environment:</w:t>
      </w:r>
      <w:r>
        <w:t xml:space="preserve"> NSW Health Department compliance alongside AHPRA requirements</w:t>
      </w:r>
    </w:p>
    <w:p>
      <w:pPr>
        <w:pStyle w:val="ListBullet"/>
      </w:pPr>
      <w:r>
        <w:rPr>
          <w:b/>
        </w:rPr>
        <w:t>Legal Professional Standards:</w:t>
      </w:r>
      <w:r>
        <w:t xml:space="preserve"> Law Society of NSW professional conduct rule application</w:t>
      </w:r>
    </w:p>
    <w:p>
      <w:pPr>
        <w:pStyle w:val="ListBullet"/>
      </w:pPr>
      <w:r>
        <w:rPr>
          <w:b/>
        </w:rPr>
        <w:t>Market Competition:</w:t>
      </w:r>
      <w:r>
        <w:t xml:space="preserve"> Sophisticated strategies for highly competitive professional services markets</w:t>
      </w:r>
    </w:p>
    <w:p>
      <w:pPr>
        <w:pStyle w:val="ListBullet"/>
      </w:pPr>
      <w:r>
        <w:rPr>
          <w:b/>
        </w:rPr>
        <w:t>Geographic Considerations:</w:t>
      </w:r>
      <w:r>
        <w:t xml:space="preserve"> Multi-location practices across Greater Sydney metropolitan area</w:t>
      </w:r>
    </w:p>
    <w:p/>
    <w:p>
      <w:r>
        <w:rPr>
          <w:b/>
        </w:rPr>
        <w:t>Client Success in Sydney:</w:t>
      </w:r>
    </w:p>
    <w:p>
      <w:pPr>
        <w:pStyle w:val="ListBullet"/>
      </w:pPr>
      <w:r>
        <w:rPr>
          <w:b/>
        </w:rPr>
        <w:t>Medical Practices:</w:t>
      </w:r>
      <w:r>
        <w:t xml:space="preserve"> Average 32% increase in new patient bookings within 90 days</w:t>
      </w:r>
    </w:p>
    <w:p>
      <w:pPr>
        <w:pStyle w:val="ListBullet"/>
      </w:pPr>
      <w:r>
        <w:rPr>
          <w:b/>
        </w:rPr>
        <w:t>Legal Firms:</w:t>
      </w:r>
      <w:r>
        <w:t xml:space="preserve"> Average 38% increase in qualified client inquiries within 6 months</w:t>
      </w:r>
    </w:p>
    <w:p>
      <w:pPr>
        <w:pStyle w:val="ListBullet"/>
      </w:pPr>
      <w:r>
        <w:rPr>
          <w:b/>
        </w:rPr>
        <w:t>Market Recognition:</w:t>
      </w:r>
      <w:r>
        <w:t xml:space="preserve"> 15+ Sydney professional services marketing awards since 2020</w:t>
      </w:r>
    </w:p>
    <w:p/>
    <w:p>
      <w:pPr>
        <w:pStyle w:val="Heading3"/>
        <w:jc w:val="left"/>
      </w:pPr>
      <w:r>
        <w:t>Melbourne Professional Excellence Centre</w:t>
      </w:r>
    </w:p>
    <w:p>
      <w:r>
        <w:rPr>
          <w:b/>
        </w:rPr>
        <w:t>Professional Services Leadership:</w:t>
      </w:r>
      <w:r>
        <w:t xml:space="preserve"> Melbourne's strong professional services culture aligns perfectly with our compliance-first, excellence-focused approach to professional practice marketing.</w:t>
      </w:r>
    </w:p>
    <w:p/>
    <w:p>
      <w:r>
        <w:rPr>
          <w:b/>
        </w:rPr>
        <w:t>Local Market Characteristics:</w:t>
      </w:r>
    </w:p>
    <w:p>
      <w:pPr>
        <w:pStyle w:val="ListBullet"/>
      </w:pPr>
      <w:r>
        <w:rPr>
          <w:b/>
        </w:rPr>
        <w:t>Medical Excellence:</w:t>
      </w:r>
      <w:r>
        <w:t xml:space="preserve"> Home to major medical institutions, specialist practices, and innovative healthcare delivery models</w:t>
      </w:r>
    </w:p>
    <w:p>
      <w:pPr>
        <w:pStyle w:val="ListBullet"/>
      </w:pPr>
      <w:r>
        <w:rPr>
          <w:b/>
        </w:rPr>
        <w:t>Legal Innovation:</w:t>
      </w:r>
      <w:r>
        <w:t xml:space="preserve"> Leading legal market for commercial law, family law innovation, and professional services development</w:t>
      </w:r>
    </w:p>
    <w:p>
      <w:pPr>
        <w:pStyle w:val="ListBullet"/>
      </w:pPr>
      <w:r>
        <w:rPr>
          <w:b/>
        </w:rPr>
        <w:t>Professional Culture:</w:t>
      </w:r>
      <w:r>
        <w:t xml:space="preserve"> Strong emphasis on professional standards, ethical practice, and community service</w:t>
      </w:r>
    </w:p>
    <w:p/>
    <w:p>
      <w:r>
        <w:rPr>
          <w:b/>
        </w:rPr>
        <w:t>Melbourne-Specific Services:</w:t>
      </w:r>
    </w:p>
    <w:p>
      <w:pPr>
        <w:pStyle w:val="ListBullet"/>
      </w:pPr>
      <w:r>
        <w:rPr>
          <w:b/>
        </w:rPr>
        <w:t>Victorian Regulatory Compliance:</w:t>
      </w:r>
      <w:r>
        <w:t xml:space="preserve"> Understanding of Victorian health department requirements and legal profession regulations</w:t>
      </w:r>
    </w:p>
    <w:p>
      <w:pPr>
        <w:pStyle w:val="ListBullet"/>
      </w:pPr>
      <w:r>
        <w:rPr>
          <w:b/>
        </w:rPr>
        <w:t>Professional Network Integration:</w:t>
      </w:r>
      <w:r>
        <w:t xml:space="preserve"> Connections with Melbourne's strong professional associations and referral networks</w:t>
      </w:r>
    </w:p>
    <w:p>
      <w:pPr>
        <w:pStyle w:val="ListBullet"/>
      </w:pPr>
      <w:r>
        <w:rPr>
          <w:b/>
        </w:rPr>
        <w:t>Cultural Alignment:</w:t>
      </w:r>
      <w:r>
        <w:t xml:space="preserve"> Marketing approaches that respect Melbourne's professional service traditions and community values</w:t>
      </w:r>
    </w:p>
    <w:p/>
    <w:p>
      <w:r>
        <w:rPr>
          <w:b/>
        </w:rPr>
        <w:t>Melbourne Success Metrics:</w:t>
      </w:r>
    </w:p>
    <w:p>
      <w:pPr>
        <w:pStyle w:val="ListBullet"/>
      </w:pPr>
      <w:r>
        <w:rPr>
          <w:b/>
        </w:rPr>
        <w:t>65+ Active Medical Practice Clients:</w:t>
      </w:r>
      <w:r>
        <w:t xml:space="preserve"> Representing 12% of Melbourne's general practice market</w:t>
      </w:r>
    </w:p>
    <w:p>
      <w:pPr>
        <w:pStyle w:val="ListBullet"/>
      </w:pPr>
      <w:r>
        <w:rPr>
          <w:b/>
        </w:rPr>
        <w:t>28+ Active Legal Firm Clients:</w:t>
      </w:r>
      <w:r>
        <w:t xml:space="preserve"> Including major commercial firms and boutique specialist practices</w:t>
      </w:r>
    </w:p>
    <w:p>
      <w:pPr>
        <w:pStyle w:val="ListBullet"/>
      </w:pPr>
      <w:r>
        <w:rPr>
          <w:b/>
        </w:rPr>
        <w:t>Compliance Excellence:</w:t>
      </w:r>
      <w:r>
        <w:t xml:space="preserve"> 100% regulatory compliance record across all Victorian clients</w:t>
      </w:r>
    </w:p>
    <w:p/>
    <w:p>
      <w:pPr>
        <w:pStyle w:val="Heading3"/>
        <w:jc w:val="left"/>
      </w:pPr>
      <w:r>
        <w:t>Brisbane Growth Market Leadership</w:t>
      </w:r>
    </w:p>
    <w:p>
      <w:r>
        <w:rPr>
          <w:b/>
        </w:rPr>
        <w:t>Emerging Professional Services Hub:</w:t>
      </w:r>
      <w:r>
        <w:t xml:space="preserve"> Brisbane's rapid growth creates unique opportunities for professional practice expansion and market development.</w:t>
      </w:r>
    </w:p>
    <w:p/>
    <w:p>
      <w:r>
        <w:rPr>
          <w:b/>
        </w:rPr>
        <w:t>Market Opportunities:</w:t>
      </w:r>
    </w:p>
    <w:p>
      <w:pPr>
        <w:pStyle w:val="ListBullet"/>
      </w:pPr>
      <w:r>
        <w:rPr>
          <w:b/>
        </w:rPr>
        <w:t>Population Growth:</w:t>
      </w:r>
      <w:r>
        <w:t xml:space="preserve"> Fastest-growing major Australian city, increasing demand for professional services</w:t>
      </w:r>
    </w:p>
    <w:p>
      <w:pPr>
        <w:pStyle w:val="ListBullet"/>
      </w:pPr>
      <w:r>
        <w:rPr>
          <w:b/>
        </w:rPr>
        <w:t>Practice Expansion:</w:t>
      </w:r>
      <w:r>
        <w:t xml:space="preserve"> Significant opportunities for medical practice growth and legal firm development</w:t>
      </w:r>
    </w:p>
    <w:p>
      <w:pPr>
        <w:pStyle w:val="ListBullet"/>
      </w:pPr>
      <w:r>
        <w:rPr>
          <w:b/>
        </w:rPr>
        <w:t>Regional Integration:</w:t>
      </w:r>
      <w:r>
        <w:t xml:space="preserve"> Strategic location for serving South East Queensland professional services market</w:t>
      </w:r>
    </w:p>
    <w:p/>
    <w:p>
      <w:r>
        <w:rPr>
          <w:b/>
        </w:rPr>
        <w:t>Brisbane-Specific Expertise:</w:t>
      </w:r>
    </w:p>
    <w:p>
      <w:pPr>
        <w:pStyle w:val="ListBullet"/>
      </w:pPr>
      <w:r>
        <w:rPr>
          <w:b/>
        </w:rPr>
        <w:t>Queensland Health Compliance:</w:t>
      </w:r>
      <w:r>
        <w:t xml:space="preserve"> Understanding of Queensland-specific health regulations and practice requirements</w:t>
      </w:r>
    </w:p>
    <w:p>
      <w:pPr>
        <w:pStyle w:val="ListBullet"/>
      </w:pPr>
      <w:r>
        <w:rPr>
          <w:b/>
        </w:rPr>
        <w:t>Legal Profession Queensland:</w:t>
      </w:r>
      <w:r>
        <w:t xml:space="preserve"> Expertise in Queensland Law Society professional conduct requirements</w:t>
      </w:r>
    </w:p>
    <w:p>
      <w:pPr>
        <w:pStyle w:val="ListBullet"/>
      </w:pPr>
      <w:r>
        <w:rPr>
          <w:b/>
        </w:rPr>
        <w:t>Growth Marketing:</w:t>
      </w:r>
      <w:r>
        <w:t xml:space="preserve"> Specialised strategies for rapid market expansion and practice development</w:t>
      </w:r>
    </w:p>
    <w:p/>
    <w:p>
      <w:r>
        <w:rPr>
          <w:b/>
        </w:rPr>
        <w:t>Regional Coverage from Brisbane:</w:t>
      </w:r>
    </w:p>
    <w:p>
      <w:pPr>
        <w:pStyle w:val="ListBullet"/>
      </w:pPr>
      <w:r>
        <w:rPr>
          <w:b/>
        </w:rPr>
        <w:t>Gold Coast Professional Services:</w:t>
      </w:r>
      <w:r>
        <w:t xml:space="preserve"> Premium market serving affluent patient and client base</w:t>
      </w:r>
    </w:p>
    <w:p>
      <w:pPr>
        <w:pStyle w:val="ListBullet"/>
      </w:pPr>
      <w:r>
        <w:rPr>
          <w:b/>
        </w:rPr>
        <w:t>Sunshine Coast Expansion:</w:t>
      </w:r>
      <w:r>
        <w:t xml:space="preserve"> Growing professional services market with lifestyle-focused practices</w:t>
      </w:r>
    </w:p>
    <w:p>
      <w:pPr>
        <w:pStyle w:val="ListBullet"/>
      </w:pPr>
      <w:r>
        <w:rPr>
          <w:b/>
        </w:rPr>
        <w:t>Regional Queensland:</w:t>
      </w:r>
      <w:r>
        <w:t xml:space="preserve"> Supporting professional practices in Townsville, Cairns, and Toowoomba</w:t>
      </w:r>
    </w:p>
    <w:p/>
    <w:p/>
    <w:p>
      <w:pPr>
        <w:jc w:val="center"/>
      </w:pPr>
      <w:r>
        <w:t>__________________________________________________</w:t>
      </w:r>
    </w:p>
    <w:p/>
    <w:p/>
    <w:p>
      <w:pPr>
        <w:pStyle w:val="Heading2"/>
        <w:jc w:val="left"/>
      </w:pPr>
      <w:r>
        <w:t>State-by-State Professional Services Expertise</w:t>
      </w:r>
    </w:p>
    <w:p/>
    <w:p>
      <w:pPr>
        <w:pStyle w:val="Heading3"/>
        <w:jc w:val="left"/>
      </w:pPr>
      <w:r>
        <w:t>New South Wales - Professional Services Leadership</w:t>
      </w:r>
    </w:p>
    <w:p>
      <w:r>
        <w:rPr>
          <w:b/>
        </w:rPr>
        <w:t>Comprehensive NSW Coverage:</w:t>
      </w:r>
    </w:p>
    <w:p>
      <w:pPr>
        <w:pStyle w:val="ListBullet"/>
      </w:pPr>
      <w:r>
        <w:rPr>
          <w:b/>
        </w:rPr>
        <w:t>Sydney Metropolitan:</w:t>
      </w:r>
      <w:r>
        <w:t xml:space="preserve"> CBD, Eastern Suburbs, Northern Beaches, Western Sydney, Southern Sydney</w:t>
      </w:r>
    </w:p>
    <w:p>
      <w:pPr>
        <w:pStyle w:val="ListBullet"/>
      </w:pPr>
      <w:r>
        <w:rPr>
          <w:b/>
        </w:rPr>
        <w:t>Regional Centres:</w:t>
      </w:r>
      <w:r>
        <w:t xml:space="preserve"> Newcastle, Wollongong, Central Coast, Blue Mountains, Southern Highlands</w:t>
      </w:r>
    </w:p>
    <w:p>
      <w:pPr>
        <w:pStyle w:val="ListBullet"/>
      </w:pPr>
      <w:r>
        <w:rPr>
          <w:b/>
        </w:rPr>
        <w:t>Professional Networks:</w:t>
      </w:r>
      <w:r>
        <w:t xml:space="preserve"> Strong relationships with NSW professional associations and referral systems</w:t>
      </w:r>
    </w:p>
    <w:p/>
    <w:p>
      <w:r>
        <w:rPr>
          <w:b/>
        </w:rPr>
        <w:t>NSW-Specific Regulatory Expertise:</w:t>
      </w:r>
    </w:p>
    <w:p>
      <w:pPr>
        <w:pStyle w:val="ListBullet"/>
      </w:pPr>
      <w:r>
        <w:rPr>
          <w:b/>
        </w:rPr>
        <w:t>Health Administration Corporation (HAC):</w:t>
      </w:r>
      <w:r>
        <w:t xml:space="preserve"> NSW health system compliance requirements</w:t>
      </w:r>
    </w:p>
    <w:p>
      <w:pPr>
        <w:pStyle w:val="ListBullet"/>
      </w:pPr>
      <w:r>
        <w:rPr>
          <w:b/>
        </w:rPr>
        <w:t>Law Society of NSW:</w:t>
      </w:r>
      <w:r>
        <w:t xml:space="preserve"> Professional conduct rule application and ethical marketing standards</w:t>
      </w:r>
    </w:p>
    <w:p>
      <w:pPr>
        <w:pStyle w:val="ListBullet"/>
      </w:pPr>
      <w:r>
        <w:rPr>
          <w:b/>
        </w:rPr>
        <w:t>NSW Fair Trading:</w:t>
      </w:r>
      <w:r>
        <w:t xml:space="preserve"> Consumer protection compliance for professional services marketing</w:t>
      </w:r>
    </w:p>
    <w:p/>
    <w:p>
      <w:pPr>
        <w:pStyle w:val="Heading3"/>
        <w:jc w:val="left"/>
      </w:pPr>
      <w:r>
        <w:t>Victoria - Professional Excellence Standards</w:t>
      </w:r>
    </w:p>
    <w:p>
      <w:r>
        <w:rPr>
          <w:b/>
        </w:rPr>
        <w:t>Victorian Professional Services Market:</w:t>
      </w:r>
    </w:p>
    <w:p>
      <w:pPr>
        <w:pStyle w:val="ListBullet"/>
      </w:pPr>
      <w:r>
        <w:rPr>
          <w:b/>
        </w:rPr>
        <w:t>Melbourne Metropolitan:</w:t>
      </w:r>
      <w:r>
        <w:t xml:space="preserve"> CBD, Eastern Suburbs, Northern Suburbs, Western Growth Corridors</w:t>
      </w:r>
    </w:p>
    <w:p>
      <w:pPr>
        <w:pStyle w:val="ListBullet"/>
      </w:pPr>
      <w:r>
        <w:rPr>
          <w:b/>
        </w:rPr>
        <w:t>Regional Victoria:</w:t>
      </w:r>
      <w:r>
        <w:t xml:space="preserve"> Geelong, Ballarat, Bendigo, Gippsland professional services centres</w:t>
      </w:r>
    </w:p>
    <w:p>
      <w:pPr>
        <w:pStyle w:val="ListBullet"/>
      </w:pPr>
      <w:r>
        <w:rPr>
          <w:b/>
        </w:rPr>
        <w:t>Professional Standards:</w:t>
      </w:r>
      <w:r>
        <w:t xml:space="preserve"> High emphasis on professional development and ethical practice</w:t>
      </w:r>
    </w:p>
    <w:p/>
    <w:p>
      <w:r>
        <w:rPr>
          <w:b/>
        </w:rPr>
        <w:t>Victorian Regulatory Compliance:</w:t>
      </w:r>
    </w:p>
    <w:p>
      <w:pPr>
        <w:pStyle w:val="ListBullet"/>
      </w:pPr>
      <w:r>
        <w:rPr>
          <w:b/>
        </w:rPr>
        <w:t>Victorian Department of Health:</w:t>
      </w:r>
      <w:r>
        <w:t xml:space="preserve"> State-specific health service requirements</w:t>
      </w:r>
    </w:p>
    <w:p>
      <w:pPr>
        <w:pStyle w:val="ListBullet"/>
      </w:pPr>
      <w:r>
        <w:rPr>
          <w:b/>
        </w:rPr>
        <w:t>Law Institute of Victoria:</w:t>
      </w:r>
      <w:r>
        <w:t xml:space="preserve"> Professional conduct and practice standards</w:t>
      </w:r>
    </w:p>
    <w:p>
      <w:pPr>
        <w:pStyle w:val="ListBullet"/>
      </w:pPr>
      <w:r>
        <w:rPr>
          <w:b/>
        </w:rPr>
        <w:t>Victorian Consumer Affairs:</w:t>
      </w:r>
      <w:r>
        <w:t xml:space="preserve"> Professional services consumer protection compliance</w:t>
      </w:r>
    </w:p>
    <w:p/>
    <w:p>
      <w:pPr>
        <w:pStyle w:val="Heading3"/>
        <w:jc w:val="left"/>
      </w:pPr>
      <w:r>
        <w:t>Queensland - Growth Market Specialisation</w:t>
      </w:r>
    </w:p>
    <w:p>
      <w:r>
        <w:rPr>
          <w:b/>
        </w:rPr>
        <w:t>Queensland Professional Services Expansion:</w:t>
      </w:r>
    </w:p>
    <w:p>
      <w:pPr>
        <w:pStyle w:val="ListBullet"/>
      </w:pPr>
      <w:r>
        <w:rPr>
          <w:b/>
        </w:rPr>
        <w:t>Brisbane Metropolitan:</w:t>
      </w:r>
      <w:r>
        <w:t xml:space="preserve"> CBD, Northern Suburbs, Southern Growth Corridor, Western Brisbane</w:t>
      </w:r>
    </w:p>
    <w:p>
      <w:pPr>
        <w:pStyle w:val="ListBullet"/>
      </w:pPr>
      <w:r>
        <w:rPr>
          <w:b/>
        </w:rPr>
        <w:t>Gold Coast:</w:t>
      </w:r>
      <w:r>
        <w:t xml:space="preserve"> Premium professional services market with unique client demographics</w:t>
      </w:r>
    </w:p>
    <w:p>
      <w:pPr>
        <w:pStyle w:val="ListBullet"/>
      </w:pPr>
      <w:r>
        <w:rPr>
          <w:b/>
        </w:rPr>
        <w:t>Regional Queensland:</w:t>
      </w:r>
      <w:r>
        <w:t xml:space="preserve"> Cairns, Townsville, Rockhampton professional practice development</w:t>
      </w:r>
    </w:p>
    <w:p/>
    <w:p>
      <w:r>
        <w:rPr>
          <w:b/>
        </w:rPr>
        <w:t>Queensland-Specific Knowledge:</w:t>
      </w:r>
    </w:p>
    <w:p>
      <w:pPr>
        <w:pStyle w:val="ListBullet"/>
      </w:pPr>
      <w:r>
        <w:rPr>
          <w:b/>
        </w:rPr>
        <w:t>Queensland Health:</w:t>
      </w:r>
      <w:r>
        <w:t xml:space="preserve"> State health department compliance and practice standards</w:t>
      </w:r>
    </w:p>
    <w:p>
      <w:pPr>
        <w:pStyle w:val="ListBullet"/>
      </w:pPr>
      <w:r>
        <w:rPr>
          <w:b/>
        </w:rPr>
        <w:t>Queensland Law Society:</w:t>
      </w:r>
      <w:r>
        <w:t xml:space="preserve"> Professional conduct rules and business development guidelines</w:t>
      </w:r>
    </w:p>
    <w:p>
      <w:pPr>
        <w:pStyle w:val="ListBullet"/>
      </w:pPr>
      <w:r>
        <w:rPr>
          <w:b/>
        </w:rPr>
        <w:t>ACCC Queensland:</w:t>
      </w:r>
      <w:r>
        <w:t xml:space="preserve"> Competition law compliance for professional services marketing</w:t>
      </w:r>
    </w:p>
    <w:p/>
    <w:p>
      <w:pPr>
        <w:pStyle w:val="Heading3"/>
        <w:jc w:val="left"/>
      </w:pPr>
      <w:r>
        <w:t>Western Australia - Resource Sector Professional Services</w:t>
      </w:r>
    </w:p>
    <w:p>
      <w:r>
        <w:rPr>
          <w:b/>
        </w:rPr>
        <w:t>Perth Professional Services Hub:</w:t>
      </w:r>
    </w:p>
    <w:p>
      <w:pPr>
        <w:pStyle w:val="ListBullet"/>
      </w:pPr>
      <w:r>
        <w:rPr>
          <w:b/>
        </w:rPr>
        <w:t>Perth Metropolitan:</w:t>
      </w:r>
      <w:r>
        <w:t xml:space="preserve"> CBD, Northern Suburbs, Southern River, Eastern Suburbs professional practices</w:t>
      </w:r>
    </w:p>
    <w:p>
      <w:pPr>
        <w:pStyle w:val="ListBullet"/>
      </w:pPr>
      <w:r>
        <w:rPr>
          <w:b/>
        </w:rPr>
        <w:t>Regional WA:</w:t>
      </w:r>
      <w:r>
        <w:t xml:space="preserve"> Mining sector professional services in Kalgoorlie, Bunbury, Geraldton</w:t>
      </w:r>
    </w:p>
    <w:p>
      <w:pPr>
        <w:pStyle w:val="ListBullet"/>
      </w:pPr>
      <w:r>
        <w:rPr>
          <w:b/>
        </w:rPr>
        <w:t>Unique Market Dynamics:</w:t>
      </w:r>
      <w:r>
        <w:t xml:space="preserve"> Resource sector influence on professional services demand</w:t>
      </w:r>
    </w:p>
    <w:p/>
    <w:p>
      <w:r>
        <w:rPr>
          <w:b/>
        </w:rPr>
        <w:t>WA-Specific Expertise:</w:t>
      </w:r>
    </w:p>
    <w:p>
      <w:pPr>
        <w:pStyle w:val="ListBullet"/>
      </w:pPr>
      <w:r>
        <w:rPr>
          <w:b/>
        </w:rPr>
        <w:t>WA Department of Health:</w:t>
      </w:r>
      <w:r>
        <w:t xml:space="preserve"> State health system compliance requirements</w:t>
      </w:r>
    </w:p>
    <w:p>
      <w:pPr>
        <w:pStyle w:val="ListBullet"/>
      </w:pPr>
      <w:r>
        <w:rPr>
          <w:b/>
        </w:rPr>
        <w:t>Law Society of Western Australia:</w:t>
      </w:r>
      <w:r>
        <w:t xml:space="preserve"> Professional conduct and marketing regulation compliance</w:t>
      </w:r>
    </w:p>
    <w:p>
      <w:pPr>
        <w:pStyle w:val="ListBullet"/>
      </w:pPr>
      <w:r>
        <w:rPr>
          <w:b/>
        </w:rPr>
        <w:t>Resource Sector Focus:</w:t>
      </w:r>
      <w:r>
        <w:t xml:space="preserve"> Understanding unique professional services needs in mining-dependent regions</w:t>
      </w:r>
    </w:p>
    <w:p/>
    <w:p>
      <w:pPr>
        <w:pStyle w:val="Heading3"/>
        <w:jc w:val="left"/>
      </w:pPr>
      <w:r>
        <w:t>South Australia - Professional Community Focus</w:t>
      </w:r>
    </w:p>
    <w:p>
      <w:r>
        <w:rPr>
          <w:b/>
        </w:rPr>
        <w:t>Adelaide Professional Services Market:</w:t>
      </w:r>
    </w:p>
    <w:p>
      <w:pPr>
        <w:pStyle w:val="ListBullet"/>
      </w:pPr>
      <w:r>
        <w:rPr>
          <w:b/>
        </w:rPr>
        <w:t>Adelaide Metropolitan:</w:t>
      </w:r>
      <w:r>
        <w:t xml:space="preserve"> CBD, Eastern Suburbs, Northern Adelaide, Southern Adelaide</w:t>
      </w:r>
    </w:p>
    <w:p>
      <w:pPr>
        <w:pStyle w:val="ListBullet"/>
      </w:pPr>
      <w:r>
        <w:rPr>
          <w:b/>
        </w:rPr>
        <w:t>Regional SA:</w:t>
      </w:r>
      <w:r>
        <w:t xml:space="preserve"> Mount Gambier, Whyalla, Port Augusta professional practice support</w:t>
      </w:r>
    </w:p>
    <w:p>
      <w:pPr>
        <w:pStyle w:val="ListBullet"/>
      </w:pPr>
      <w:r>
        <w:rPr>
          <w:b/>
        </w:rPr>
        <w:t>Community Integration:</w:t>
      </w:r>
      <w:r>
        <w:t xml:space="preserve"> Strong emphasis on community-based professional services</w:t>
      </w:r>
    </w:p>
    <w:p/>
    <w:p>
      <w:r>
        <w:rPr>
          <w:b/>
        </w:rPr>
        <w:t>SA-Specific Services:</w:t>
      </w:r>
    </w:p>
    <w:p>
      <w:pPr>
        <w:pStyle w:val="ListBullet"/>
      </w:pPr>
      <w:r>
        <w:rPr>
          <w:b/>
        </w:rPr>
        <w:t>SA Health Department:</w:t>
      </w:r>
      <w:r>
        <w:t xml:space="preserve"> State health system compliance and professional standards</w:t>
      </w:r>
    </w:p>
    <w:p>
      <w:pPr>
        <w:pStyle w:val="ListBullet"/>
      </w:pPr>
      <w:r>
        <w:rPr>
          <w:b/>
        </w:rPr>
        <w:t>Law Society of South Australia:</w:t>
      </w:r>
      <w:r>
        <w:t xml:space="preserve"> Professional conduct rule application</w:t>
      </w:r>
    </w:p>
    <w:p>
      <w:pPr>
        <w:pStyle w:val="ListBullet"/>
      </w:pPr>
      <w:r>
        <w:rPr>
          <w:b/>
        </w:rPr>
        <w:t>Community Focus:</w:t>
      </w:r>
      <w:r>
        <w:t xml:space="preserve"> Marketing approaches aligned with South Australia's community-oriented professional culture</w:t>
      </w:r>
    </w:p>
    <w:p/>
    <w:p/>
    <w:p>
      <w:pPr>
        <w:jc w:val="center"/>
      </w:pPr>
      <w:r>
        <w:t>__________________________________________________</w:t>
      </w:r>
    </w:p>
    <w:p/>
    <w:p/>
    <w:p>
      <w:pPr>
        <w:pStyle w:val="Heading2"/>
        <w:jc w:val="left"/>
      </w:pPr>
      <w:r>
        <w:t>Regional Professional Services Support</w:t>
      </w:r>
    </w:p>
    <w:p/>
    <w:p>
      <w:pPr>
        <w:pStyle w:val="Heading3"/>
        <w:jc w:val="left"/>
      </w:pPr>
      <w:r>
        <w:t>Major Regional Centres</w:t>
      </w:r>
    </w:p>
    <w:p>
      <w:r>
        <w:rPr>
          <w:b/>
        </w:rPr>
        <w:t>Comprehensive Regional Coverage:</w:t>
      </w:r>
    </w:p>
    <w:p>
      <w:pPr>
        <w:pStyle w:val="ListBullet"/>
      </w:pPr>
      <w:r>
        <w:rPr>
          <w:b/>
        </w:rPr>
        <w:t>Newcastle (NSW):</w:t>
      </w:r>
      <w:r>
        <w:t xml:space="preserve"> 25+ professional services clients, focus on healthcare and legal services growth</w:t>
      </w:r>
    </w:p>
    <w:p>
      <w:pPr>
        <w:pStyle w:val="ListBullet"/>
      </w:pPr>
      <w:r>
        <w:rPr>
          <w:b/>
        </w:rPr>
        <w:t>Wollongong (NSW):</w:t>
      </w:r>
      <w:r>
        <w:t xml:space="preserve"> Serving Illawarra region medical practices and legal firms</w:t>
      </w:r>
    </w:p>
    <w:p>
      <w:pPr>
        <w:pStyle w:val="ListBullet"/>
      </w:pPr>
      <w:r>
        <w:rPr>
          <w:b/>
        </w:rPr>
        <w:t>Geelong (VIC):</w:t>
      </w:r>
      <w:r>
        <w:t xml:space="preserve"> Supporting Western Victoria professional services development</w:t>
      </w:r>
    </w:p>
    <w:p>
      <w:pPr>
        <w:pStyle w:val="ListBullet"/>
      </w:pPr>
      <w:r>
        <w:rPr>
          <w:b/>
        </w:rPr>
        <w:t>Sunshine Coast (QLD):</w:t>
      </w:r>
      <w:r>
        <w:t xml:space="preserve"> Premium lifestyle market professional services specialisation</w:t>
      </w:r>
    </w:p>
    <w:p>
      <w:pPr>
        <w:pStyle w:val="ListBullet"/>
      </w:pPr>
      <w:r>
        <w:rPr>
          <w:b/>
        </w:rPr>
        <w:t>Gold Coast (QLD):</w:t>
      </w:r>
      <w:r>
        <w:t xml:space="preserve"> Tourism and lifestyle sector professional services marketing</w:t>
      </w:r>
    </w:p>
    <w:p/>
    <w:p>
      <w:pPr>
        <w:pStyle w:val="Heading3"/>
        <w:jc w:val="left"/>
      </w:pPr>
      <w:r>
        <w:t>Regional Market Understanding</w:t>
      </w:r>
    </w:p>
    <w:p>
      <w:r>
        <w:rPr>
          <w:b/>
        </w:rPr>
        <w:t>Unique Regional Challenges:</w:t>
      </w:r>
    </w:p>
    <w:p>
      <w:pPr>
        <w:pStyle w:val="ListBullet"/>
      </w:pPr>
      <w:r>
        <w:rPr>
          <w:b/>
        </w:rPr>
        <w:t>Smaller Professional Networks:</w:t>
      </w:r>
      <w:r>
        <w:t xml:space="preserve"> Tailored strategies for close-knit professional communities</w:t>
      </w:r>
    </w:p>
    <w:p>
      <w:pPr>
        <w:pStyle w:val="ListBullet"/>
      </w:pPr>
      <w:r>
        <w:rPr>
          <w:b/>
        </w:rPr>
        <w:t>Referral Relationship Importance:</w:t>
      </w:r>
      <w:r>
        <w:t xml:space="preserve"> Enhanced focus on professional referral network development</w:t>
      </w:r>
    </w:p>
    <w:p>
      <w:pPr>
        <w:pStyle w:val="ListBullet"/>
      </w:pPr>
      <w:r>
        <w:rPr>
          <w:b/>
        </w:rPr>
        <w:t>Community Integration:</w:t>
      </w:r>
      <w:r>
        <w:t xml:space="preserve"> Marketing approaches that respect regional community values and relationships</w:t>
      </w:r>
    </w:p>
    <w:p>
      <w:pPr>
        <w:pStyle w:val="ListBullet"/>
      </w:pPr>
      <w:r>
        <w:rPr>
          <w:b/>
        </w:rPr>
        <w:t>Service Area Coverage:</w:t>
      </w:r>
      <w:r>
        <w:t xml:space="preserve"> Strategies for practices serving large geographic areas</w:t>
      </w:r>
    </w:p>
    <w:p/>
    <w:p>
      <w:r>
        <w:rPr>
          <w:b/>
        </w:rPr>
        <w:t>Regional Success Factors:</w:t>
      </w:r>
    </w:p>
    <w:p>
      <w:pPr>
        <w:pStyle w:val="ListBullet"/>
      </w:pPr>
      <w:r>
        <w:rPr>
          <w:b/>
        </w:rPr>
        <w:t>Community Reputation Focus:</w:t>
      </w:r>
      <w:r>
        <w:t xml:space="preserve"> Enhanced emphasis on local reputation and community standing</w:t>
      </w:r>
    </w:p>
    <w:p>
      <w:pPr>
        <w:pStyle w:val="ListBullet"/>
      </w:pPr>
      <w:r>
        <w:rPr>
          <w:b/>
        </w:rPr>
        <w:t>Professional Network Integration:</w:t>
      </w:r>
      <w:r>
        <w:t xml:space="preserve"> Strong relationships with regional professional associations</w:t>
      </w:r>
    </w:p>
    <w:p>
      <w:pPr>
        <w:pStyle w:val="ListBullet"/>
      </w:pPr>
      <w:r>
        <w:rPr>
          <w:b/>
        </w:rPr>
        <w:t>Compliance Consistency:</w:t>
      </w:r>
      <w:r>
        <w:t xml:space="preserve"> Same high standards of regulatory compliance across all markets</w:t>
      </w:r>
    </w:p>
    <w:p>
      <w:pPr>
        <w:pStyle w:val="ListBullet"/>
      </w:pPr>
      <w:r>
        <w:rPr>
          <w:b/>
        </w:rPr>
        <w:t>Local Market Knowledge:</w:t>
      </w:r>
      <w:r>
        <w:t xml:space="preserve"> Understanding of regional economic factors and professional service demands</w:t>
      </w:r>
    </w:p>
    <w:p/>
    <w:p/>
    <w:p>
      <w:pPr>
        <w:jc w:val="center"/>
      </w:pPr>
      <w:r>
        <w:t>__________________________________________________</w:t>
      </w:r>
    </w:p>
    <w:p/>
    <w:p/>
    <w:p>
      <w:pPr>
        <w:pStyle w:val="Heading2"/>
        <w:jc w:val="left"/>
      </w:pPr>
      <w:r>
        <w:t>Understanding State-Based Professional Regulations</w:t>
      </w:r>
    </w:p>
    <w:p/>
    <w:p>
      <w:pPr>
        <w:pStyle w:val="Heading3"/>
        <w:jc w:val="left"/>
      </w:pPr>
      <w:r>
        <w:t>Medical Practice Regulatory Variations</w:t>
      </w:r>
    </w:p>
    <w:p>
      <w:r>
        <w:rPr>
          <w:b/>
        </w:rPr>
        <w:t>AHPRA National Standards with State Variations:</w:t>
      </w:r>
    </w:p>
    <w:p>
      <w:pPr>
        <w:pStyle w:val="ListBullet"/>
      </w:pPr>
      <w:r>
        <w:rPr>
          <w:b/>
        </w:rPr>
        <w:t>Core Compliance:</w:t>
      </w:r>
      <w:r>
        <w:t xml:space="preserve"> Section 133 National Law applies across all Australian states</w:t>
      </w:r>
    </w:p>
    <w:p>
      <w:pPr>
        <w:pStyle w:val="ListBullet"/>
      </w:pPr>
      <w:r>
        <w:rPr>
          <w:b/>
        </w:rPr>
        <w:t>State Health Departments:</w:t>
      </w:r>
      <w:r>
        <w:t xml:space="preserve"> Additional requirements specific to each state health system</w:t>
      </w:r>
    </w:p>
    <w:p>
      <w:pPr>
        <w:pStyle w:val="ListBullet"/>
      </w:pPr>
      <w:r>
        <w:rPr>
          <w:b/>
        </w:rPr>
        <w:t>Local Health Districts:</w:t>
      </w:r>
      <w:r>
        <w:t xml:space="preserve"> Regional variations in health service delivery and practice requirements</w:t>
      </w:r>
    </w:p>
    <w:p>
      <w:pPr>
        <w:pStyle w:val="ListBullet"/>
      </w:pPr>
      <w:r>
        <w:rPr>
          <w:b/>
        </w:rPr>
        <w:t>Professional Networks:</w:t>
      </w:r>
      <w:r>
        <w:t xml:space="preserve"> State-specific medical professional associations and referral systems</w:t>
      </w:r>
    </w:p>
    <w:p/>
    <w:p>
      <w:r>
        <w:rPr>
          <w:b/>
        </w:rPr>
        <w:t>State-Specific Medical Considerations:</w:t>
      </w:r>
    </w:p>
    <w:p>
      <w:pPr>
        <w:pStyle w:val="ListBullet"/>
      </w:pPr>
      <w:r>
        <w:rPr>
          <w:b/>
        </w:rPr>
        <w:t>NSW:</w:t>
      </w:r>
      <w:r>
        <w:t xml:space="preserve"> Health Administration Corporation (HAC) requirements and Sydney hospital network integration</w:t>
      </w:r>
    </w:p>
    <w:p>
      <w:pPr>
        <w:pStyle w:val="ListBullet"/>
      </w:pPr>
      <w:r>
        <w:rPr>
          <w:b/>
        </w:rPr>
        <w:t>VIC:</w:t>
      </w:r>
      <w:r>
        <w:t xml:space="preserve"> Victorian Department of Health standards and Melbourne medical precinct considerations</w:t>
      </w:r>
    </w:p>
    <w:p>
      <w:pPr>
        <w:pStyle w:val="ListBullet"/>
      </w:pPr>
      <w:r>
        <w:rPr>
          <w:b/>
        </w:rPr>
        <w:t>QLD:</w:t>
      </w:r>
      <w:r>
        <w:t xml:space="preserve"> Queensland Health requirements and unique geographic service area challenges</w:t>
      </w:r>
    </w:p>
    <w:p>
      <w:pPr>
        <w:pStyle w:val="ListBullet"/>
      </w:pPr>
      <w:r>
        <w:rPr>
          <w:b/>
        </w:rPr>
        <w:t>WA:</w:t>
      </w:r>
      <w:r>
        <w:t xml:space="preserve"> Resource sector influence on medical practice demand and service delivery models</w:t>
      </w:r>
    </w:p>
    <w:p>
      <w:pPr>
        <w:pStyle w:val="ListBullet"/>
      </w:pPr>
      <w:r>
        <w:rPr>
          <w:b/>
        </w:rPr>
        <w:t>SA:</w:t>
      </w:r>
      <w:r>
        <w:t xml:space="preserve"> Community health integration and rural/remote service delivery requirements</w:t>
      </w:r>
    </w:p>
    <w:p/>
    <w:p>
      <w:pPr>
        <w:pStyle w:val="Heading3"/>
        <w:jc w:val="left"/>
      </w:pPr>
      <w:r>
        <w:t>Legal Professional Conduct Across Jurisdictions</w:t>
      </w:r>
    </w:p>
    <w:p>
      <w:r>
        <w:rPr>
          <w:b/>
        </w:rPr>
        <w:t>Legal Profession Uniform Law Implementation:</w:t>
      </w:r>
    </w:p>
    <w:p>
      <w:pPr>
        <w:pStyle w:val="ListBullet"/>
      </w:pPr>
      <w:r>
        <w:rPr>
          <w:b/>
        </w:rPr>
        <w:t>Participating Jurisdictions:</w:t>
      </w:r>
      <w:r>
        <w:t xml:space="preserve"> NSW and Victoria operating under Uniform Law framework</w:t>
      </w:r>
    </w:p>
    <w:p>
      <w:pPr>
        <w:pStyle w:val="ListBullet"/>
      </w:pPr>
      <w:r>
        <w:rPr>
          <w:b/>
        </w:rPr>
        <w:t>Non-Uniform Jurisdictions:</w:t>
      </w:r>
      <w:r>
        <w:t xml:space="preserve"> Queensland, Western Australia, South Australia maintaining separate systems</w:t>
      </w:r>
    </w:p>
    <w:p>
      <w:pPr>
        <w:pStyle w:val="ListBullet"/>
      </w:pPr>
      <w:r>
        <w:rPr>
          <w:b/>
        </w:rPr>
        <w:t>Professional Conduct Rules:</w:t>
      </w:r>
      <w:r>
        <w:t xml:space="preserve"> Consistent ethical standards with jurisdictional variations</w:t>
      </w:r>
    </w:p>
    <w:p>
      <w:pPr>
        <w:pStyle w:val="ListBullet"/>
      </w:pPr>
      <w:r>
        <w:rPr>
          <w:b/>
        </w:rPr>
        <w:t>Specialist Accreditation:</w:t>
      </w:r>
      <w:r>
        <w:t xml:space="preserve"> State-specific specialist lawyer certification requirements</w:t>
      </w:r>
    </w:p>
    <w:p/>
    <w:p>
      <w:r>
        <w:rPr>
          <w:b/>
        </w:rPr>
        <w:t>Jurisdiction-Specific Legal Marketing:</w:t>
      </w:r>
    </w:p>
    <w:p>
      <w:pPr>
        <w:pStyle w:val="ListBullet"/>
      </w:pPr>
      <w:r>
        <w:rPr>
          <w:b/>
        </w:rPr>
        <w:t>NSW &amp; VIC:</w:t>
      </w:r>
      <w:r>
        <w:t xml:space="preserve"> Legal Profession Uniform Law Australian Solicitors' Conduct Rules</w:t>
      </w:r>
    </w:p>
    <w:p>
      <w:pPr>
        <w:pStyle w:val="ListBullet"/>
      </w:pPr>
      <w:r>
        <w:rPr>
          <w:b/>
        </w:rPr>
        <w:t>QLD:</w:t>
      </w:r>
      <w:r>
        <w:t xml:space="preserve"> Queensland Law Society professional conduct standards</w:t>
      </w:r>
    </w:p>
    <w:p>
      <w:pPr>
        <w:pStyle w:val="ListBullet"/>
      </w:pPr>
      <w:r>
        <w:rPr>
          <w:b/>
        </w:rPr>
        <w:t>WA:</w:t>
      </w:r>
      <w:r>
        <w:t xml:space="preserve"> Law Society of Western Australia professional practice requirements</w:t>
      </w:r>
    </w:p>
    <w:p>
      <w:pPr>
        <w:pStyle w:val="ListBullet"/>
      </w:pPr>
      <w:r>
        <w:rPr>
          <w:b/>
        </w:rPr>
        <w:t>SA:</w:t>
      </w:r>
      <w:r>
        <w:t xml:space="preserve"> Law Society of South Australia ethical marketing guidelines</w:t>
      </w:r>
    </w:p>
    <w:p>
      <w:pPr>
        <w:pStyle w:val="ListBullet"/>
      </w:pPr>
      <w:r>
        <w:rPr>
          <w:b/>
        </w:rPr>
        <w:t>Professional Recognition:</w:t>
      </w:r>
      <w:r>
        <w:t xml:space="preserve"> State-specific professional recognition and thought leadership opportunities</w:t>
      </w:r>
    </w:p>
    <w:p/>
    <w:p/>
    <w:p>
      <w:pPr>
        <w:jc w:val="center"/>
      </w:pPr>
      <w:r>
        <w:t>__________________________________________________</w:t>
      </w:r>
    </w:p>
    <w:p/>
    <w:p/>
    <w:p>
      <w:pPr>
        <w:pStyle w:val="Heading2"/>
        <w:jc w:val="left"/>
      </w:pPr>
      <w:r>
        <w:t>Local Market Knowledge &amp; Professional Networks</w:t>
      </w:r>
    </w:p>
    <w:p/>
    <w:p>
      <w:pPr>
        <w:pStyle w:val="Heading3"/>
        <w:jc w:val="left"/>
      </w:pPr>
      <w:r>
        <w:t>Professional Association Relationships</w:t>
      </w:r>
    </w:p>
    <w:p>
      <w:r>
        <w:rPr>
          <w:b/>
        </w:rPr>
        <w:t>Medical Professional Networks:</w:t>
      </w:r>
    </w:p>
    <w:p>
      <w:pPr>
        <w:pStyle w:val="ListBullet"/>
      </w:pPr>
      <w:r>
        <w:rPr>
          <w:b/>
        </w:rPr>
        <w:t>Australian Association of Practice Management (AAPM):</w:t>
      </w:r>
      <w:r>
        <w:t xml:space="preserve"> National and state chapter relationships</w:t>
      </w:r>
    </w:p>
    <w:p>
      <w:pPr>
        <w:pStyle w:val="ListBullet"/>
      </w:pPr>
      <w:r>
        <w:rPr>
          <w:b/>
        </w:rPr>
        <w:t>Royal Australian College of General Practitioners (RACGP):</w:t>
      </w:r>
      <w:r>
        <w:t xml:space="preserve"> State faculty connections</w:t>
      </w:r>
    </w:p>
    <w:p>
      <w:pPr>
        <w:pStyle w:val="ListBullet"/>
      </w:pPr>
      <w:r>
        <w:rPr>
          <w:b/>
        </w:rPr>
        <w:t>Medical Specialty Colleges:</w:t>
      </w:r>
      <w:r>
        <w:t xml:space="preserve"> Relationships across specialist medical professional bodies</w:t>
      </w:r>
    </w:p>
    <w:p>
      <w:pPr>
        <w:pStyle w:val="ListBullet"/>
      </w:pPr>
      <w:r>
        <w:rPr>
          <w:b/>
        </w:rPr>
        <w:t>Regional Medical Networks:</w:t>
      </w:r>
      <w:r>
        <w:t xml:space="preserve"> Local medical professional associations and referral groups</w:t>
      </w:r>
    </w:p>
    <w:p/>
    <w:p>
      <w:r>
        <w:rPr>
          <w:b/>
        </w:rPr>
        <w:t>Legal Professional Connections:</w:t>
      </w:r>
    </w:p>
    <w:p>
      <w:pPr>
        <w:pStyle w:val="ListBullet"/>
      </w:pPr>
      <w:r>
        <w:rPr>
          <w:b/>
        </w:rPr>
        <w:t>Law Societies:</w:t>
      </w:r>
      <w:r>
        <w:t xml:space="preserve"> Active relationships with all state and territory law societies</w:t>
      </w:r>
    </w:p>
    <w:p>
      <w:pPr>
        <w:pStyle w:val="ListBullet"/>
      </w:pPr>
      <w:r>
        <w:rPr>
          <w:b/>
        </w:rPr>
        <w:t>Bar Associations:</w:t>
      </w:r>
      <w:r>
        <w:t xml:space="preserve"> Connections with state bar associations and barrister professional bodies</w:t>
      </w:r>
    </w:p>
    <w:p>
      <w:pPr>
        <w:pStyle w:val="ListBullet"/>
      </w:pPr>
      <w:r>
        <w:rPr>
          <w:b/>
        </w:rPr>
        <w:t>Legal Specialty Associations:</w:t>
      </w:r>
      <w:r>
        <w:t xml:space="preserve"> Commercial Law Association, Family Law Section, Personal Injury networks</w:t>
      </w:r>
    </w:p>
    <w:p>
      <w:pPr>
        <w:pStyle w:val="ListBullet"/>
      </w:pPr>
      <w:r>
        <w:rPr>
          <w:b/>
        </w:rPr>
        <w:t>Regional Legal Networks:</w:t>
      </w:r>
      <w:r>
        <w:t xml:space="preserve"> Local legal professional associations and referral systems</w:t>
      </w:r>
    </w:p>
    <w:p/>
    <w:p>
      <w:pPr>
        <w:pStyle w:val="Heading3"/>
        <w:jc w:val="left"/>
      </w:pPr>
      <w:r>
        <w:t>Market-Specific Professional Challenges</w:t>
      </w:r>
    </w:p>
    <w:p>
      <w:r>
        <w:rPr>
          <w:b/>
        </w:rPr>
        <w:t>Metropolitan Market Challenges:</w:t>
      </w:r>
    </w:p>
    <w:p>
      <w:pPr>
        <w:pStyle w:val="ListBullet"/>
      </w:pPr>
      <w:r>
        <w:rPr>
          <w:b/>
        </w:rPr>
        <w:t>High Competition:</w:t>
      </w:r>
      <w:r>
        <w:t xml:space="preserve"> Sophisticated strategies for crowded professional services markets</w:t>
      </w:r>
    </w:p>
    <w:p>
      <w:pPr>
        <w:pStyle w:val="ListBullet"/>
      </w:pPr>
      <w:r>
        <w:rPr>
          <w:b/>
        </w:rPr>
        <w:t>Premium Client Expectations:</w:t>
      </w:r>
      <w:r>
        <w:t xml:space="preserve"> Enhanced service delivery and professional presentation standards</w:t>
      </w:r>
    </w:p>
    <w:p>
      <w:pPr>
        <w:pStyle w:val="ListBullet"/>
      </w:pPr>
      <w:r>
        <w:rPr>
          <w:b/>
        </w:rPr>
        <w:t>Complex Regulatory Environment:</w:t>
      </w:r>
      <w:r>
        <w:t xml:space="preserve"> Multiple regulatory layers and compliance requirements</w:t>
      </w:r>
    </w:p>
    <w:p>
      <w:pPr>
        <w:pStyle w:val="ListBullet"/>
      </w:pPr>
      <w:r>
        <w:rPr>
          <w:b/>
        </w:rPr>
        <w:t>Professional Network Integration:</w:t>
      </w:r>
      <w:r>
        <w:t xml:space="preserve"> Navigating established professional referral systems</w:t>
      </w:r>
    </w:p>
    <w:p/>
    <w:p>
      <w:r>
        <w:rPr>
          <w:b/>
        </w:rPr>
        <w:t>Regional Market Opportunities:</w:t>
      </w:r>
    </w:p>
    <w:p>
      <w:pPr>
        <w:pStyle w:val="ListBullet"/>
      </w:pPr>
      <w:r>
        <w:rPr>
          <w:b/>
        </w:rPr>
        <w:t>Community Leadership:</w:t>
      </w:r>
      <w:r>
        <w:t xml:space="preserve"> Enhanced focus on community professional leadership and recognition</w:t>
      </w:r>
    </w:p>
    <w:p>
      <w:pPr>
        <w:pStyle w:val="ListBullet"/>
      </w:pPr>
      <w:r>
        <w:rPr>
          <w:b/>
        </w:rPr>
        <w:t>Service Area Expansion:</w:t>
      </w:r>
      <w:r>
        <w:t xml:space="preserve"> Strategies for practices serving large geographic regions</w:t>
      </w:r>
    </w:p>
    <w:p>
      <w:pPr>
        <w:pStyle w:val="ListBullet"/>
      </w:pPr>
      <w:r>
        <w:rPr>
          <w:b/>
        </w:rPr>
        <w:t>Professional Network Development:</w:t>
      </w:r>
      <w:r>
        <w:t xml:space="preserve"> Building and maintaining regional professional connections</w:t>
      </w:r>
    </w:p>
    <w:p>
      <w:pPr>
        <w:pStyle w:val="ListBullet"/>
      </w:pPr>
      <w:r>
        <w:rPr>
          <w:b/>
        </w:rPr>
        <w:t>Lifestyle Marketing:</w:t>
      </w:r>
      <w:r>
        <w:t xml:space="preserve"> Incorporating regional lifestyle benefits into professional positioning</w:t>
      </w:r>
    </w:p>
    <w:p/>
    <w:p/>
    <w:p>
      <w:pPr>
        <w:jc w:val="center"/>
      </w:pPr>
      <w:r>
        <w:t>__________________________________________________</w:t>
      </w:r>
    </w:p>
    <w:p/>
    <w:p/>
    <w:p>
      <w:pPr>
        <w:pStyle w:val="Heading2"/>
        <w:jc w:val="left"/>
      </w:pPr>
      <w:r>
        <w:t>Commitment to Local Professional Excellence</w:t>
      </w:r>
    </w:p>
    <w:p/>
    <w:p>
      <w:pPr>
        <w:pStyle w:val="Heading3"/>
        <w:jc w:val="left"/>
      </w:pPr>
      <w:r>
        <w:t>State-Based Professional Standards</w:t>
      </w:r>
    </w:p>
    <w:p>
      <w:r>
        <w:rPr>
          <w:b/>
        </w:rPr>
        <w:t>Consistent Excellence Across Australia:</w:t>
      </w:r>
    </w:p>
    <w:p>
      <w:r>
        <w:t>Every Luna Digital client, regardless of location, receives the same high standards of professional services marketing expertise, regulatory compliance, and professional reputation protection.</w:t>
      </w:r>
    </w:p>
    <w:p/>
    <w:p>
      <w:r>
        <w:rPr>
          <w:b/>
        </w:rPr>
        <w:t>Local Market Customisation:</w:t>
      </w:r>
    </w:p>
    <w:p>
      <w:r>
        <w:t>While maintaining consistent professional standards, we customise our approach to reflect local market conditions, regulatory variations, and professional community culture.</w:t>
      </w:r>
    </w:p>
    <w:p/>
    <w:p>
      <w:pPr>
        <w:pStyle w:val="Heading3"/>
        <w:jc w:val="left"/>
      </w:pPr>
      <w:r>
        <w:t>Regional Professional Development</w:t>
      </w:r>
    </w:p>
    <w:p>
      <w:r>
        <w:rPr>
          <w:b/>
        </w:rPr>
        <w:t>Local Professional Education:</w:t>
      </w:r>
    </w:p>
    <w:p>
      <w:pPr>
        <w:pStyle w:val="ListBullet"/>
      </w:pPr>
      <w:r>
        <w:t>State-based professional development workshops for practice managers and legal professionals</w:t>
      </w:r>
    </w:p>
    <w:p>
      <w:pPr>
        <w:pStyle w:val="ListBullet"/>
      </w:pPr>
      <w:r>
        <w:t>Regional conference speaking engagements and professional education contributions</w:t>
      </w:r>
    </w:p>
    <w:p>
      <w:pPr>
        <w:pStyle w:val="ListBullet"/>
      </w:pPr>
      <w:r>
        <w:t>Local professional association partnership and support</w:t>
      </w:r>
    </w:p>
    <w:p>
      <w:pPr>
        <w:pStyle w:val="ListBullet"/>
      </w:pPr>
      <w:r>
        <w:t>Market-specific compliance training and regulatory update programs</w:t>
      </w:r>
    </w:p>
    <w:p/>
    <w:p>
      <w:pPr>
        <w:pStyle w:val="Heading3"/>
        <w:jc w:val="left"/>
      </w:pPr>
      <w:r>
        <w:t>Australia-Wide Professional Network</w:t>
      </w:r>
    </w:p>
    <w:p>
      <w:r>
        <w:rPr>
          <w:b/>
        </w:rPr>
        <w:t>National Professional Services Community:</w:t>
      </w:r>
    </w:p>
    <w:p>
      <w:r>
        <w:t>Our Australia-wide client base creates opportunities for professional networking, best practice sharing, and collaborative professional development across state boundaries.</w:t>
      </w:r>
    </w:p>
    <w:p/>
    <w:p>
      <w:r>
        <w:rPr>
          <w:b/>
        </w:rPr>
        <w:t>Professional Referral Networks:</w:t>
      </w:r>
    </w:p>
    <w:p>
      <w:r>
        <w:t>Supporting client development of professional referral networks across state lines, facilitating professional collaboration and client service enhancement.</w:t>
      </w:r>
    </w:p>
    <w:p/>
    <w:p/>
    <w:p>
      <w:pPr>
        <w:jc w:val="center"/>
      </w:pPr>
      <w:r>
        <w:t>__________________________________________________</w:t>
      </w:r>
    </w:p>
    <w:p/>
    <w:p/>
    <w:p>
      <w:pPr>
        <w:pStyle w:val="Heading2"/>
        <w:jc w:val="left"/>
      </w:pPr>
      <w:r>
        <w:t>Contact Us for Your Local Market</w:t>
      </w:r>
    </w:p>
    <w:p/>
    <w:p>
      <w:r>
        <w:rPr>
          <w:b/>
        </w:rPr>
        <w:t>National Coordination with Local Expertise:</w:t>
      </w:r>
    </w:p>
    <w:p>
      <w:r>
        <w:t>Regardless of your practice location across Australia, Luna Digital provides professional services marketing that combines national regulatory expertise with local market knowledge and professional community integration.</w:t>
      </w:r>
    </w:p>
    <w:p/>
    <w:p>
      <w:r>
        <w:rPr>
          <w:b/>
        </w:rPr>
        <w:t>Regional Consultation Available:</w:t>
      </w:r>
    </w:p>
    <w:p>
      <w:r>
        <w:t>Our team regularly travels to regional centres for face-to-face consultation and professional development support. Contact us to arrange local market consultation and professional services assessment.</w:t>
      </w:r>
    </w:p>
    <w:p/>
    <w:p>
      <w:r>
        <w:rPr>
          <w:b/>
        </w:rPr>
        <w:t>State-Based Professional Connections:</w:t>
      </w:r>
    </w:p>
    <w:p>
      <w:r>
        <w:t>Leverage our extensive professional networks across Australia for referral development, professional collaboration, and market expansion opportunities.</w:t>
      </w:r>
    </w:p>
    <w:p/>
    <w:p/>
    <w:p>
      <w:pPr>
        <w:jc w:val="center"/>
      </w:pPr>
      <w:r>
        <w:t>__________________________________________________</w:t>
      </w:r>
    </w:p>
    <w:p/>
    <w:p/>
    <w:p>
      <w:r>
        <w:rPr>
          <w:b/>
        </w:rPr>
        <w:t>Serving Professional Excellence Across Australia Since 2019</w:t>
      </w:r>
    </w:p>
    <w:p/>
    <w:p>
      <w:r>
        <w:t>From Darwin to Hobart, Perth to Brisbane, Luna Digital Marketing provides professional services marketing expertise that honours the professional values and community service commitment that define Australian medical practices and legal firms.</w:t>
      </w:r>
    </w:p>
    <w:p/>
    <w:p>
      <w:r>
        <w:rPr>
          <w:b/>
        </w:rPr>
        <w:t>Contact us today</w:t>
      </w:r>
      <w:r>
        <w:t xml:space="preserve"> to discover how our Australia-wide professional services expertise can support your practice growth whilst maintaining the professional standards and community relationships that define your professional success.</w:t>
      </w:r>
    </w:p>
    <w:p/>
    <w:p/>
    <w:p>
      <w:pPr>
        <w:jc w:val="center"/>
      </w:pPr>
      <w:r>
        <w:t>__________________________________________________</w:t>
      </w:r>
    </w:p>
    <w:p/>
    <w:p/>
    <w:p>
      <w:r>
        <w:rPr>
          <w:b/>
        </w:rPr>
        <w:t>Source:</w:t>
      </w:r>
      <w:r>
        <w:t xml:space="preserve"> [Australian Institute of Health and Welfare - Medical Practice Distribution](https://www.aihw.gov.au/reports/workforce/medical-practitioners-workforce-2019) - 2024</w:t>
      </w:r>
    </w:p>
    <w:p>
      <w:r>
        <w:rPr>
          <w:b/>
        </w:rPr>
        <w:t>Source:</w:t>
      </w:r>
      <w:r>
        <w:t xml:space="preserve"> [Law Council of Australia - Legal Profession Demographics](https://www.lawcouncil.asn.au/resources/legal-profession-demographics) - 2024</w:t>
      </w:r>
    </w:p>
    <w:p/>
    <w:p>
      <w:r>
        <w:rPr>
          <w:i/>
        </w:rPr>
        <w:t>Professional Services Marketing Excellence - Every Australian State, Every Professional Community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