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Audience Style Guide</w:t>
      </w:r>
    </w:p>
    <w:p/>
    <w:p>
      <w:pPr>
        <w:pStyle w:val="Heading2"/>
        <w:jc w:val="left"/>
      </w:pPr>
      <w:r>
        <w:t>Brand Voice and Tone</w:t>
      </w:r>
    </w:p>
    <w:p/>
    <w:p>
      <w:pPr>
        <w:pStyle w:val="Heading3"/>
        <w:jc w:val="left"/>
      </w:pPr>
      <w:r>
        <w:t>Primary Brand Voice</w:t>
      </w:r>
    </w:p>
    <w:p>
      <w:pPr>
        <w:pStyle w:val="ListBullet"/>
      </w:pPr>
      <w:r>
        <w:rPr>
          <w:b/>
        </w:rPr>
        <w:t>Professional yet approachable</w:t>
      </w:r>
      <w:r>
        <w:t>: Demonstrate expertise while remaining accessible</w:t>
      </w:r>
    </w:p>
    <w:p>
      <w:pPr>
        <w:pStyle w:val="ListBullet"/>
      </w:pPr>
      <w:r>
        <w:rPr>
          <w:b/>
        </w:rPr>
        <w:t>Authoritative and trustworthy</w:t>
      </w:r>
      <w:r>
        <w:t>: Establish credibility through evidence-based content</w:t>
      </w:r>
    </w:p>
    <w:p>
      <w:pPr>
        <w:pStyle w:val="ListBullet"/>
      </w:pPr>
      <w:r>
        <w:rPr>
          <w:b/>
        </w:rPr>
        <w:t>Empathetic and understanding</w:t>
      </w:r>
      <w:r>
        <w:t>: Address customer pain points with genuine concern</w:t>
      </w:r>
    </w:p>
    <w:p>
      <w:pPr>
        <w:pStyle w:val="ListBullet"/>
      </w:pPr>
      <w:r>
        <w:rPr>
          <w:b/>
        </w:rPr>
        <w:t>Solution-focused</w:t>
      </w:r>
      <w:r>
        <w:t>: Always provide clear pathways to resolution</w:t>
      </w:r>
    </w:p>
    <w:p/>
    <w:p>
      <w:pPr>
        <w:pStyle w:val="Heading3"/>
        <w:jc w:val="left"/>
      </w:pPr>
      <w:r>
        <w:t>Tone Variations by Context</w:t>
      </w:r>
    </w:p>
    <w:p/>
    <w:p>
      <w:r>
        <w:t>#### Educational Content</w:t>
      </w:r>
    </w:p>
    <w:p>
      <w:pPr>
        <w:pStyle w:val="ListBullet"/>
      </w:pPr>
      <w:r>
        <w:rPr>
          <w:b/>
        </w:rPr>
        <w:t>Informative and clear</w:t>
      </w:r>
      <w:r>
        <w:t>: Complex topics explained in accessible language</w:t>
      </w:r>
    </w:p>
    <w:p>
      <w:pPr>
        <w:pStyle w:val="ListBullet"/>
      </w:pPr>
      <w:r>
        <w:rPr>
          <w:b/>
        </w:rPr>
        <w:t>Patient and thorough</w:t>
      </w:r>
      <w:r>
        <w:t>: Step-by-step guidance without overwhelming details</w:t>
      </w:r>
    </w:p>
    <w:p>
      <w:pPr>
        <w:pStyle w:val="ListBullet"/>
      </w:pPr>
      <w:r>
        <w:rPr>
          <w:b/>
        </w:rPr>
        <w:t>Evidence-based</w:t>
      </w:r>
      <w:r>
        <w:t>: Supporting claims with credible sources and data</w:t>
      </w:r>
    </w:p>
    <w:p/>
    <w:p>
      <w:r>
        <w:t>#### Service-Focused Content</w:t>
      </w:r>
    </w:p>
    <w:p>
      <w:pPr>
        <w:pStyle w:val="ListBullet"/>
      </w:pPr>
      <w:r>
        <w:rPr>
          <w:b/>
        </w:rPr>
        <w:t>Confident and reassuring</w:t>
      </w:r>
      <w:r>
        <w:t>: Demonstrate capability and build trust</w:t>
      </w:r>
    </w:p>
    <w:p>
      <w:pPr>
        <w:pStyle w:val="ListBullet"/>
      </w:pPr>
      <w:r>
        <w:rPr>
          <w:b/>
        </w:rPr>
        <w:t>Benefit-oriented</w:t>
      </w:r>
      <w:r>
        <w:t>: Focus on outcomes and value proposition</w:t>
      </w:r>
    </w:p>
    <w:p>
      <w:pPr>
        <w:pStyle w:val="ListBullet"/>
      </w:pPr>
      <w:r>
        <w:rPr>
          <w:b/>
        </w:rPr>
        <w:t>Action-oriented</w:t>
      </w:r>
      <w:r>
        <w:t>: Clear calls-to-action and next steps</w:t>
      </w:r>
    </w:p>
    <w:p/>
    <w:p>
      <w:r>
        <w:t>#### Problem-Solution Content</w:t>
      </w:r>
    </w:p>
    <w:p>
      <w:pPr>
        <w:pStyle w:val="ListBullet"/>
      </w:pPr>
      <w:r>
        <w:rPr>
          <w:b/>
        </w:rPr>
        <w:t>Empathetic acknowledgment</w:t>
      </w:r>
      <w:r>
        <w:t>: Recognise customer challenges</w:t>
      </w:r>
    </w:p>
    <w:p>
      <w:pPr>
        <w:pStyle w:val="ListBullet"/>
      </w:pPr>
      <w:r>
        <w:rPr>
          <w:b/>
        </w:rPr>
        <w:t>Solution-focused approach</w:t>
      </w:r>
      <w:r>
        <w:t>: Provide clear pathways to resolution</w:t>
      </w:r>
    </w:p>
    <w:p>
      <w:pPr>
        <w:pStyle w:val="ListBullet"/>
      </w:pPr>
      <w:r>
        <w:rPr>
          <w:b/>
        </w:rPr>
        <w:t>Supportive guidance</w:t>
      </w:r>
      <w:r>
        <w:t>: Offer ongoing assistance and resources</w:t>
      </w:r>
    </w:p>
    <w:p/>
    <w:p>
      <w:pPr>
        <w:pStyle w:val="Heading2"/>
        <w:jc w:val="left"/>
      </w:pPr>
      <w:r>
        <w:t>Writing Standards</w:t>
      </w:r>
    </w:p>
    <w:p/>
    <w:p>
      <w:pPr>
        <w:pStyle w:val="Heading3"/>
        <w:jc w:val="left"/>
      </w:pPr>
      <w:r>
        <w:t>Language Preferences</w:t>
      </w:r>
    </w:p>
    <w:p>
      <w:pPr>
        <w:pStyle w:val="ListBullet"/>
      </w:pPr>
      <w:r>
        <w:rPr>
          <w:b/>
        </w:rPr>
        <w:t>British English</w:t>
      </w:r>
      <w:r>
        <w:t>: Use British spelling and terminology throughout</w:t>
      </w:r>
    </w:p>
    <w:p>
      <w:pPr>
        <w:pStyle w:val="ListBullet"/>
      </w:pPr>
      <w:r>
        <w:rPr>
          <w:b/>
        </w:rPr>
        <w:t>Professional vocabulary</w:t>
      </w:r>
      <w:r>
        <w:t>: Industry-appropriate language without jargon overuse</w:t>
      </w:r>
    </w:p>
    <w:p>
      <w:pPr>
        <w:pStyle w:val="ListBullet"/>
      </w:pPr>
      <w:r>
        <w:rPr>
          <w:b/>
        </w:rPr>
        <w:t>Conversational elements</w:t>
      </w:r>
      <w:r>
        <w:t>: Natural flow while maintaining professionalism</w:t>
      </w:r>
    </w:p>
    <w:p>
      <w:pPr>
        <w:pStyle w:val="ListBullet"/>
      </w:pPr>
      <w:r>
        <w:rPr>
          <w:b/>
        </w:rPr>
        <w:t>Active voice preference</w:t>
      </w:r>
      <w:r>
        <w:t>: Direct, engaging sentence construction</w:t>
      </w:r>
    </w:p>
    <w:p/>
    <w:p>
      <w:pPr>
        <w:pStyle w:val="Heading3"/>
        <w:jc w:val="left"/>
      </w:pPr>
      <w:r>
        <w:t>Content Structure Guidelines</w:t>
      </w:r>
    </w:p>
    <w:p>
      <w:pPr>
        <w:pStyle w:val="ListBullet"/>
      </w:pPr>
      <w:r>
        <w:rPr>
          <w:b/>
        </w:rPr>
        <w:t>Clear headings</w:t>
      </w:r>
      <w:r>
        <w:t>: Descriptive section headers for easy navigation</w:t>
      </w:r>
    </w:p>
    <w:p>
      <w:pPr>
        <w:pStyle w:val="ListBullet"/>
      </w:pPr>
      <w:r>
        <w:rPr>
          <w:b/>
        </w:rPr>
        <w:t>Logical flow</w:t>
      </w:r>
      <w:r>
        <w:t>: Information presented in intuitive sequence</w:t>
      </w:r>
    </w:p>
    <w:p>
      <w:pPr>
        <w:pStyle w:val="ListBullet"/>
      </w:pPr>
      <w:r>
        <w:rPr>
          <w:b/>
        </w:rPr>
        <w:t>Scannable format</w:t>
      </w:r>
      <w:r>
        <w:t>: Bullet points, numbered lists, and visual breaks</w:t>
      </w:r>
    </w:p>
    <w:p>
      <w:pPr>
        <w:pStyle w:val="ListBullet"/>
      </w:pPr>
      <w:r>
        <w:rPr>
          <w:b/>
        </w:rPr>
        <w:t>Summary sections</w:t>
      </w:r>
      <w:r>
        <w:t>: Key points highlighted for quick reference</w:t>
      </w:r>
    </w:p>
    <w:p/>
    <w:p>
      <w:pPr>
        <w:pStyle w:val="Heading3"/>
        <w:jc w:val="left"/>
      </w:pPr>
      <w:r>
        <w:t>Technical Communication</w:t>
      </w:r>
    </w:p>
    <w:p>
      <w:pPr>
        <w:pStyle w:val="ListBullet"/>
      </w:pPr>
      <w:r>
        <w:rPr>
          <w:b/>
        </w:rPr>
        <w:t>Accessible explanations</w:t>
      </w:r>
      <w:r>
        <w:t>: Complex concepts broken down appropriately</w:t>
      </w:r>
    </w:p>
    <w:p>
      <w:pPr>
        <w:pStyle w:val="ListBullet"/>
      </w:pPr>
      <w:r>
        <w:rPr>
          <w:b/>
        </w:rPr>
        <w:t>Visual support</w:t>
      </w:r>
      <w:r>
        <w:t>: Diagrams and examples where beneficial</w:t>
      </w:r>
    </w:p>
    <w:p>
      <w:pPr>
        <w:pStyle w:val="ListBullet"/>
      </w:pPr>
      <w:r>
        <w:rPr>
          <w:b/>
        </w:rPr>
        <w:t>Step-by-step guidance</w:t>
      </w:r>
      <w:r>
        <w:t>: Clear procedural instructions</w:t>
      </w:r>
    </w:p>
    <w:p>
      <w:pPr>
        <w:pStyle w:val="ListBullet"/>
      </w:pPr>
      <w:r>
        <w:rPr>
          <w:b/>
        </w:rPr>
        <w:t>Troubleshooting focus</w:t>
      </w:r>
      <w:r>
        <w:t>: Anticipate and address common questions</w:t>
      </w:r>
    </w:p>
    <w:p/>
    <w:p>
      <w:pPr>
        <w:pStyle w:val="Heading2"/>
        <w:jc w:val="left"/>
      </w:pPr>
      <w:r>
        <w:t>Audience-Specific Adaptations</w:t>
      </w:r>
    </w:p>
    <w:p/>
    <w:p>
      <w:pPr>
        <w:pStyle w:val="Heading3"/>
        <w:jc w:val="left"/>
      </w:pPr>
      <w:r>
        <w:t>Primary Audience Considerations</w:t>
      </w:r>
    </w:p>
    <w:p>
      <w:pPr>
        <w:pStyle w:val="ListBullet"/>
      </w:pPr>
      <w:r>
        <w:rPr>
          <w:b/>
        </w:rPr>
        <w:t>Information-seeking behaviour</w:t>
      </w:r>
      <w:r>
        <w:t>: Comprehensive yet digestible content</w:t>
      </w:r>
    </w:p>
    <w:p>
      <w:pPr>
        <w:pStyle w:val="ListBullet"/>
      </w:pPr>
      <w:r>
        <w:rPr>
          <w:b/>
        </w:rPr>
        <w:t>Decision-making process</w:t>
      </w:r>
      <w:r>
        <w:t>: Support research and comparison phases</w:t>
      </w:r>
    </w:p>
    <w:p>
      <w:pPr>
        <w:pStyle w:val="ListBullet"/>
      </w:pPr>
      <w:r>
        <w:rPr>
          <w:b/>
        </w:rPr>
        <w:t>Trust-building requirements</w:t>
      </w:r>
      <w:r>
        <w:t>: Credentials, testimonials, and evidence</w:t>
      </w:r>
    </w:p>
    <w:p>
      <w:pPr>
        <w:pStyle w:val="ListBullet"/>
      </w:pPr>
      <w:r>
        <w:rPr>
          <w:b/>
        </w:rPr>
        <w:t>Accessibility needs</w:t>
      </w:r>
      <w:r>
        <w:t>: Clear navigation and multiple content formats</w:t>
      </w:r>
    </w:p>
    <w:p/>
    <w:p>
      <w:pPr>
        <w:pStyle w:val="Heading3"/>
        <w:jc w:val="left"/>
      </w:pPr>
      <w:r>
        <w:t>Content Personalisation</w:t>
      </w:r>
    </w:p>
    <w:p>
      <w:pPr>
        <w:pStyle w:val="ListBullet"/>
      </w:pPr>
      <w:r>
        <w:rPr>
          <w:b/>
        </w:rPr>
        <w:t>Persona-specific messaging</w:t>
      </w:r>
      <w:r>
        <w:t>: Tailored communication for different user types</w:t>
      </w:r>
    </w:p>
    <w:p>
      <w:pPr>
        <w:pStyle w:val="ListBullet"/>
      </w:pPr>
      <w:r>
        <w:rPr>
          <w:b/>
        </w:rPr>
        <w:t>Journey stage awareness</w:t>
      </w:r>
      <w:r>
        <w:t>: Content appropriate for awareness, consideration, decision phases</w:t>
      </w:r>
    </w:p>
    <w:p>
      <w:pPr>
        <w:pStyle w:val="ListBullet"/>
      </w:pPr>
      <w:r>
        <w:rPr>
          <w:b/>
        </w:rPr>
        <w:t>Pain point addressing</w:t>
      </w:r>
      <w:r>
        <w:t>: Direct response to specific audience challenges</w:t>
      </w:r>
    </w:p>
    <w:p>
      <w:pPr>
        <w:pStyle w:val="ListBullet"/>
      </w:pPr>
      <w:r>
        <w:rPr>
          <w:b/>
        </w:rPr>
        <w:t>Value proposition alignment</w:t>
      </w:r>
      <w:r>
        <w:t>: Benefits communicated in audience-relevant terms</w:t>
      </w:r>
    </w:p>
    <w:p/>
    <w:p>
      <w:pPr>
        <w:pStyle w:val="Heading2"/>
        <w:jc w:val="left"/>
      </w:pPr>
      <w:r>
        <w:t>Quality Standards</w:t>
      </w:r>
    </w:p>
    <w:p/>
    <w:p>
      <w:pPr>
        <w:pStyle w:val="Heading3"/>
        <w:jc w:val="left"/>
      </w:pPr>
      <w:r>
        <w:t>Content Requirements</w:t>
      </w:r>
    </w:p>
    <w:p>
      <w:pPr>
        <w:pStyle w:val="ListBullet"/>
      </w:pPr>
      <w:r>
        <w:rPr>
          <w:b/>
        </w:rPr>
        <w:t>Accuracy verification</w:t>
      </w:r>
      <w:r>
        <w:t>: All claims supported by credible sources</w:t>
      </w:r>
    </w:p>
    <w:p>
      <w:pPr>
        <w:pStyle w:val="ListBullet"/>
      </w:pPr>
      <w:r>
        <w:rPr>
          <w:b/>
        </w:rPr>
        <w:t>Currency maintenance</w:t>
      </w:r>
      <w:r>
        <w:t>: Regular updates to ensure relevance</w:t>
      </w:r>
    </w:p>
    <w:p>
      <w:pPr>
        <w:pStyle w:val="ListBullet"/>
      </w:pPr>
      <w:r>
        <w:rPr>
          <w:b/>
        </w:rPr>
        <w:t>Accessibility compliance</w:t>
      </w:r>
      <w:r>
        <w:t>: Content accessible to all users</w:t>
      </w:r>
    </w:p>
    <w:p>
      <w:pPr>
        <w:pStyle w:val="ListBullet"/>
      </w:pPr>
      <w:r>
        <w:rPr>
          <w:b/>
        </w:rPr>
        <w:t>SEO optimisation</w:t>
      </w:r>
      <w:r>
        <w:t>: Search-friendly while maintaining readability</w:t>
      </w:r>
    </w:p>
    <w:p/>
    <w:p>
      <w:pPr>
        <w:pStyle w:val="Heading3"/>
        <w:jc w:val="left"/>
      </w:pPr>
      <w:r>
        <w:t>Review Process</w:t>
      </w:r>
    </w:p>
    <w:p>
      <w:pPr>
        <w:pStyle w:val="ListBullet"/>
      </w:pPr>
      <w:r>
        <w:rPr>
          <w:b/>
        </w:rPr>
        <w:t>Editorial review</w:t>
      </w:r>
      <w:r>
        <w:t>: Grammar, style, and brand voice consistency</w:t>
      </w:r>
    </w:p>
    <w:p>
      <w:pPr>
        <w:pStyle w:val="ListBullet"/>
      </w:pPr>
      <w:r>
        <w:rPr>
          <w:b/>
        </w:rPr>
        <w:t>Technical accuracy</w:t>
      </w:r>
      <w:r>
        <w:t>: Subject matter expert verification</w:t>
      </w:r>
    </w:p>
    <w:p>
      <w:pPr>
        <w:pStyle w:val="ListBullet"/>
      </w:pPr>
      <w:r>
        <w:rPr>
          <w:b/>
        </w:rPr>
        <w:t>Audience alignment</w:t>
      </w:r>
      <w:r>
        <w:t>: Persona and journey stage appropriateness</w:t>
      </w:r>
    </w:p>
    <w:p>
      <w:pPr>
        <w:pStyle w:val="ListBullet"/>
      </w:pPr>
      <w:r>
        <w:rPr>
          <w:b/>
        </w:rPr>
        <w:t>Performance monitoring</w:t>
      </w:r>
      <w:r>
        <w:t>: Engagement and conversion tracking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Style Guide created: 30 September 2025</w:t>
      </w:r>
    </w:p>
    <w:p>
      <w:r>
        <w:rPr>
          <w:i/>
        </w:rPr>
        <w:t>Client: Luna Digital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