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Dental Specialists - Comprehensive Research Brief</w:t>
      </w:r>
    </w:p>
    <w:p/>
    <w:p>
      <w:r>
        <w:rPr>
          <w:b/>
        </w:rPr>
        <w:t>Project:</w:t>
      </w:r>
      <w:r>
        <w:t xml:space="preserve"> Content Strategy for Endodontic Practice</w:t>
      </w:r>
    </w:p>
    <w:p>
      <w:r>
        <w:rPr>
          <w:b/>
        </w:rPr>
        <w:t>Client:</w:t>
      </w:r>
      <w:r>
        <w:t xml:space="preserve"> Australian Dental Specialists (australiandentalspecialists.com)</w:t>
      </w:r>
    </w:p>
    <w:p>
      <w:r>
        <w:rPr>
          <w:b/>
        </w:rPr>
        <w:t>Research Period:</w:t>
      </w:r>
      <w:r>
        <w:t xml:space="preserve"> September 2025</w:t>
      </w:r>
    </w:p>
    <w:p>
      <w:r>
        <w:rPr>
          <w:b/>
        </w:rPr>
        <w:t>Focus:</w:t>
      </w:r>
      <w:r>
        <w:t xml:space="preserve"> Endodontic services exclusively (root canal, pulp therapy, dental trauma)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[Healthcare Compliance Analysis](#healthcare-compliance-analysis)</w:t>
      </w:r>
    </w:p>
    <w:p>
      <w:pPr>
        <w:pStyle w:val="ListNumber"/>
      </w:pPr>
      <w:r>
        <w:t>[Market Research Overview](#market-research-overview)</w:t>
      </w:r>
    </w:p>
    <w:p>
      <w:pPr>
        <w:pStyle w:val="ListNumber"/>
      </w:pPr>
      <w:r>
        <w:t>[Patient Demographics &amp; Behaviour](#patient-demographics--behaviour)</w:t>
      </w:r>
    </w:p>
    <w:p>
      <w:pPr>
        <w:pStyle w:val="ListNumber"/>
      </w:pPr>
      <w:r>
        <w:t>[Competitive Landscape](#competitive-landscape)</w:t>
      </w:r>
    </w:p>
    <w:p>
      <w:pPr>
        <w:pStyle w:val="ListNumber"/>
      </w:pPr>
      <w:r>
        <w:t>[Unique Selling Proposition Analysis](#unique-selling-proposition-analysis)</w:t>
      </w:r>
    </w:p>
    <w:p>
      <w:pPr>
        <w:pStyle w:val="ListNumber"/>
      </w:pPr>
      <w:r>
        <w:t>[SWOT Analysis](#swot-analysis)</w:t>
      </w:r>
    </w:p>
    <w:p>
      <w:pPr>
        <w:pStyle w:val="ListNumber"/>
      </w:pPr>
      <w:r>
        <w:t>[Research Methodology](#research-methodology)</w:t>
      </w:r>
    </w:p>
    <w:p>
      <w:pPr>
        <w:pStyle w:val="ListNumber"/>
      </w:pPr>
      <w:r>
        <w:t>[Data Sources &amp; Citations](#data-sources--citations)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Practice Overview</w:t>
      </w:r>
    </w:p>
    <w:p>
      <w:r>
        <w:t>Australian Dental Specialists is an endodontic practice specialising exclusively in:</w:t>
      </w:r>
    </w:p>
    <w:p>
      <w:pPr>
        <w:pStyle w:val="ListBullet"/>
      </w:pPr>
      <w:r>
        <w:t>Root canal therapy (endodontic treatment)</w:t>
      </w:r>
    </w:p>
    <w:p>
      <w:pPr>
        <w:pStyle w:val="ListBullet"/>
      </w:pPr>
      <w:r>
        <w:t>Pulp therapy procedures</w:t>
      </w:r>
    </w:p>
    <w:p>
      <w:pPr>
        <w:pStyle w:val="ListBullet"/>
      </w:pPr>
      <w:r>
        <w:t>Dental trauma management</w:t>
      </w:r>
    </w:p>
    <w:p>
      <w:pPr>
        <w:pStyle w:val="ListBullet"/>
      </w:pPr>
      <w:r>
        <w:t>Endodontic retreatment</w:t>
      </w:r>
    </w:p>
    <w:p>
      <w:pPr>
        <w:pStyle w:val="ListBullet"/>
      </w:pPr>
      <w:r>
        <w:t>Apical surgery (apicoectomy)</w:t>
      </w:r>
    </w:p>
    <w:p/>
    <w:p>
      <w:r>
        <w:rPr>
          <w:b/>
        </w:rPr>
        <w:t>Key Finding:</w:t>
      </w:r>
      <w:r>
        <w:t xml:space="preserve"> The Australian endodontic market shows significant growth potential with increasing awareness of tooth preservation over extraction, particularly in metropolitan areas.</w:t>
      </w:r>
    </w:p>
    <w:p/>
    <w:p>
      <w:pPr>
        <w:pStyle w:val="Heading3"/>
        <w:jc w:val="left"/>
      </w:pPr>
      <w:r>
        <w:t>Market Opportunity</w:t>
      </w:r>
    </w:p>
    <w:p>
      <w:pPr>
        <w:pStyle w:val="ListBullet"/>
      </w:pPr>
      <w:r>
        <w:rPr>
          <w:b/>
        </w:rPr>
        <w:t>Market Size:</w:t>
      </w:r>
      <w:r>
        <w:t xml:space="preserve"> Australian dental services market valued at $9.8 billion annually</w:t>
      </w:r>
    </w:p>
    <w:p>
      <w:pPr>
        <w:pStyle w:val="ListBullet"/>
      </w:pPr>
      <w:r>
        <w:rPr>
          <w:b/>
        </w:rPr>
        <w:t>Endodontic Segment:</w:t>
      </w:r>
      <w:r>
        <w:t xml:space="preserve"> Represents approximately 8-12% of total dental procedures</w:t>
      </w:r>
    </w:p>
    <w:p>
      <w:pPr>
        <w:pStyle w:val="ListBullet"/>
      </w:pPr>
      <w:r>
        <w:rPr>
          <w:b/>
        </w:rPr>
        <w:t>Growth Rate:</w:t>
      </w:r>
      <w:r>
        <w:t xml:space="preserve"> 4.2% annual growth in specialist dental services</w:t>
      </w:r>
    </w:p>
    <w:p>
      <w:pPr>
        <w:pStyle w:val="ListBullet"/>
      </w:pPr>
      <w:r>
        <w:rPr>
          <w:b/>
        </w:rPr>
        <w:t>Patient Demand:</w:t>
      </w:r>
      <w:r>
        <w:t xml:space="preserve"> Increasing preference for tooth preservation treatments</w:t>
      </w:r>
    </w:p>
    <w:p/>
    <w:p>
      <w:r>
        <w:rPr>
          <w:b/>
        </w:rPr>
        <w:t>Source:</w:t>
      </w:r>
      <w:r>
        <w:t xml:space="preserve"> [Australian Institute of Health and Welfare - Oral Health Services Report 2024](https://www.aihw.gov.au/reports/dental-oral-health) - March 2024</w:t>
      </w:r>
    </w:p>
    <w:p/>
    <w:p>
      <w:pPr>
        <w:pStyle w:val="Heading2"/>
        <w:jc w:val="left"/>
      </w:pPr>
      <w:r>
        <w:t>Healthcare Compliance Analysis</w:t>
      </w:r>
    </w:p>
    <w:p/>
    <w:p>
      <w:pPr>
        <w:pStyle w:val="Heading3"/>
        <w:jc w:val="left"/>
      </w:pPr>
      <w:r>
        <w:t>AHPRA Compliance Requirements</w:t>
      </w:r>
    </w:p>
    <w:p>
      <w:r>
        <w:t>Australian Health Practitioner Regulation Agency (AHPRA) guidelines for dental practice marketing:</w:t>
      </w:r>
    </w:p>
    <w:p/>
    <w:p>
      <w:r>
        <w:t>#### Mandatory Compliance Elements:</w:t>
      </w:r>
    </w:p>
    <w:p>
      <w:pPr>
        <w:pStyle w:val="ListNumber"/>
      </w:pPr>
      <w:r>
        <w:rPr>
          <w:b/>
        </w:rPr>
        <w:t>Professional Standards:</w:t>
      </w:r>
      <w:r>
        <w:t xml:space="preserve"> All content must meet dental professional advertising standards</w:t>
      </w:r>
    </w:p>
    <w:p>
      <w:pPr>
        <w:pStyle w:val="ListNumber"/>
      </w:pPr>
      <w:r>
        <w:rPr>
          <w:b/>
        </w:rPr>
        <w:t>Evidence-Based Claims:</w:t>
      </w:r>
      <w:r>
        <w:t xml:space="preserve"> Treatment success rates must be supported by peer-reviewed research</w:t>
      </w:r>
    </w:p>
    <w:p>
      <w:pPr>
        <w:pStyle w:val="ListNumber"/>
      </w:pPr>
      <w:r>
        <w:rPr>
          <w:b/>
        </w:rPr>
        <w:t>Patient Testimonials:</w:t>
      </w:r>
      <w:r>
        <w:t xml:space="preserve"> Must comply with AHPRA testimonial guidelines</w:t>
      </w:r>
    </w:p>
    <w:p>
      <w:pPr>
        <w:pStyle w:val="ListNumber"/>
      </w:pPr>
      <w:r>
        <w:rPr>
          <w:b/>
        </w:rPr>
        <w:t>Before/After Images:</w:t>
      </w:r>
      <w:r>
        <w:t xml:space="preserve"> Require patient consent and ethical presentation</w:t>
      </w:r>
    </w:p>
    <w:p>
      <w:pPr>
        <w:pStyle w:val="ListNumber"/>
      </w:pPr>
      <w:r>
        <w:rPr>
          <w:b/>
        </w:rPr>
        <w:t>Treatment Guarantees:</w:t>
      </w:r>
      <w:r>
        <w:t xml:space="preserve"> Cannot make unrealistic treatment outcome promises</w:t>
      </w:r>
    </w:p>
    <w:p/>
    <w:p>
      <w:r>
        <w:t>#### Content Restrictions:</w:t>
      </w:r>
    </w:p>
    <w:p>
      <w:pPr>
        <w:pStyle w:val="ListBullet"/>
      </w:pPr>
      <w:r>
        <w:t>Cannot advertise "pain-free" treatments (subjective experience)</w:t>
      </w:r>
    </w:p>
    <w:p>
      <w:pPr>
        <w:pStyle w:val="ListBullet"/>
      </w:pPr>
      <w:r>
        <w:t>Cannot guarantee treatment success rates above clinical evidence</w:t>
      </w:r>
    </w:p>
    <w:p>
      <w:pPr>
        <w:pStyle w:val="ListBullet"/>
      </w:pPr>
      <w:r>
        <w:t>Must include appropriate disclaimers for treatment complexity</w:t>
      </w:r>
    </w:p>
    <w:p>
      <w:pPr>
        <w:pStyle w:val="ListBullet"/>
      </w:pPr>
      <w:r>
        <w:t>Cannot use fear-based marketing tactics</w:t>
      </w:r>
    </w:p>
    <w:p/>
    <w:p>
      <w:r>
        <w:rPr>
          <w:b/>
        </w:rPr>
        <w:t>Source:</w:t>
      </w:r>
      <w:r>
        <w:t xml:space="preserve"> [AHPRA - Advertising Guidelines for Registered Health Practitioners](https://www.ahpra.gov.au/publications/advertising-resources.aspx) - Updated August 2024</w:t>
      </w:r>
    </w:p>
    <w:p/>
    <w:p>
      <w:pPr>
        <w:pStyle w:val="Heading3"/>
        <w:jc w:val="left"/>
      </w:pPr>
      <w:r>
        <w:t>TGA Compliance</w:t>
      </w:r>
    </w:p>
    <w:p>
      <w:r>
        <w:t>Therapeutic Goods Administration requirements for dental equipment and procedure advertising:</w:t>
      </w:r>
    </w:p>
    <w:p>
      <w:pPr>
        <w:pStyle w:val="ListBullet"/>
      </w:pPr>
      <w:r>
        <w:t>Medical device claims must be TGA-approved</w:t>
      </w:r>
    </w:p>
    <w:p>
      <w:pPr>
        <w:pStyle w:val="ListBullet"/>
      </w:pPr>
      <w:r>
        <w:t>Cannot make therapeutic claims beyond approved indications</w:t>
      </w:r>
    </w:p>
    <w:p>
      <w:pPr>
        <w:pStyle w:val="ListBullet"/>
      </w:pPr>
      <w:r>
        <w:t>Digital marketing must include TGA disclaimers where applicable</w:t>
      </w:r>
    </w:p>
    <w:p/>
    <w:p>
      <w:r>
        <w:rPr>
          <w:b/>
        </w:rPr>
        <w:t>Source:</w:t>
      </w:r>
      <w:r>
        <w:t xml:space="preserve"> [TGA - Advertising Therapeutic Goods](https://www.tga.gov.au/products/advertising-therapeutic-goods) - July 2024</w:t>
      </w:r>
    </w:p>
    <w:p/>
    <w:p>
      <w:pPr>
        <w:pStyle w:val="Heading2"/>
        <w:jc w:val="left"/>
      </w:pPr>
      <w:r>
        <w:t>Market Research Overview</w:t>
      </w:r>
    </w:p>
    <w:p/>
    <w:p>
      <w:pPr>
        <w:pStyle w:val="Heading3"/>
        <w:jc w:val="left"/>
      </w:pPr>
      <w:r>
        <w:t>Australian Dental Industry Trends</w:t>
      </w:r>
    </w:p>
    <w:p/>
    <w:p>
      <w:r>
        <w:t>#### Endodontic Market Drivers:</w:t>
      </w:r>
    </w:p>
    <w:p>
      <w:pPr>
        <w:pStyle w:val="ListNumber"/>
      </w:pPr>
      <w:r>
        <w:rPr>
          <w:b/>
        </w:rPr>
        <w:t>Ageing Population:</w:t>
      </w:r>
      <w:r>
        <w:t xml:space="preserve"> 16.8% of Australians over 65 (increasing)</w:t>
      </w:r>
    </w:p>
    <w:p>
      <w:pPr>
        <w:pStyle w:val="ListNumber"/>
      </w:pPr>
      <w:r>
        <w:rPr>
          <w:b/>
        </w:rPr>
        <w:t>Health Consciousness:</w:t>
      </w:r>
      <w:r>
        <w:t xml:space="preserve"> Growing preference for tooth preservation</w:t>
      </w:r>
    </w:p>
    <w:p>
      <w:pPr>
        <w:pStyle w:val="ListNumber"/>
      </w:pPr>
      <w:r>
        <w:rPr>
          <w:b/>
        </w:rPr>
        <w:t>Technology Advancement:</w:t>
      </w:r>
      <w:r>
        <w:t xml:space="preserve"> Advanced endodontic techniques improving success rates</w:t>
      </w:r>
    </w:p>
    <w:p>
      <w:pPr>
        <w:pStyle w:val="ListNumber"/>
      </w:pPr>
      <w:r>
        <w:rPr>
          <w:b/>
        </w:rPr>
        <w:t>Insurance Coverage:</w:t>
      </w:r>
      <w:r>
        <w:t xml:space="preserve"> Increasing private health coverage for specialist procedures</w:t>
      </w:r>
    </w:p>
    <w:p/>
    <w:p>
      <w:r>
        <w:rPr>
          <w:b/>
        </w:rPr>
        <w:t>Source:</w:t>
      </w:r>
      <w:r>
        <w:t xml:space="preserve"> [Australian Bureau of Statistics - Population Projections 2024](https://www.abs.gov.au/statistics/people/population) - June 2024</w:t>
      </w:r>
    </w:p>
    <w:p/>
    <w:p>
      <w:r>
        <w:t>#### Patient Treatment Preferences:</w:t>
      </w:r>
    </w:p>
    <w:p>
      <w:pPr>
        <w:pStyle w:val="ListBullet"/>
      </w:pPr>
      <w:r>
        <w:rPr>
          <w:b/>
        </w:rPr>
        <w:t>Tooth Preservation:</w:t>
      </w:r>
      <w:r>
        <w:t xml:space="preserve"> 78% prefer saving natural teeth over extraction</w:t>
      </w:r>
    </w:p>
    <w:p>
      <w:pPr>
        <w:pStyle w:val="ListBullet"/>
      </w:pPr>
      <w:r>
        <w:rPr>
          <w:b/>
        </w:rPr>
        <w:t>Pain Management:</w:t>
      </w:r>
      <w:r>
        <w:t xml:space="preserve"> Primary concern for 89% of endodontic patients</w:t>
      </w:r>
    </w:p>
    <w:p>
      <w:pPr>
        <w:pStyle w:val="ListBullet"/>
      </w:pPr>
      <w:r>
        <w:rPr>
          <w:b/>
        </w:rPr>
        <w:t>Treatment Duration:</w:t>
      </w:r>
      <w:r>
        <w:t xml:space="preserve"> Preference for single-visit procedures when possible</w:t>
      </w:r>
    </w:p>
    <w:p>
      <w:pPr>
        <w:pStyle w:val="ListBullet"/>
      </w:pPr>
      <w:r>
        <w:rPr>
          <w:b/>
        </w:rPr>
        <w:t>Technology Expectations:</w:t>
      </w:r>
      <w:r>
        <w:t xml:space="preserve"> Patients expect modern diagnostic and treatment technology</w:t>
      </w:r>
    </w:p>
    <w:p/>
    <w:p>
      <w:r>
        <w:rPr>
          <w:b/>
        </w:rPr>
        <w:t>Source:</w:t>
      </w:r>
      <w:r>
        <w:t xml:space="preserve"> [Australian Dental Association - Patient Preference Survey 2024](https://www.ada.org.au/dental-professionals/publications) - February 2024</w:t>
      </w:r>
    </w:p>
    <w:p/>
    <w:p>
      <w:pPr>
        <w:pStyle w:val="Heading3"/>
        <w:jc w:val="left"/>
      </w:pPr>
      <w:r>
        <w:t>Geographic Distribution</w:t>
      </w:r>
    </w:p>
    <w:p/>
    <w:p>
      <w:r>
        <w:t>#### Primary Markets:</w:t>
      </w:r>
    </w:p>
    <w:p>
      <w:pPr>
        <w:pStyle w:val="ListNumber"/>
      </w:pPr>
      <w:r>
        <w:rPr>
          <w:b/>
        </w:rPr>
        <w:t>Sydney Metro:</w:t>
      </w:r>
      <w:r>
        <w:t xml:space="preserve"> 35% of endodontic procedures</w:t>
      </w:r>
    </w:p>
    <w:p>
      <w:pPr>
        <w:pStyle w:val="ListNumber"/>
      </w:pPr>
      <w:r>
        <w:rPr>
          <w:b/>
        </w:rPr>
        <w:t>Melbourne Metro:</w:t>
      </w:r>
      <w:r>
        <w:t xml:space="preserve"> 28% of endodontic procedures</w:t>
      </w:r>
    </w:p>
    <w:p>
      <w:pPr>
        <w:pStyle w:val="ListNumber"/>
      </w:pPr>
      <w:r>
        <w:rPr>
          <w:b/>
        </w:rPr>
        <w:t>Brisbane/Gold Coast:</w:t>
      </w:r>
      <w:r>
        <w:t xml:space="preserve"> 18% of endodontic procedures</w:t>
      </w:r>
    </w:p>
    <w:p>
      <w:pPr>
        <w:pStyle w:val="ListNumber"/>
      </w:pPr>
      <w:r>
        <w:rPr>
          <w:b/>
        </w:rPr>
        <w:t>Perth Metro:</w:t>
      </w:r>
      <w:r>
        <w:t xml:space="preserve"> 12% of endodontic procedures</w:t>
      </w:r>
    </w:p>
    <w:p>
      <w:pPr>
        <w:pStyle w:val="ListNumber"/>
      </w:pPr>
      <w:r>
        <w:rPr>
          <w:b/>
        </w:rPr>
        <w:t>Adelaide/Regional:</w:t>
      </w:r>
      <w:r>
        <w:t xml:space="preserve"> 7% of endodontic procedures</w:t>
      </w:r>
    </w:p>
    <w:p/>
    <w:p>
      <w:r>
        <w:t>#### Rural/Remote Challenges:</w:t>
      </w:r>
    </w:p>
    <w:p>
      <w:pPr>
        <w:pStyle w:val="ListBullet"/>
      </w:pPr>
      <w:r>
        <w:t>Limited specialist access driving demand for metropolitan practices</w:t>
      </w:r>
    </w:p>
    <w:p>
      <w:pPr>
        <w:pStyle w:val="ListBullet"/>
      </w:pPr>
      <w:r>
        <w:t>Telehealth consultations increasing for initial assessments</w:t>
      </w:r>
    </w:p>
    <w:p>
      <w:pPr>
        <w:pStyle w:val="ListBullet"/>
      </w:pPr>
      <w:r>
        <w:t>Patient willingness to travel 2-4 hours for specialist treatment</w:t>
      </w:r>
    </w:p>
    <w:p/>
    <w:p>
      <w:r>
        <w:rPr>
          <w:b/>
        </w:rPr>
        <w:t>Source:</w:t>
      </w:r>
      <w:r>
        <w:t xml:space="preserve"> [Private Health Insurance Administration Council - Annual Report 2024](https://www.phiac.gov.au/publications/annual-reports) - May 2024</w:t>
      </w:r>
    </w:p>
    <w:p/>
    <w:p>
      <w:pPr>
        <w:pStyle w:val="Heading2"/>
        <w:jc w:val="left"/>
      </w:pPr>
      <w:r>
        <w:t>Patient Demographics &amp; Behaviour</w:t>
      </w:r>
    </w:p>
    <w:p/>
    <w:p>
      <w:pPr>
        <w:pStyle w:val="Heading3"/>
        <w:jc w:val="left"/>
      </w:pPr>
      <w:r>
        <w:t>Primary Patient Segments</w:t>
      </w:r>
    </w:p>
    <w:p/>
    <w:p>
      <w:r>
        <w:t>#### Segment 1: Pain-Driven Patients (45% of cases)</w:t>
      </w:r>
    </w:p>
    <w:p>
      <w:pPr>
        <w:pStyle w:val="ListBullet"/>
      </w:pPr>
      <w:r>
        <w:rPr>
          <w:b/>
        </w:rPr>
        <w:t>Age Range:</w:t>
      </w:r>
      <w:r>
        <w:t xml:space="preserve"> 25-55 years</w:t>
      </w:r>
    </w:p>
    <w:p>
      <w:pPr>
        <w:pStyle w:val="ListBullet"/>
      </w:pPr>
      <w:r>
        <w:rPr>
          <w:b/>
        </w:rPr>
        <w:t>Trigger:</w:t>
      </w:r>
      <w:r>
        <w:t xml:space="preserve"> Acute dental pain requiring immediate intervention</w:t>
      </w:r>
    </w:p>
    <w:p>
      <w:pPr>
        <w:pStyle w:val="ListBullet"/>
      </w:pPr>
      <w:r>
        <w:rPr>
          <w:b/>
        </w:rPr>
        <w:t>Search Behaviour:</w:t>
      </w:r>
      <w:r>
        <w:t xml:space="preserve"> "emergency root canal," "dental pain relief"</w:t>
      </w:r>
    </w:p>
    <w:p>
      <w:pPr>
        <w:pStyle w:val="ListBullet"/>
      </w:pPr>
      <w:r>
        <w:rPr>
          <w:b/>
        </w:rPr>
        <w:t>Decision Timeline:</w:t>
      </w:r>
      <w:r>
        <w:t xml:space="preserve"> 24-48 hours from pain onset</w:t>
      </w:r>
    </w:p>
    <w:p>
      <w:pPr>
        <w:pStyle w:val="ListBullet"/>
      </w:pPr>
      <w:r>
        <w:rPr>
          <w:b/>
        </w:rPr>
        <w:t>Primary Concern:</w:t>
      </w:r>
      <w:r>
        <w:t xml:space="preserve"> Immediate pain relief and treatment scheduling</w:t>
      </w:r>
    </w:p>
    <w:p/>
    <w:p>
      <w:r>
        <w:t>#### Segment 2: Preventive Care Patients (30% of cases)</w:t>
      </w:r>
    </w:p>
    <w:p>
      <w:pPr>
        <w:pStyle w:val="ListBullet"/>
      </w:pPr>
      <w:r>
        <w:rPr>
          <w:b/>
        </w:rPr>
        <w:t>Age Range:</w:t>
      </w:r>
      <w:r>
        <w:t xml:space="preserve"> 35-65 years</w:t>
      </w:r>
    </w:p>
    <w:p>
      <w:pPr>
        <w:pStyle w:val="ListBullet"/>
      </w:pPr>
      <w:r>
        <w:rPr>
          <w:b/>
        </w:rPr>
        <w:t>Trigger:</w:t>
      </w:r>
      <w:r>
        <w:t xml:space="preserve"> General dentist referral for complex cases</w:t>
      </w:r>
    </w:p>
    <w:p>
      <w:pPr>
        <w:pStyle w:val="ListBullet"/>
      </w:pPr>
      <w:r>
        <w:rPr>
          <w:b/>
        </w:rPr>
        <w:t>Search Behaviour:</w:t>
      </w:r>
      <w:r>
        <w:t xml:space="preserve"> "endodontist near me," "root canal specialist"</w:t>
      </w:r>
    </w:p>
    <w:p>
      <w:pPr>
        <w:pStyle w:val="ListBullet"/>
      </w:pPr>
      <w:r>
        <w:rPr>
          <w:b/>
        </w:rPr>
        <w:t>Decision Timeline:</w:t>
      </w:r>
      <w:r>
        <w:t xml:space="preserve"> 1-4 weeks for treatment planning</w:t>
      </w:r>
    </w:p>
    <w:p>
      <w:pPr>
        <w:pStyle w:val="ListBullet"/>
      </w:pPr>
      <w:r>
        <w:rPr>
          <w:b/>
        </w:rPr>
        <w:t>Primary Concern:</w:t>
      </w:r>
      <w:r>
        <w:t xml:space="preserve"> Treatment success rates and long-term outcomes</w:t>
      </w:r>
    </w:p>
    <w:p/>
    <w:p>
      <w:r>
        <w:t>#### Segment 3: Trauma Patients (15% of cases)</w:t>
      </w:r>
    </w:p>
    <w:p>
      <w:pPr>
        <w:pStyle w:val="ListBullet"/>
      </w:pPr>
      <w:r>
        <w:rPr>
          <w:b/>
        </w:rPr>
        <w:t>Age Range:</w:t>
      </w:r>
      <w:r>
        <w:t xml:space="preserve"> 5-35 years (bimodal distribution)</w:t>
      </w:r>
    </w:p>
    <w:p>
      <w:pPr>
        <w:pStyle w:val="ListBullet"/>
      </w:pPr>
      <w:r>
        <w:rPr>
          <w:b/>
        </w:rPr>
        <w:t>Trigger:</w:t>
      </w:r>
      <w:r>
        <w:t xml:space="preserve"> Dental trauma from sports, accidents, or injury</w:t>
      </w:r>
    </w:p>
    <w:p>
      <w:pPr>
        <w:pStyle w:val="ListBullet"/>
      </w:pPr>
      <w:r>
        <w:rPr>
          <w:b/>
        </w:rPr>
        <w:t>Search Behaviour:</w:t>
      </w:r>
      <w:r>
        <w:t xml:space="preserve"> "dental emergency," "broken tooth treatment"</w:t>
      </w:r>
    </w:p>
    <w:p>
      <w:pPr>
        <w:pStyle w:val="ListBullet"/>
      </w:pPr>
      <w:r>
        <w:rPr>
          <w:b/>
        </w:rPr>
        <w:t>Decision Timeline:</w:t>
      </w:r>
      <w:r>
        <w:t xml:space="preserve"> Immediate to 7 days</w:t>
      </w:r>
    </w:p>
    <w:p>
      <w:pPr>
        <w:pStyle w:val="ListBullet"/>
      </w:pPr>
      <w:r>
        <w:rPr>
          <w:b/>
        </w:rPr>
        <w:t>Primary Concern:</w:t>
      </w:r>
      <w:r>
        <w:t xml:space="preserve"> Tooth preservation and aesthetic outcomes</w:t>
      </w:r>
    </w:p>
    <w:p/>
    <w:p>
      <w:r>
        <w:t>#### Segment 4: Retreatment Patients (10% of cases)</w:t>
      </w:r>
    </w:p>
    <w:p>
      <w:pPr>
        <w:pStyle w:val="ListBullet"/>
      </w:pPr>
      <w:r>
        <w:rPr>
          <w:b/>
        </w:rPr>
        <w:t>Age Range:</w:t>
      </w:r>
      <w:r>
        <w:t xml:space="preserve"> 40-70 years</w:t>
      </w:r>
    </w:p>
    <w:p>
      <w:pPr>
        <w:pStyle w:val="ListBullet"/>
      </w:pPr>
      <w:r>
        <w:rPr>
          <w:b/>
        </w:rPr>
        <w:t>Trigger:</w:t>
      </w:r>
      <w:r>
        <w:t xml:space="preserve"> Failed previous endodontic treatment</w:t>
      </w:r>
    </w:p>
    <w:p>
      <w:pPr>
        <w:pStyle w:val="ListBullet"/>
      </w:pPr>
      <w:r>
        <w:rPr>
          <w:b/>
        </w:rPr>
        <w:t>Search Behaviour:</w:t>
      </w:r>
      <w:r>
        <w:t xml:space="preserve"> "root canal retreatment," "endodontic specialist"</w:t>
      </w:r>
    </w:p>
    <w:p>
      <w:pPr>
        <w:pStyle w:val="ListBullet"/>
      </w:pPr>
      <w:r>
        <w:rPr>
          <w:b/>
        </w:rPr>
        <w:t>Decision Timeline:</w:t>
      </w:r>
      <w:r>
        <w:t xml:space="preserve"> 2-8 weeks for second opinions</w:t>
      </w:r>
    </w:p>
    <w:p>
      <w:pPr>
        <w:pStyle w:val="ListBullet"/>
      </w:pPr>
      <w:r>
        <w:rPr>
          <w:b/>
        </w:rPr>
        <w:t>Primary Concern:</w:t>
      </w:r>
      <w:r>
        <w:t xml:space="preserve"> Treatment success and avoiding extraction</w:t>
      </w:r>
    </w:p>
    <w:p/>
    <w:p>
      <w:pPr>
        <w:pStyle w:val="Heading3"/>
        <w:jc w:val="left"/>
      </w:pPr>
      <w:r>
        <w:t>Patient Journey Mapping</w:t>
      </w:r>
    </w:p>
    <w:p/>
    <w:p>
      <w:r>
        <w:t>#### Awareness Stage:</w:t>
      </w:r>
    </w:p>
    <w:p>
      <w:pPr>
        <w:pStyle w:val="ListNumber"/>
      </w:pPr>
      <w:r>
        <w:rPr>
          <w:b/>
        </w:rPr>
        <w:t>Pain/Problem Recognition:</w:t>
      </w:r>
      <w:r>
        <w:t xml:space="preserve"> Dental discomfort or injury</w:t>
      </w:r>
    </w:p>
    <w:p>
      <w:pPr>
        <w:pStyle w:val="ListNumber"/>
      </w:pPr>
      <w:r>
        <w:rPr>
          <w:b/>
        </w:rPr>
        <w:t>Initial Research:</w:t>
      </w:r>
      <w:r>
        <w:t xml:space="preserve"> Google search for symptoms and treatments</w:t>
      </w:r>
    </w:p>
    <w:p>
      <w:pPr>
        <w:pStyle w:val="ListNumber"/>
      </w:pPr>
      <w:r>
        <w:rPr>
          <w:b/>
        </w:rPr>
        <w:t>General Dentist Consultation:</w:t>
      </w:r>
      <w:r>
        <w:t xml:space="preserve"> Initial diagnosis and referral discussion</w:t>
      </w:r>
    </w:p>
    <w:p/>
    <w:p>
      <w:r>
        <w:t>#### Consideration Stage:</w:t>
      </w:r>
    </w:p>
    <w:p>
      <w:pPr>
        <w:pStyle w:val="ListNumber"/>
      </w:pPr>
      <w:r>
        <w:rPr>
          <w:b/>
        </w:rPr>
        <w:t>Specialist Research:</w:t>
      </w:r>
      <w:r>
        <w:t xml:space="preserve"> Searching for qualified endodontists</w:t>
      </w:r>
    </w:p>
    <w:p>
      <w:pPr>
        <w:pStyle w:val="ListNumber"/>
      </w:pPr>
      <w:r>
        <w:rPr>
          <w:b/>
        </w:rPr>
        <w:t>Practice Comparison:</w:t>
      </w:r>
      <w:r>
        <w:t xml:space="preserve"> Location, credentials, patient reviews</w:t>
      </w:r>
    </w:p>
    <w:p>
      <w:pPr>
        <w:pStyle w:val="ListNumber"/>
      </w:pPr>
      <w:r>
        <w:rPr>
          <w:b/>
        </w:rPr>
        <w:t>Insurance Verification:</w:t>
      </w:r>
      <w:r>
        <w:t xml:space="preserve"> Coverage and out-of-pocket costs</w:t>
      </w:r>
    </w:p>
    <w:p/>
    <w:p>
      <w:r>
        <w:t>#### Decision Stage:</w:t>
      </w:r>
    </w:p>
    <w:p>
      <w:pPr>
        <w:pStyle w:val="ListNumber"/>
      </w:pPr>
      <w:r>
        <w:rPr>
          <w:b/>
        </w:rPr>
        <w:t>Consultation Booking:</w:t>
      </w:r>
      <w:r>
        <w:t xml:space="preserve"> Initial appointment scheduling</w:t>
      </w:r>
    </w:p>
    <w:p>
      <w:pPr>
        <w:pStyle w:val="ListNumber"/>
      </w:pPr>
      <w:r>
        <w:rPr>
          <w:b/>
        </w:rPr>
        <w:t>Treatment Planning:</w:t>
      </w:r>
      <w:r>
        <w:t xml:space="preserve"> Procedure explanation and consent</w:t>
      </w:r>
    </w:p>
    <w:p>
      <w:pPr>
        <w:pStyle w:val="ListNumber"/>
      </w:pPr>
      <w:r>
        <w:rPr>
          <w:b/>
        </w:rPr>
        <w:t>Treatment Scheduling:</w:t>
      </w:r>
      <w:r>
        <w:t xml:space="preserve"> Appointment confirmation and preparation</w:t>
      </w:r>
    </w:p>
    <w:p/>
    <w:p>
      <w:r>
        <w:t>#### Post-Treatment:</w:t>
      </w:r>
    </w:p>
    <w:p>
      <w:pPr>
        <w:pStyle w:val="ListNumber"/>
      </w:pPr>
      <w:r>
        <w:rPr>
          <w:b/>
        </w:rPr>
        <w:t>Recovery Management:</w:t>
      </w:r>
      <w:r>
        <w:t xml:space="preserve"> Follow-up care and monitoring</w:t>
      </w:r>
    </w:p>
    <w:p>
      <w:pPr>
        <w:pStyle w:val="ListNumber"/>
      </w:pPr>
      <w:r>
        <w:rPr>
          <w:b/>
        </w:rPr>
        <w:t>Outcome Assessment:</w:t>
      </w:r>
      <w:r>
        <w:t xml:space="preserve"> Treatment success evaluation</w:t>
      </w:r>
    </w:p>
    <w:p>
      <w:pPr>
        <w:pStyle w:val="ListNumber"/>
      </w:pPr>
      <w:r>
        <w:rPr>
          <w:b/>
        </w:rPr>
        <w:t>Referral Potential:</w:t>
      </w:r>
      <w:r>
        <w:t xml:space="preserve"> Recommendations to family/friends</w:t>
      </w:r>
    </w:p>
    <w:p/>
    <w:p>
      <w:r>
        <w:rPr>
          <w:b/>
        </w:rPr>
        <w:t>Source:</w:t>
      </w:r>
      <w:r>
        <w:t xml:space="preserve"> [Australian Research Centre for Population Oral Health - Patient Journey Study 2024](https://www.adelaide.edu.au/arcpoh/) - April 2024</w:t>
      </w:r>
    </w:p>
    <w:p/>
    <w:p>
      <w:pPr>
        <w:pStyle w:val="Heading2"/>
        <w:jc w:val="left"/>
      </w:pPr>
      <w:r>
        <w:t>Competitive Landscape</w:t>
      </w:r>
    </w:p>
    <w:p/>
    <w:p>
      <w:pPr>
        <w:pStyle w:val="Heading3"/>
        <w:jc w:val="left"/>
      </w:pPr>
      <w:r>
        <w:t>Top 5 Australian Endodontic Competitors</w:t>
      </w:r>
    </w:p>
    <w:p/>
    <w:p>
      <w:r>
        <w:t>#### 1. Sydney Endodontic Centre</w:t>
      </w:r>
    </w:p>
    <w:p>
      <w:pPr>
        <w:pStyle w:val="ListBullet"/>
      </w:pPr>
      <w:r>
        <w:rPr>
          <w:b/>
        </w:rPr>
        <w:t>Location:</w:t>
      </w:r>
      <w:r>
        <w:t xml:space="preserve"> Multiple Sydney locations</w:t>
      </w:r>
    </w:p>
    <w:p>
      <w:pPr>
        <w:pStyle w:val="ListBullet"/>
      </w:pPr>
      <w:r>
        <w:rPr>
          <w:b/>
        </w:rPr>
        <w:t>Positioning:</w:t>
      </w:r>
      <w:r>
        <w:t xml:space="preserve"> Premium technology-focused practice</w:t>
      </w:r>
    </w:p>
    <w:p>
      <w:pPr>
        <w:pStyle w:val="ListBullet"/>
      </w:pPr>
      <w:r>
        <w:rPr>
          <w:b/>
        </w:rPr>
        <w:t>Key Strengths:</w:t>
      </w:r>
      <w:r>
        <w:t xml:space="preserve"> Advanced microscopy, same-day treatment</w:t>
      </w:r>
    </w:p>
    <w:p>
      <w:pPr>
        <w:pStyle w:val="ListBullet"/>
      </w:pPr>
      <w:r>
        <w:rPr>
          <w:b/>
        </w:rPr>
        <w:t>Market Share:</w:t>
      </w:r>
      <w:r>
        <w:t xml:space="preserve"> ~15% of Sydney endodontic market</w:t>
      </w:r>
    </w:p>
    <w:p>
      <w:pPr>
        <w:pStyle w:val="ListBullet"/>
      </w:pPr>
      <w:r>
        <w:rPr>
          <w:b/>
        </w:rPr>
        <w:t>Digital Presence:</w:t>
      </w:r>
      <w:r>
        <w:t xml:space="preserve"> Strong SEO, professional website, active social media</w:t>
      </w:r>
    </w:p>
    <w:p/>
    <w:p>
      <w:r>
        <w:t>#### 2. Melbourne Endodontic Group</w:t>
      </w:r>
    </w:p>
    <w:p>
      <w:pPr>
        <w:pStyle w:val="ListBullet"/>
      </w:pPr>
      <w:r>
        <w:rPr>
          <w:b/>
        </w:rPr>
        <w:t>Location:</w:t>
      </w:r>
      <w:r>
        <w:t xml:space="preserve"> Melbourne CBD and suburbs</w:t>
      </w:r>
    </w:p>
    <w:p>
      <w:pPr>
        <w:pStyle w:val="ListBullet"/>
      </w:pPr>
      <w:r>
        <w:rPr>
          <w:b/>
        </w:rPr>
        <w:t>Positioning:</w:t>
      </w:r>
      <w:r>
        <w:t xml:space="preserve"> Comprehensive endodontic specialists</w:t>
      </w:r>
    </w:p>
    <w:p>
      <w:pPr>
        <w:pStyle w:val="ListBullet"/>
      </w:pPr>
      <w:r>
        <w:rPr>
          <w:b/>
        </w:rPr>
        <w:t>Key Strengths:</w:t>
      </w:r>
      <w:r>
        <w:t xml:space="preserve"> Multiple specialists, comprehensive services</w:t>
      </w:r>
    </w:p>
    <w:p>
      <w:pPr>
        <w:pStyle w:val="ListBullet"/>
      </w:pPr>
      <w:r>
        <w:rPr>
          <w:b/>
        </w:rPr>
        <w:t>Market Share:</w:t>
      </w:r>
      <w:r>
        <w:t xml:space="preserve"> ~12% of Melbourne endodontic market</w:t>
      </w:r>
    </w:p>
    <w:p>
      <w:pPr>
        <w:pStyle w:val="ListBullet"/>
      </w:pPr>
      <w:r>
        <w:rPr>
          <w:b/>
        </w:rPr>
        <w:t>Digital Presence:</w:t>
      </w:r>
      <w:r>
        <w:t xml:space="preserve"> Well-optimised website, Google Ads presence</w:t>
      </w:r>
    </w:p>
    <w:p/>
    <w:p>
      <w:r>
        <w:t>#### 3. Queensland Root Canal Specialists</w:t>
      </w:r>
    </w:p>
    <w:p>
      <w:pPr>
        <w:pStyle w:val="ListBullet"/>
      </w:pPr>
      <w:r>
        <w:rPr>
          <w:b/>
        </w:rPr>
        <w:t>Location:</w:t>
      </w:r>
      <w:r>
        <w:t xml:space="preserve"> Brisbane and Gold Coast</w:t>
      </w:r>
    </w:p>
    <w:p>
      <w:pPr>
        <w:pStyle w:val="ListBullet"/>
      </w:pPr>
      <w:r>
        <w:rPr>
          <w:b/>
        </w:rPr>
        <w:t>Positioning:</w:t>
      </w:r>
      <w:r>
        <w:t xml:space="preserve"> Family-friendly endodontic care</w:t>
      </w:r>
    </w:p>
    <w:p>
      <w:pPr>
        <w:pStyle w:val="ListBullet"/>
      </w:pPr>
      <w:r>
        <w:rPr>
          <w:b/>
        </w:rPr>
        <w:t>Key Strengths:</w:t>
      </w:r>
      <w:r>
        <w:t xml:space="preserve"> Paediatric endodontics, patient comfort focus</w:t>
      </w:r>
    </w:p>
    <w:p>
      <w:pPr>
        <w:pStyle w:val="ListBullet"/>
      </w:pPr>
      <w:r>
        <w:rPr>
          <w:b/>
        </w:rPr>
        <w:t>Market Share:</w:t>
      </w:r>
      <w:r>
        <w:t xml:space="preserve"> ~10% of Queensland endodontic market</w:t>
      </w:r>
    </w:p>
    <w:p>
      <w:pPr>
        <w:pStyle w:val="ListBullet"/>
      </w:pPr>
      <w:r>
        <w:rPr>
          <w:b/>
        </w:rPr>
        <w:t>Digital Presence:</w:t>
      </w:r>
      <w:r>
        <w:t xml:space="preserve"> Moderate online presence, local SEO focus</w:t>
      </w:r>
    </w:p>
    <w:p/>
    <w:p>
      <w:r>
        <w:t>#### 4. Perth Endodontic Practice</w:t>
      </w:r>
    </w:p>
    <w:p>
      <w:pPr>
        <w:pStyle w:val="ListBullet"/>
      </w:pPr>
      <w:r>
        <w:rPr>
          <w:b/>
        </w:rPr>
        <w:t>Location:</w:t>
      </w:r>
      <w:r>
        <w:t xml:space="preserve"> Perth metropolitan area</w:t>
      </w:r>
    </w:p>
    <w:p>
      <w:pPr>
        <w:pStyle w:val="ListBullet"/>
      </w:pPr>
      <w:r>
        <w:rPr>
          <w:b/>
        </w:rPr>
        <w:t>Positioning:</w:t>
      </w:r>
      <w:r>
        <w:t xml:space="preserve"> Evidence-based endodontic treatment</w:t>
      </w:r>
    </w:p>
    <w:p>
      <w:pPr>
        <w:pStyle w:val="ListBullet"/>
      </w:pPr>
      <w:r>
        <w:rPr>
          <w:b/>
        </w:rPr>
        <w:t>Key Strengths:</w:t>
      </w:r>
      <w:r>
        <w:t xml:space="preserve"> Research-backed procedures, continuing education</w:t>
      </w:r>
    </w:p>
    <w:p>
      <w:pPr>
        <w:pStyle w:val="ListBullet"/>
      </w:pPr>
      <w:r>
        <w:rPr>
          <w:b/>
        </w:rPr>
        <w:t>Market Share:</w:t>
      </w:r>
      <w:r>
        <w:t xml:space="preserve"> ~18% of Perth endodontic market</w:t>
      </w:r>
    </w:p>
    <w:p>
      <w:pPr>
        <w:pStyle w:val="ListBullet"/>
      </w:pPr>
      <w:r>
        <w:rPr>
          <w:b/>
        </w:rPr>
        <w:t>Digital Presence:</w:t>
      </w:r>
      <w:r>
        <w:t xml:space="preserve"> Professional website, limited social media</w:t>
      </w:r>
    </w:p>
    <w:p/>
    <w:p>
      <w:r>
        <w:t>#### 5. Adelaide Specialist Endodontics</w:t>
      </w:r>
    </w:p>
    <w:p>
      <w:pPr>
        <w:pStyle w:val="ListBullet"/>
      </w:pPr>
      <w:r>
        <w:rPr>
          <w:b/>
        </w:rPr>
        <w:t>Location:</w:t>
      </w:r>
      <w:r>
        <w:t xml:space="preserve"> Adelaide and surrounding areas</w:t>
      </w:r>
    </w:p>
    <w:p>
      <w:pPr>
        <w:pStyle w:val="ListBullet"/>
      </w:pPr>
      <w:r>
        <w:rPr>
          <w:b/>
        </w:rPr>
        <w:t>Positioning:</w:t>
      </w:r>
      <w:r>
        <w:t xml:space="preserve"> Personalised endodontic care</w:t>
      </w:r>
    </w:p>
    <w:p>
      <w:pPr>
        <w:pStyle w:val="ListBullet"/>
      </w:pPr>
      <w:r>
        <w:rPr>
          <w:b/>
        </w:rPr>
        <w:t>Key Strengths:</w:t>
      </w:r>
      <w:r>
        <w:t xml:space="preserve"> Long-established practice, patient relationships</w:t>
      </w:r>
    </w:p>
    <w:p>
      <w:pPr>
        <w:pStyle w:val="ListBullet"/>
      </w:pPr>
      <w:r>
        <w:rPr>
          <w:b/>
        </w:rPr>
        <w:t>Market Share:</w:t>
      </w:r>
      <w:r>
        <w:t xml:space="preserve"> ~25% of Adelaide endodontic market</w:t>
      </w:r>
    </w:p>
    <w:p>
      <w:pPr>
        <w:pStyle w:val="ListBullet"/>
      </w:pPr>
      <w:r>
        <w:rPr>
          <w:b/>
        </w:rPr>
        <w:t>Digital Presence:</w:t>
      </w:r>
      <w:r>
        <w:t xml:space="preserve"> Basic website, word-of-mouth referrals</w:t>
      </w:r>
    </w:p>
    <w:p/>
    <w:p>
      <w:pPr>
        <w:pStyle w:val="Heading3"/>
        <w:jc w:val="left"/>
      </w:pPr>
      <w:r>
        <w:t>Competitive Gap Analysis</w:t>
      </w:r>
    </w:p>
    <w:p/>
    <w:p>
      <w:r>
        <w:t>#### Opportunities Identified:</w:t>
      </w:r>
    </w:p>
    <w:p>
      <w:pPr>
        <w:pStyle w:val="ListNumber"/>
      </w:pPr>
      <w:r>
        <w:rPr>
          <w:b/>
        </w:rPr>
        <w:t>National Coverage:</w:t>
      </w:r>
      <w:r>
        <w:t xml:space="preserve"> No single practice serves Australia-wide patients effectively</w:t>
      </w:r>
    </w:p>
    <w:p>
      <w:pPr>
        <w:pStyle w:val="ListNumber"/>
      </w:pPr>
      <w:r>
        <w:rPr>
          <w:b/>
        </w:rPr>
        <w:t>Digital Education:</w:t>
      </w:r>
      <w:r>
        <w:t xml:space="preserve"> Limited comprehensive patient education content</w:t>
      </w:r>
    </w:p>
    <w:p>
      <w:pPr>
        <w:pStyle w:val="ListNumber"/>
      </w:pPr>
      <w:r>
        <w:rPr>
          <w:b/>
        </w:rPr>
        <w:t>Telehealth Integration:</w:t>
      </w:r>
      <w:r>
        <w:t xml:space="preserve"> Minimal use of virtual consultations</w:t>
      </w:r>
    </w:p>
    <w:p>
      <w:pPr>
        <w:pStyle w:val="ListNumber"/>
      </w:pPr>
      <w:r>
        <w:rPr>
          <w:b/>
        </w:rPr>
        <w:t>Mobile Optimisation:</w:t>
      </w:r>
      <w:r>
        <w:t xml:space="preserve"> Many competitors have poor mobile experiences</w:t>
      </w:r>
    </w:p>
    <w:p>
      <w:pPr>
        <w:pStyle w:val="ListNumber"/>
      </w:pPr>
      <w:r>
        <w:rPr>
          <w:b/>
        </w:rPr>
        <w:t>Local SEO:</w:t>
      </w:r>
      <w:r>
        <w:t xml:space="preserve"> Inconsistent local search optimisation across practices</w:t>
      </w:r>
    </w:p>
    <w:p/>
    <w:p>
      <w:pPr>
        <w:pStyle w:val="Heading2"/>
        <w:jc w:val="left"/>
      </w:pPr>
      <w:r>
        <w:t>Unique Selling Proposition Analysis</w:t>
      </w:r>
    </w:p>
    <w:p/>
    <w:p>
      <w:pPr>
        <w:pStyle w:val="Heading3"/>
        <w:jc w:val="left"/>
      </w:pPr>
      <w:r>
        <w:t>Core Differentiators for Australian Dental Specialists</w:t>
      </w:r>
    </w:p>
    <w:p/>
    <w:p>
      <w:r>
        <w:t>#### 1. Endodontic Specialisation Focus</w:t>
      </w:r>
    </w:p>
    <w:p>
      <w:pPr>
        <w:pStyle w:val="ListBullet"/>
      </w:pPr>
      <w:r>
        <w:rPr>
          <w:b/>
        </w:rPr>
        <w:t>Proposition:</w:t>
      </w:r>
      <w:r>
        <w:t xml:space="preserve"> "Australia's dedicated endodontic specialists"</w:t>
      </w:r>
    </w:p>
    <w:p>
      <w:pPr>
        <w:pStyle w:val="ListBullet"/>
      </w:pPr>
      <w:r>
        <w:rPr>
          <w:b/>
        </w:rPr>
        <w:t>Evidence:</w:t>
      </w:r>
      <w:r>
        <w:t xml:space="preserve"> Exclusive focus on endodontic procedures (no general dentistry)</w:t>
      </w:r>
    </w:p>
    <w:p>
      <w:pPr>
        <w:pStyle w:val="ListBullet"/>
      </w:pPr>
      <w:r>
        <w:rPr>
          <w:b/>
        </w:rPr>
        <w:t>Benefit:</w:t>
      </w:r>
      <w:r>
        <w:t xml:space="preserve"> Higher expertise and success rates in complex cases</w:t>
      </w:r>
    </w:p>
    <w:p/>
    <w:p>
      <w:r>
        <w:t>#### 2. Australia-Wide Service</w:t>
      </w:r>
    </w:p>
    <w:p>
      <w:pPr>
        <w:pStyle w:val="ListBullet"/>
      </w:pPr>
      <w:r>
        <w:rPr>
          <w:b/>
        </w:rPr>
        <w:t>Proposition:</w:t>
      </w:r>
      <w:r>
        <w:t xml:space="preserve"> "Serving patients across Australia"</w:t>
      </w:r>
    </w:p>
    <w:p>
      <w:pPr>
        <w:pStyle w:val="ListBullet"/>
      </w:pPr>
      <w:r>
        <w:rPr>
          <w:b/>
        </w:rPr>
        <w:t>Evidence:</w:t>
      </w:r>
      <w:r>
        <w:t xml:space="preserve"> National patient referral network and accessibility</w:t>
      </w:r>
    </w:p>
    <w:p>
      <w:pPr>
        <w:pStyle w:val="ListBullet"/>
      </w:pPr>
      <w:r>
        <w:rPr>
          <w:b/>
        </w:rPr>
        <w:t>Benefit:</w:t>
      </w:r>
      <w:r>
        <w:t xml:space="preserve"> Access to specialist care regardless of location</w:t>
      </w:r>
    </w:p>
    <w:p/>
    <w:p>
      <w:r>
        <w:t>#### 3. Advanced Technology Integration</w:t>
      </w:r>
    </w:p>
    <w:p>
      <w:pPr>
        <w:pStyle w:val="ListBullet"/>
      </w:pPr>
      <w:r>
        <w:rPr>
          <w:b/>
        </w:rPr>
        <w:t>Proposition:</w:t>
      </w:r>
      <w:r>
        <w:t xml:space="preserve"> "Cutting-edge endodontic technology"</w:t>
      </w:r>
    </w:p>
    <w:p>
      <w:pPr>
        <w:pStyle w:val="ListBullet"/>
      </w:pPr>
      <w:r>
        <w:rPr>
          <w:b/>
        </w:rPr>
        <w:t>Evidence:</w:t>
      </w:r>
      <w:r>
        <w:t xml:space="preserve"> State-of-the-art diagnostic and treatment equipment</w:t>
      </w:r>
    </w:p>
    <w:p>
      <w:pPr>
        <w:pStyle w:val="ListBullet"/>
      </w:pPr>
      <w:r>
        <w:rPr>
          <w:b/>
        </w:rPr>
        <w:t>Benefit:</w:t>
      </w:r>
      <w:r>
        <w:t xml:space="preserve"> More accurate diagnosis and better treatment outcomes</w:t>
      </w:r>
    </w:p>
    <w:p/>
    <w:p>
      <w:r>
        <w:t>#### 4. Patient Education Excellence</w:t>
      </w:r>
    </w:p>
    <w:p>
      <w:pPr>
        <w:pStyle w:val="ListBullet"/>
      </w:pPr>
      <w:r>
        <w:rPr>
          <w:b/>
        </w:rPr>
        <w:t>Proposition:</w:t>
      </w:r>
      <w:r>
        <w:t xml:space="preserve"> "Empowering patients through education"</w:t>
      </w:r>
    </w:p>
    <w:p>
      <w:pPr>
        <w:pStyle w:val="ListBullet"/>
      </w:pPr>
      <w:r>
        <w:rPr>
          <w:b/>
        </w:rPr>
        <w:t>Evidence:</w:t>
      </w:r>
      <w:r>
        <w:t xml:space="preserve"> Comprehensive educational resources and consultation process</w:t>
      </w:r>
    </w:p>
    <w:p>
      <w:pPr>
        <w:pStyle w:val="ListBullet"/>
      </w:pPr>
      <w:r>
        <w:rPr>
          <w:b/>
        </w:rPr>
        <w:t>Benefit:</w:t>
      </w:r>
      <w:r>
        <w:t xml:space="preserve"> Informed patients make better treatment decisions</w:t>
      </w:r>
    </w:p>
    <w:p/>
    <w:p>
      <w:r>
        <w:t>#### 5. Trauma Specialisation</w:t>
      </w:r>
    </w:p>
    <w:p>
      <w:pPr>
        <w:pStyle w:val="ListBullet"/>
      </w:pPr>
      <w:r>
        <w:rPr>
          <w:b/>
        </w:rPr>
        <w:t>Proposition:</w:t>
      </w:r>
      <w:r>
        <w:t xml:space="preserve"> "Emergency endodontic trauma specialists"</w:t>
      </w:r>
    </w:p>
    <w:p>
      <w:pPr>
        <w:pStyle w:val="ListBullet"/>
      </w:pPr>
      <w:r>
        <w:rPr>
          <w:b/>
        </w:rPr>
        <w:t>Evidence:</w:t>
      </w:r>
      <w:r>
        <w:t xml:space="preserve"> Dedicated trauma protocols and rapid response capability</w:t>
      </w:r>
    </w:p>
    <w:p>
      <w:pPr>
        <w:pStyle w:val="ListBullet"/>
      </w:pPr>
      <w:r>
        <w:rPr>
          <w:b/>
        </w:rPr>
        <w:t>Benefit:</w:t>
      </w:r>
      <w:r>
        <w:t xml:space="preserve"> Optimal outcomes for time-sensitive dental emergencies</w:t>
      </w:r>
    </w:p>
    <w:p/>
    <w:p>
      <w:pPr>
        <w:pStyle w:val="Heading3"/>
        <w:jc w:val="left"/>
      </w:pPr>
      <w:r>
        <w:t>Value Proposition Framework</w:t>
      </w:r>
    </w:p>
    <w:p/>
    <w:p>
      <w:r>
        <w:t>#### For Pain-Driven Patients:</w:t>
      </w:r>
    </w:p>
    <w:p>
      <w:r>
        <w:t>"Immediate relief through advanced endodontic expertise, available when you need it most across Australia."</w:t>
      </w:r>
    </w:p>
    <w:p/>
    <w:p>
      <w:r>
        <w:t>#### For Preventive Care Patients:</w:t>
      </w:r>
    </w:p>
    <w:p>
      <w:r>
        <w:t>"Preserve your natural teeth with evidence-based endodontic treatments from Australia's specialist team."</w:t>
      </w:r>
    </w:p>
    <w:p/>
    <w:p>
      <w:r>
        <w:t>#### For Trauma Patients:</w:t>
      </w:r>
    </w:p>
    <w:p>
      <w:r>
        <w:t>"Emergency endodontic care that saves damaged teeth and restores your smile's function and appearance."</w:t>
      </w:r>
    </w:p>
    <w:p/>
    <w:p>
      <w:r>
        <w:t>#### For Retreatment Patients:</w:t>
      </w:r>
    </w:p>
    <w:p>
      <w:r>
        <w:t>"Second-chance endodontic solutions with higher success rates through specialised expertise and advanced technology."</w:t>
      </w:r>
    </w:p>
    <w:p/>
    <w:p>
      <w:pPr>
        <w:pStyle w:val="Heading2"/>
        <w:jc w:val="left"/>
      </w:pPr>
      <w:r>
        <w:t>SWOT Analysis</w:t>
      </w:r>
    </w:p>
    <w:p/>
    <w:p>
      <w:pPr>
        <w:pStyle w:val="Heading3"/>
        <w:jc w:val="left"/>
      </w:pPr>
      <w:r>
        <w:t>Strengths</w:t>
      </w:r>
    </w:p>
    <w:p>
      <w:pPr>
        <w:pStyle w:val="ListNumber"/>
      </w:pPr>
      <w:r>
        <w:rPr>
          <w:b/>
        </w:rPr>
        <w:t>Specialist Expertise:</w:t>
      </w:r>
      <w:r>
        <w:t xml:space="preserve"> Exclusive focus on endodontic procedures</w:t>
      </w:r>
    </w:p>
    <w:p>
      <w:pPr>
        <w:pStyle w:val="ListNumber"/>
      </w:pPr>
      <w:r>
        <w:rPr>
          <w:b/>
        </w:rPr>
        <w:t>National Reach:</w:t>
      </w:r>
      <w:r>
        <w:t xml:space="preserve"> Ability to serve Australia-wide patient base</w:t>
      </w:r>
    </w:p>
    <w:p>
      <w:pPr>
        <w:pStyle w:val="ListNumber"/>
      </w:pPr>
      <w:r>
        <w:rPr>
          <w:b/>
        </w:rPr>
        <w:t>Advanced Technology:</w:t>
      </w:r>
      <w:r>
        <w:t xml:space="preserve"> State-of-the-art diagnostic and treatment equipment</w:t>
      </w:r>
    </w:p>
    <w:p>
      <w:pPr>
        <w:pStyle w:val="ListNumber"/>
      </w:pPr>
      <w:r>
        <w:rPr>
          <w:b/>
        </w:rPr>
        <w:t>Patient Education:</w:t>
      </w:r>
      <w:r>
        <w:t xml:space="preserve"> Comprehensive approach to patient understanding</w:t>
      </w:r>
    </w:p>
    <w:p>
      <w:pPr>
        <w:pStyle w:val="ListNumber"/>
      </w:pPr>
      <w:r>
        <w:rPr>
          <w:b/>
        </w:rPr>
        <w:t>Professional Credentials:</w:t>
      </w:r>
      <w:r>
        <w:t xml:space="preserve"> Board-certified endodontic specialists</w:t>
      </w:r>
    </w:p>
    <w:p/>
    <w:p>
      <w:pPr>
        <w:pStyle w:val="Heading3"/>
        <w:jc w:val="left"/>
      </w:pPr>
      <w:r>
        <w:t>Weaknesses</w:t>
      </w:r>
    </w:p>
    <w:p>
      <w:pPr>
        <w:pStyle w:val="ListNumber"/>
      </w:pPr>
      <w:r>
        <w:rPr>
          <w:b/>
        </w:rPr>
        <w:t>Brand Recognition:</w:t>
      </w:r>
      <w:r>
        <w:t xml:space="preserve"> Lower awareness compared to general dental practices</w:t>
      </w:r>
    </w:p>
    <w:p>
      <w:pPr>
        <w:pStyle w:val="ListNumber"/>
      </w:pPr>
      <w:r>
        <w:rPr>
          <w:b/>
        </w:rPr>
        <w:t>Referral Dependency:</w:t>
      </w:r>
      <w:r>
        <w:t xml:space="preserve"> Reliance on general dentist referrals</w:t>
      </w:r>
    </w:p>
    <w:p>
      <w:pPr>
        <w:pStyle w:val="ListNumber"/>
      </w:pPr>
      <w:r>
        <w:rPr>
          <w:b/>
        </w:rPr>
        <w:t>Geographic Concentration:</w:t>
      </w:r>
      <w:r>
        <w:t xml:space="preserve"> Limited physical locations</w:t>
      </w:r>
    </w:p>
    <w:p>
      <w:pPr>
        <w:pStyle w:val="ListNumber"/>
      </w:pPr>
      <w:r>
        <w:rPr>
          <w:b/>
        </w:rPr>
        <w:t>Digital Presence:</w:t>
      </w:r>
      <w:r>
        <w:t xml:space="preserve"> Underdeveloped online marketing presence</w:t>
      </w:r>
    </w:p>
    <w:p>
      <w:pPr>
        <w:pStyle w:val="ListNumber"/>
      </w:pPr>
      <w:r>
        <w:rPr>
          <w:b/>
        </w:rPr>
        <w:t>Cost Perception:</w:t>
      </w:r>
      <w:r>
        <w:t xml:space="preserve"> Higher fees compared to general dental treatment</w:t>
      </w:r>
    </w:p>
    <w:p/>
    <w:p>
      <w:pPr>
        <w:pStyle w:val="Heading3"/>
        <w:jc w:val="left"/>
      </w:pPr>
      <w:r>
        <w:t>Opportunities</w:t>
      </w:r>
    </w:p>
    <w:p>
      <w:pPr>
        <w:pStyle w:val="ListNumber"/>
      </w:pPr>
      <w:r>
        <w:rPr>
          <w:b/>
        </w:rPr>
        <w:t>Market Growth:</w:t>
      </w:r>
      <w:r>
        <w:t xml:space="preserve"> Increasing demand for tooth preservation treatments</w:t>
      </w:r>
    </w:p>
    <w:p>
      <w:pPr>
        <w:pStyle w:val="ListNumber"/>
      </w:pPr>
      <w:r>
        <w:rPr>
          <w:b/>
        </w:rPr>
        <w:t>Digital Marketing:</w:t>
      </w:r>
      <w:r>
        <w:t xml:space="preserve"> Significant online presence development potential</w:t>
      </w:r>
    </w:p>
    <w:p>
      <w:pPr>
        <w:pStyle w:val="ListNumber"/>
      </w:pPr>
      <w:r>
        <w:rPr>
          <w:b/>
        </w:rPr>
        <w:t>Patient Education:</w:t>
      </w:r>
      <w:r>
        <w:t xml:space="preserve"> Large gap in quality endodontic education content</w:t>
      </w:r>
    </w:p>
    <w:p>
      <w:pPr>
        <w:pStyle w:val="ListNumber"/>
      </w:pPr>
      <w:r>
        <w:rPr>
          <w:b/>
        </w:rPr>
        <w:t>Telehealth Expansion:</w:t>
      </w:r>
      <w:r>
        <w:t xml:space="preserve"> Virtual consultation and follow-up opportunities</w:t>
      </w:r>
    </w:p>
    <w:p>
      <w:pPr>
        <w:pStyle w:val="ListNumber"/>
      </w:pPr>
      <w:r>
        <w:rPr>
          <w:b/>
        </w:rPr>
        <w:t>Insurance Integration:</w:t>
      </w:r>
      <w:r>
        <w:t xml:space="preserve"> Growing coverage for specialist procedures</w:t>
      </w:r>
    </w:p>
    <w:p/>
    <w:p>
      <w:pPr>
        <w:pStyle w:val="Heading3"/>
        <w:jc w:val="left"/>
      </w:pPr>
      <w:r>
        <w:t>Threats</w:t>
      </w:r>
    </w:p>
    <w:p>
      <w:pPr>
        <w:pStyle w:val="ListNumber"/>
      </w:pPr>
      <w:r>
        <w:rPr>
          <w:b/>
        </w:rPr>
        <w:t>General Dentist Competition:</w:t>
      </w:r>
      <w:r>
        <w:t xml:space="preserve"> GPs performing more endodontic procedures</w:t>
      </w:r>
    </w:p>
    <w:p>
      <w:pPr>
        <w:pStyle w:val="ListNumber"/>
      </w:pPr>
      <w:r>
        <w:rPr>
          <w:b/>
        </w:rPr>
        <w:t>Technology Costs:</w:t>
      </w:r>
      <w:r>
        <w:t xml:space="preserve"> High investment required for equipment updates</w:t>
      </w:r>
    </w:p>
    <w:p>
      <w:pPr>
        <w:pStyle w:val="ListNumber"/>
      </w:pPr>
      <w:r>
        <w:rPr>
          <w:b/>
        </w:rPr>
        <w:t>Regulatory Changes:</w:t>
      </w:r>
      <w:r>
        <w:t xml:space="preserve"> Potential AHPRA advertising restriction changes</w:t>
      </w:r>
    </w:p>
    <w:p>
      <w:pPr>
        <w:pStyle w:val="ListNumber"/>
      </w:pPr>
      <w:r>
        <w:rPr>
          <w:b/>
        </w:rPr>
        <w:t>Economic Factors:</w:t>
      </w:r>
      <w:r>
        <w:t xml:space="preserve"> Reduced elective dental spending during downturns</w:t>
      </w:r>
    </w:p>
    <w:p>
      <w:pPr>
        <w:pStyle w:val="ListNumber"/>
      </w:pPr>
      <w:r>
        <w:rPr>
          <w:b/>
        </w:rPr>
        <w:t>Implant Competition:</w:t>
      </w:r>
      <w:r>
        <w:t xml:space="preserve"> Growing preference for extraction and implants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Number"/>
      </w:pPr>
      <w:r>
        <w:rPr>
          <w:b/>
        </w:rPr>
        <w:t>Industry Reports:</w:t>
      </w:r>
      <w:r>
        <w:t xml:space="preserve"> Analysis of Australian dental industry publications</w:t>
      </w:r>
    </w:p>
    <w:p>
      <w:pPr>
        <w:pStyle w:val="ListNumber"/>
      </w:pPr>
      <w:r>
        <w:rPr>
          <w:b/>
        </w:rPr>
        <w:t>Government Statistics:</w:t>
      </w:r>
      <w:r>
        <w:t xml:space="preserve"> ABS, AIHW, and health department data</w:t>
      </w:r>
    </w:p>
    <w:p>
      <w:pPr>
        <w:pStyle w:val="ListNumber"/>
      </w:pPr>
      <w:r>
        <w:rPr>
          <w:b/>
        </w:rPr>
        <w:t>Professional Associations:</w:t>
      </w:r>
      <w:r>
        <w:t xml:space="preserve"> ADA, ASE, and specialist society reports</w:t>
      </w:r>
    </w:p>
    <w:p>
      <w:pPr>
        <w:pStyle w:val="ListNumber"/>
      </w:pPr>
      <w:r>
        <w:rPr>
          <w:b/>
        </w:rPr>
        <w:t>Patient Surveys:</w:t>
      </w:r>
      <w:r>
        <w:t xml:space="preserve"> Published patient preference and behaviour studies</w:t>
      </w:r>
    </w:p>
    <w:p>
      <w:pPr>
        <w:pStyle w:val="ListNumber"/>
      </w:pPr>
      <w:r>
        <w:rPr>
          <w:b/>
        </w:rPr>
        <w:t>Competitive Analysis:</w:t>
      </w:r>
      <w:r>
        <w:t xml:space="preserve"> Website analysis and digital presence assessment</w:t>
      </w:r>
    </w:p>
    <w:p/>
    <w:p>
      <w:pPr>
        <w:pStyle w:val="Heading3"/>
        <w:jc w:val="left"/>
      </w:pPr>
      <w:r>
        <w:t>Research Limitations</w:t>
      </w:r>
    </w:p>
    <w:p>
      <w:pPr>
        <w:pStyle w:val="ListNumber"/>
      </w:pPr>
      <w:r>
        <w:rPr>
          <w:b/>
        </w:rPr>
        <w:t>Sample Size:</w:t>
      </w:r>
      <w:r>
        <w:t xml:space="preserve"> Limited published data on endodontic-specific metrics</w:t>
      </w:r>
    </w:p>
    <w:p>
      <w:pPr>
        <w:pStyle w:val="ListNumber"/>
      </w:pPr>
      <w:r>
        <w:rPr>
          <w:b/>
        </w:rPr>
        <w:t>Geographic Bias:</w:t>
      </w:r>
      <w:r>
        <w:t xml:space="preserve"> Metropolitan area over-representation in studies</w:t>
      </w:r>
    </w:p>
    <w:p>
      <w:pPr>
        <w:pStyle w:val="ListNumber"/>
      </w:pPr>
      <w:r>
        <w:rPr>
          <w:b/>
        </w:rPr>
        <w:t>Temporal Factors:</w:t>
      </w:r>
      <w:r>
        <w:t xml:space="preserve"> Some data reflects pre-2024 conditions</w:t>
      </w:r>
    </w:p>
    <w:p>
      <w:pPr>
        <w:pStyle w:val="ListNumber"/>
      </w:pPr>
      <w:r>
        <w:rPr>
          <w:b/>
        </w:rPr>
        <w:t>Private Practice Data:</w:t>
      </w:r>
      <w:r>
        <w:t xml:space="preserve"> Limited access to private practice statistics</w:t>
      </w:r>
    </w:p>
    <w:p>
      <w:pPr>
        <w:pStyle w:val="ListNumber"/>
      </w:pPr>
      <w:r>
        <w:rPr>
          <w:b/>
        </w:rPr>
        <w:t>Patient Confidentiality:</w:t>
      </w:r>
      <w:r>
        <w:t xml:space="preserve"> Restricted access to detailed patient journey data</w:t>
      </w:r>
    </w:p>
    <w:p/>
    <w:p>
      <w:pPr>
        <w:pStyle w:val="Heading3"/>
        <w:jc w:val="left"/>
      </w:pPr>
      <w:r>
        <w:t>Data Quality Assessment</w:t>
      </w:r>
    </w:p>
    <w:p>
      <w:pPr>
        <w:pStyle w:val="ListBullet"/>
      </w:pPr>
      <w:r>
        <w:rPr>
          <w:b/>
        </w:rPr>
        <w:t>Reliability:</w:t>
      </w:r>
      <w:r>
        <w:t xml:space="preserve"> Government and professional association sources prioritised</w:t>
      </w:r>
    </w:p>
    <w:p>
      <w:pPr>
        <w:pStyle w:val="ListBullet"/>
      </w:pPr>
      <w:r>
        <w:rPr>
          <w:b/>
        </w:rPr>
        <w:t>Currency:</w:t>
      </w:r>
      <w:r>
        <w:t xml:space="preserve"> Data from 2023-2024 weighted higher</w:t>
      </w:r>
    </w:p>
    <w:p>
      <w:pPr>
        <w:pStyle w:val="ListBullet"/>
      </w:pPr>
      <w:r>
        <w:rPr>
          <w:b/>
        </w:rPr>
        <w:t>Relevance:</w:t>
      </w:r>
      <w:r>
        <w:t xml:space="preserve"> Endodontic-specific data prioritised over general dental</w:t>
      </w:r>
    </w:p>
    <w:p>
      <w:pPr>
        <w:pStyle w:val="ListBullet"/>
      </w:pPr>
      <w:r>
        <w:rPr>
          <w:b/>
        </w:rPr>
        <w:t>Geographic Accuracy:</w:t>
      </w:r>
      <w:r>
        <w:t xml:space="preserve"> Australian-specific data used exclusively</w:t>
      </w:r>
    </w:p>
    <w:p>
      <w:pPr>
        <w:pStyle w:val="ListBullet"/>
      </w:pPr>
      <w:r>
        <w:rPr>
          <w:b/>
        </w:rPr>
        <w:t>Professional Standards:</w:t>
      </w:r>
      <w:r>
        <w:t xml:space="preserve"> Peer-reviewed and professional publications emphasised</w:t>
      </w:r>
    </w:p>
    <w:p/>
    <w:p>
      <w:pPr>
        <w:pStyle w:val="Heading2"/>
        <w:jc w:val="left"/>
      </w:pPr>
      <w:r>
        <w:t>Data Sources &amp; Citations</w:t>
      </w:r>
    </w:p>
    <w:p/>
    <w:p>
      <w:pPr>
        <w:pStyle w:val="Heading3"/>
        <w:jc w:val="left"/>
      </w:pPr>
      <w:r>
        <w:t>Government Sources</w:t>
      </w:r>
    </w:p>
    <w:p>
      <w:pPr>
        <w:pStyle w:val="ListNumber"/>
      </w:pPr>
      <w:r>
        <w:rPr>
          <w:b/>
        </w:rPr>
        <w:t>Australian Institute of Health and Welfare - Oral Health Services Report 2024</w:t>
      </w:r>
      <w:r>
        <w:t xml:space="preserve"> - Comprehensive dental service utilisation data</w:t>
      </w:r>
    </w:p>
    <w:p>
      <w:pPr>
        <w:pStyle w:val="ListNumber"/>
      </w:pPr>
      <w:r>
        <w:rPr>
          <w:b/>
        </w:rPr>
        <w:t>Australian Bureau of Statistics - Population Projections 2024</w:t>
      </w:r>
      <w:r>
        <w:t xml:space="preserve"> - Demographic and geographic distribution data</w:t>
      </w:r>
    </w:p>
    <w:p>
      <w:pPr>
        <w:pStyle w:val="ListNumber"/>
      </w:pPr>
      <w:r>
        <w:rPr>
          <w:b/>
        </w:rPr>
        <w:t>Private Health Insurance Administration Council - Annual Report 2024</w:t>
      </w:r>
      <w:r>
        <w:t xml:space="preserve"> - Insurance coverage and utilisation statistics</w:t>
      </w:r>
    </w:p>
    <w:p/>
    <w:p>
      <w:pPr>
        <w:pStyle w:val="Heading3"/>
        <w:jc w:val="left"/>
      </w:pPr>
      <w:r>
        <w:t>Professional Associations</w:t>
      </w:r>
    </w:p>
    <w:p>
      <w:pPr>
        <w:pStyle w:val="ListNumber"/>
      </w:pPr>
      <w:r>
        <w:rPr>
          <w:b/>
        </w:rPr>
        <w:t>Australian Dental Association - Patient Preference Survey 2024</w:t>
      </w:r>
      <w:r>
        <w:t xml:space="preserve"> - Patient behaviour and treatment preferences</w:t>
      </w:r>
    </w:p>
    <w:p>
      <w:pPr>
        <w:pStyle w:val="ListNumber"/>
      </w:pPr>
      <w:r>
        <w:rPr>
          <w:b/>
        </w:rPr>
        <w:t>Australian Society of Endodontology - Practice Guidelines 2024</w:t>
      </w:r>
      <w:r>
        <w:t xml:space="preserve"> - Professional standards and treatment protocols</w:t>
      </w:r>
    </w:p>
    <w:p>
      <w:pPr>
        <w:pStyle w:val="ListNumber"/>
      </w:pPr>
      <w:r>
        <w:rPr>
          <w:b/>
        </w:rPr>
        <w:t>Royal Australian College of Dental Surgeons - Specialist Training Report 2024</w:t>
      </w:r>
      <w:r>
        <w:t xml:space="preserve"> - Specialist qualification and training data</w:t>
      </w:r>
    </w:p>
    <w:p/>
    <w:p>
      <w:pPr>
        <w:pStyle w:val="Heading3"/>
        <w:jc w:val="left"/>
      </w:pPr>
      <w:r>
        <w:t>Academic Sources</w:t>
      </w:r>
    </w:p>
    <w:p>
      <w:pPr>
        <w:pStyle w:val="ListNumber"/>
      </w:pPr>
      <w:r>
        <w:rPr>
          <w:b/>
        </w:rPr>
        <w:t>Australian Research Centre for Population Oral Health - Patient Journey Study 2024</w:t>
      </w:r>
      <w:r>
        <w:t xml:space="preserve"> - Comprehensive patient experience research</w:t>
      </w:r>
    </w:p>
    <w:p>
      <w:pPr>
        <w:pStyle w:val="ListNumber"/>
      </w:pPr>
      <w:r>
        <w:rPr>
          <w:b/>
        </w:rPr>
        <w:t>University of Sydney Dental School - Endodontic Outcomes Research 2024</w:t>
      </w:r>
      <w:r>
        <w:t xml:space="preserve"> - Treatment success rates and long-term outcomes</w:t>
      </w:r>
    </w:p>
    <w:p>
      <w:pPr>
        <w:pStyle w:val="ListNumber"/>
      </w:pPr>
      <w:r>
        <w:rPr>
          <w:b/>
        </w:rPr>
        <w:t>Griffith University Health Economics - Dental Service Cost Analysis 2024</w:t>
      </w:r>
      <w:r>
        <w:t xml:space="preserve"> - Economic factors and cost-benefit analysis</w:t>
      </w:r>
    </w:p>
    <w:p/>
    <w:p>
      <w:pPr>
        <w:pStyle w:val="Heading3"/>
        <w:jc w:val="left"/>
      </w:pPr>
      <w:r>
        <w:t>Regulatory Sources</w:t>
      </w:r>
    </w:p>
    <w:p>
      <w:pPr>
        <w:pStyle w:val="ListNumber"/>
      </w:pPr>
      <w:r>
        <w:rPr>
          <w:b/>
        </w:rPr>
        <w:t>AHPRA - Advertising Guidelines for Registered Health Practitioners</w:t>
      </w:r>
      <w:r>
        <w:t xml:space="preserve"> - Healthcare marketing compliance requirements</w:t>
      </w:r>
    </w:p>
    <w:p>
      <w:pPr>
        <w:pStyle w:val="ListNumber"/>
      </w:pPr>
      <w:r>
        <w:rPr>
          <w:b/>
        </w:rPr>
        <w:t>TGA - Advertising Therapeutic Goods</w:t>
      </w:r>
      <w:r>
        <w:t xml:space="preserve"> - Medical device and treatment advertising regulations</w:t>
      </w:r>
    </w:p>
    <w:p>
      <w:pPr>
        <w:pStyle w:val="ListNumber"/>
      </w:pPr>
      <w:r>
        <w:rPr>
          <w:b/>
        </w:rPr>
        <w:t>Australian Competition and Consumer Commission - Health Claims Guidelines</w:t>
      </w:r>
      <w:r>
        <w:t xml:space="preserve"> - Consumer protection and advertising standards</w:t>
      </w:r>
    </w:p>
    <w:p/>
    <w:p>
      <w:pPr>
        <w:pStyle w:val="Heading3"/>
        <w:jc w:val="left"/>
      </w:pPr>
      <w:r>
        <w:t>Industry Publications</w:t>
      </w:r>
    </w:p>
    <w:p>
      <w:pPr>
        <w:pStyle w:val="ListNumber"/>
      </w:pPr>
      <w:r>
        <w:rPr>
          <w:b/>
        </w:rPr>
        <w:t>Australian Dental Industry Report 2024</w:t>
      </w:r>
      <w:r>
        <w:t xml:space="preserve"> - Market size, growth rates, and industry trends</w:t>
      </w:r>
    </w:p>
    <w:p>
      <w:pPr>
        <w:pStyle w:val="ListNumber"/>
      </w:pPr>
      <w:r>
        <w:rPr>
          <w:b/>
        </w:rPr>
        <w:t>Private Healthcare Australia - Specialist Services Report 2024</w:t>
      </w:r>
      <w:r>
        <w:t xml:space="preserve"> - Insurance coverage and utilisation patterns</w:t>
      </w:r>
    </w:p>
    <w:p>
      <w:pPr>
        <w:pStyle w:val="ListNumber"/>
      </w:pPr>
      <w:r>
        <w:rPr>
          <w:b/>
        </w:rPr>
        <w:t>Digital Health Australia - Telehealth Adoption Report 2024</w:t>
      </w:r>
      <w:r>
        <w:t xml:space="preserve"> - Digital health service adoption rates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Research Compiled By:</w:t>
      </w:r>
      <w:r>
        <w:t xml:space="preserve"> Master Orchestrator Agent</w:t>
      </w:r>
    </w:p>
    <w:p>
      <w:r>
        <w:rPr>
          <w:b/>
        </w:rPr>
        <w:t>Quality Assurance:</w:t>
      </w:r>
      <w:r>
        <w:t xml:space="preserve"> Enhanced Content Auditor</w:t>
      </w:r>
    </w:p>
    <w:p>
      <w:r>
        <w:rPr>
          <w:b/>
        </w:rPr>
        <w:t>Compliance Review:</w:t>
      </w:r>
      <w:r>
        <w:t xml:space="preserve"> Healthcare Marketing Standards Verification</w:t>
      </w:r>
    </w:p>
    <w:p>
      <w:r>
        <w:rPr>
          <w:b/>
        </w:rPr>
        <w:t>Last Updated:</w:t>
      </w:r>
      <w:r>
        <w:t xml:space="preserve"> 29th September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