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Research Brief</w:t>
      </w:r>
    </w:p>
    <w:p>
      <w:pPr>
        <w:pStyle w:val="Heading2"/>
        <w:jc w:val="left"/>
      </w:pPr>
      <w:r>
        <w:t>Phase 1: Foundation Research &amp; Strategic Analysis</w:t>
      </w:r>
    </w:p>
    <w:p/>
    <w:p>
      <w:r>
        <w:rPr>
          <w:b/>
        </w:rPr>
        <w:t>Project Domain:</w:t>
      </w:r>
      <w:r>
        <w:t xml:space="preserve"> centreforgastrointestinalhealth.com.au</w:t>
      </w:r>
    </w:p>
    <w:p>
      <w:r>
        <w:rPr>
          <w:b/>
        </w:rPr>
        <w:t>Research Date:</w:t>
      </w:r>
      <w:r>
        <w:t xml:space="preserve"> 25 September 2025</w:t>
      </w:r>
    </w:p>
    <w:p>
      <w:r>
        <w:rPr>
          <w:b/>
        </w:rPr>
        <w:t>Analysis Type:</w:t>
      </w:r>
      <w:r>
        <w:t xml:space="preserve"> Comprehensive Healthcare Market Intelligence</w:t>
      </w:r>
    </w:p>
    <w:p>
      <w:r>
        <w:rPr>
          <w:b/>
        </w:rPr>
        <w:t>Compliance Standards:</w:t>
      </w:r>
      <w:r>
        <w:t xml:space="preserve"> Australian Health Practitioner Regulation Agency (AHPRA), Therapeutic Goods Administration (TGA)</w:t>
      </w:r>
    </w:p>
    <w:p/>
    <w:p/>
    <w:p>
      <w:pPr>
        <w:jc w:val="center"/>
      </w:pPr>
      <w:r>
        <w:t>__________________________________________________</w:t>
      </w:r>
    </w:p>
    <w:p/>
    <w:p/>
    <w:p>
      <w:pPr>
        <w:pStyle w:val="Heading2"/>
        <w:jc w:val="left"/>
      </w:pPr>
      <w:r>
        <w:t>Table of Contents</w:t>
      </w:r>
    </w:p>
    <w:p>
      <w:pPr>
        <w:pStyle w:val="ListNumber"/>
      </w:pPr>
      <w:r>
        <w:t>[Executive Summary](#executive-summary)</w:t>
      </w:r>
    </w:p>
    <w:p>
      <w:pPr>
        <w:pStyle w:val="ListNumber"/>
      </w:pPr>
      <w:r>
        <w:t>[SOP Compliance &amp; Brand Standards Analysis](#sop-compliance--brand-standards-analysis)</w:t>
      </w:r>
    </w:p>
    <w:p>
      <w:pPr>
        <w:pStyle w:val="ListNumber"/>
      </w:pPr>
      <w:r>
        <w:t>[Organisation Profile &amp; Services Analysis](#organisation-profile--services-analysis)</w:t>
      </w:r>
    </w:p>
    <w:p>
      <w:pPr>
        <w:pStyle w:val="ListNumber"/>
      </w:pPr>
      <w:r>
        <w:t>[Market Research &amp; Healthcare Consumer Behaviour](#market-research--healthcare-consumer-behaviour)</w:t>
      </w:r>
    </w:p>
    <w:p>
      <w:pPr>
        <w:pStyle w:val="ListNumber"/>
      </w:pPr>
      <w:r>
        <w:t>[Audience Research &amp; Patient Journey Analysis](#audience-research--patient-journey-analysis)</w:t>
      </w:r>
    </w:p>
    <w:p>
      <w:pPr>
        <w:pStyle w:val="ListNumber"/>
      </w:pPr>
      <w:r>
        <w:t>[Strategic Business Analysis](#strategic-business-analysis)</w:t>
      </w:r>
    </w:p>
    <w:p>
      <w:pPr>
        <w:pStyle w:val="ListNumber"/>
      </w:pPr>
      <w:r>
        <w:t>[Competitive Landscape Assessment](#competitive-landscape-assessment)</w:t>
      </w:r>
    </w:p>
    <w:p>
      <w:pPr>
        <w:pStyle w:val="ListNumber"/>
      </w:pPr>
      <w:r>
        <w:t>[Data Sources &amp; Methodology](#data-sources--methodology)</w:t>
      </w:r>
    </w:p>
    <w:p>
      <w:pPr>
        <w:pStyle w:val="ListNumber"/>
      </w:pPr>
      <w:r>
        <w:t>[Key Findings &amp; Strategic Implications](#key-findings--strategic-implications)</w:t>
      </w:r>
    </w:p>
    <w:p/>
    <w:p/>
    <w:p>
      <w:pPr>
        <w:jc w:val="center"/>
      </w:pPr>
      <w:r>
        <w:t>__________________________________________________</w:t>
      </w:r>
    </w:p>
    <w:p/>
    <w:p/>
    <w:p>
      <w:pPr>
        <w:pStyle w:val="Heading2"/>
        <w:jc w:val="left"/>
      </w:pPr>
      <w:r>
        <w:t>Executive Summary</w:t>
      </w:r>
    </w:p>
    <w:p/>
    <w:p>
      <w:r>
        <w:t>The Centre for Gastrointestinal Health operates as Australia's largest network of independent gastroenterology specialists, with a comprehensive presence across Sydney and Regional NSW. This research brief provides foundational analysis for content strategy development, revealing significant opportunities in digital healthcare marketing, patient education, and competitive differentiation within Australia's growing gastroenterology sector.</w:t>
      </w:r>
    </w:p>
    <w:p/>
    <w:p>
      <w:r>
        <w:rPr>
          <w:b/>
        </w:rPr>
        <w:t>Key Strategic Insights:</w:t>
      </w:r>
    </w:p>
    <w:p>
      <w:pPr>
        <w:pStyle w:val="ListBullet"/>
      </w:pPr>
      <w:r>
        <w:t>Market positioned as holistic care provider supporting independent specialists</w:t>
      </w:r>
    </w:p>
    <w:p>
      <w:pPr>
        <w:pStyle w:val="ListBullet"/>
      </w:pPr>
      <w:r>
        <w:t>Strong regional presence with multiple NSW locations providing competitive advantage</w:t>
      </w:r>
    </w:p>
    <w:p>
      <w:pPr>
        <w:pStyle w:val="ListBullet"/>
      </w:pPr>
      <w:r>
        <w:t>Growing gastroenterology market (CAGR 6.04% globally) with increasing demand for minimally invasive procedures</w:t>
      </w:r>
    </w:p>
    <w:p>
      <w:pPr>
        <w:pStyle w:val="ListBullet"/>
      </w:pPr>
      <w:r>
        <w:t>Patient behaviour shifting toward digital-first healthcare experiences with emphasis on convenience and education</w:t>
      </w:r>
    </w:p>
    <w:p/>
    <w:p/>
    <w:p>
      <w:pPr>
        <w:jc w:val="center"/>
      </w:pPr>
      <w:r>
        <w:t>__________________________________________________</w:t>
      </w:r>
    </w:p>
    <w:p/>
    <w:p/>
    <w:p>
      <w:pPr>
        <w:pStyle w:val="Heading2"/>
        <w:jc w:val="left"/>
      </w:pPr>
      <w:r>
        <w:t>SOP Compliance &amp; Brand Standards Analysis</w:t>
      </w:r>
    </w:p>
    <w:p/>
    <w:p>
      <w:pPr>
        <w:pStyle w:val="Heading3"/>
        <w:jc w:val="left"/>
      </w:pPr>
      <w:r>
        <w:t>Australian Healthcare Regulatory Framework</w:t>
      </w:r>
    </w:p>
    <w:p/>
    <w:p>
      <w:r>
        <w:rPr>
          <w:b/>
        </w:rPr>
        <w:t>AHPRA Compliance Requirements:</w:t>
      </w:r>
    </w:p>
    <w:p>
      <w:pPr>
        <w:pStyle w:val="ListBullet"/>
      </w:pPr>
      <w:r>
        <w:t>Medical advertising standards compliance for gastroenterology practices</w:t>
      </w:r>
    </w:p>
    <w:p>
      <w:pPr>
        <w:pStyle w:val="ListBullet"/>
      </w:pPr>
      <w:r>
        <w:t>Professional healthcare communication guidelines adherence</w:t>
      </w:r>
    </w:p>
    <w:p>
      <w:pPr>
        <w:pStyle w:val="ListBullet"/>
      </w:pPr>
      <w:r>
        <w:t>Evidence-based treatment claims verification requirements</w:t>
      </w:r>
    </w:p>
    <w:p>
      <w:pPr>
        <w:pStyle w:val="ListBullet"/>
      </w:pPr>
      <w:r>
        <w:t>Patient testimonial and outcome representation guidelines</w:t>
      </w:r>
    </w:p>
    <w:p/>
    <w:p>
      <w:r>
        <w:rPr>
          <w:b/>
        </w:rPr>
        <w:t>Source:</w:t>
      </w:r>
      <w:r>
        <w:t xml:space="preserve"> [Australian Health Practitioner Regulation Agency - Medical Advertising Guidelines](https://www.medicalboard.gov.au/codes-guidelines-policies/advertising-guidelines.aspx) - Updated 2024</w:t>
      </w:r>
    </w:p>
    <w:p/>
    <w:p>
      <w:r>
        <w:rPr>
          <w:b/>
        </w:rPr>
        <w:t>TGA Advertising Standards:</w:t>
      </w:r>
    </w:p>
    <w:p>
      <w:pPr>
        <w:pStyle w:val="ListBullet"/>
      </w:pPr>
      <w:r>
        <w:t>Therapeutic goods advertising requirements for medical devices and treatments</w:t>
      </w:r>
    </w:p>
    <w:p>
      <w:pPr>
        <w:pStyle w:val="ListBullet"/>
      </w:pPr>
      <w:r>
        <w:t>Healthcare service representation guidelines</w:t>
      </w:r>
    </w:p>
    <w:p>
      <w:pPr>
        <w:pStyle w:val="ListBullet"/>
      </w:pPr>
      <w:r>
        <w:t>Medical procedure advertising compliance requirements</w:t>
      </w:r>
    </w:p>
    <w:p/>
    <w:p>
      <w:r>
        <w:rPr>
          <w:b/>
        </w:rPr>
        <w:t>Source:</w:t>
      </w:r>
      <w:r>
        <w:t xml:space="preserve"> [Therapeutic Goods Administration - Advertising Guidelines](https://www.tga.gov.au/products/advertising-medicines-and-medical-devices) - Updated 2024</w:t>
      </w:r>
    </w:p>
    <w:p/>
    <w:p>
      <w:pPr>
        <w:pStyle w:val="Heading3"/>
        <w:jc w:val="left"/>
      </w:pPr>
      <w:r>
        <w:t>Healthcare Content Standards Assessment</w:t>
      </w:r>
    </w:p>
    <w:p/>
    <w:p>
      <w:r>
        <w:rPr>
          <w:b/>
        </w:rPr>
        <w:t>Medical Content Quality Requirements:</w:t>
      </w:r>
    </w:p>
    <w:p>
      <w:pPr>
        <w:pStyle w:val="ListBullet"/>
      </w:pPr>
      <w:r>
        <w:t>Evidence-based medical information presentation</w:t>
      </w:r>
    </w:p>
    <w:p>
      <w:pPr>
        <w:pStyle w:val="ListBullet"/>
      </w:pPr>
      <w:r>
        <w:t>Professional medical terminology balance with patient accessibility</w:t>
      </w:r>
    </w:p>
    <w:p>
      <w:pPr>
        <w:pStyle w:val="ListBullet"/>
      </w:pPr>
      <w:r>
        <w:t>Cultural sensitivity for diverse patient demographics</w:t>
      </w:r>
    </w:p>
    <w:p>
      <w:pPr>
        <w:pStyle w:val="ListBullet"/>
      </w:pPr>
      <w:r>
        <w:t>Privacy Act compliance for patient information handling</w:t>
      </w:r>
    </w:p>
    <w:p/>
    <w:p>
      <w:r>
        <w:rPr>
          <w:b/>
        </w:rPr>
        <w:t>Recommendation:</w:t>
      </w:r>
      <w:r>
        <w:t xml:space="preserve"> All content must undergo medical professional review for clinical accuracy and AHPRA compliance before publication.</w:t>
      </w:r>
    </w:p>
    <w:p/>
    <w:p/>
    <w:p>
      <w:pPr>
        <w:jc w:val="center"/>
      </w:pPr>
      <w:r>
        <w:t>__________________________________________________</w:t>
      </w:r>
    </w:p>
    <w:p/>
    <w:p/>
    <w:p>
      <w:pPr>
        <w:pStyle w:val="Heading2"/>
        <w:jc w:val="left"/>
      </w:pPr>
      <w:r>
        <w:t>Organisation Profile &amp; Services Analysis</w:t>
      </w:r>
    </w:p>
    <w:p/>
    <w:p>
      <w:pPr>
        <w:pStyle w:val="Heading3"/>
        <w:jc w:val="left"/>
      </w:pPr>
      <w:r>
        <w:t>Centre for Gastrointestinal Health Overview</w:t>
      </w:r>
    </w:p>
    <w:p/>
    <w:p>
      <w:r>
        <w:rPr>
          <w:b/>
        </w:rPr>
        <w:t>Organisational Structure:</w:t>
      </w:r>
    </w:p>
    <w:p>
      <w:pPr>
        <w:pStyle w:val="ListBullet"/>
      </w:pPr>
      <w:r>
        <w:t>Australia's largest network supporting independent gastroenterology specialists</w:t>
      </w:r>
    </w:p>
    <w:p>
      <w:pPr>
        <w:pStyle w:val="ListBullet"/>
      </w:pPr>
      <w:r>
        <w:t>Multi-location presence across Sydney and Regional NSW</w:t>
      </w:r>
    </w:p>
    <w:p>
      <w:pPr>
        <w:pStyle w:val="ListBullet"/>
      </w:pPr>
      <w:r>
        <w:t>Integrated healthcare approach combining gastroenterologists, colorectal surgeons, dieticians, and pathology services</w:t>
      </w:r>
    </w:p>
    <w:p/>
    <w:p>
      <w:r>
        <w:rPr>
          <w:b/>
        </w:rPr>
        <w:t>Core Service Offerings:</w:t>
      </w:r>
    </w:p>
    <w:p>
      <w:pPr>
        <w:pStyle w:val="ListBullet"/>
      </w:pPr>
      <w:r>
        <w:rPr>
          <w:b/>
        </w:rPr>
        <w:t>Diagnostic Procedures:</w:t>
      </w:r>
      <w:r>
        <w:t xml:space="preserve"> Colonoscopy, endoscopy, capsule endoscopy</w:t>
      </w:r>
    </w:p>
    <w:p>
      <w:pPr>
        <w:pStyle w:val="ListBullet"/>
      </w:pPr>
      <w:r>
        <w:rPr>
          <w:b/>
        </w:rPr>
        <w:t>Preventive Care:</w:t>
      </w:r>
      <w:r>
        <w:t xml:space="preserve"> Bowel cancer screening programmes</w:t>
      </w:r>
    </w:p>
    <w:p>
      <w:pPr>
        <w:pStyle w:val="ListBullet"/>
      </w:pPr>
      <w:r>
        <w:rPr>
          <w:b/>
        </w:rPr>
        <w:t>Therapeutic Treatments:</w:t>
      </w:r>
      <w:r>
        <w:t xml:space="preserve"> Oesophageal dilation, liver disease management</w:t>
      </w:r>
    </w:p>
    <w:p>
      <w:pPr>
        <w:pStyle w:val="ListBullet"/>
      </w:pPr>
      <w:r>
        <w:rPr>
          <w:b/>
        </w:rPr>
        <w:t>Chronic Condition Management:</w:t>
      </w:r>
      <w:r>
        <w:t xml:space="preserve"> IBS treatment, reflux disease management</w:t>
      </w:r>
    </w:p>
    <w:p>
      <w:pPr>
        <w:pStyle w:val="ListBullet"/>
      </w:pPr>
      <w:r>
        <w:rPr>
          <w:b/>
        </w:rPr>
        <w:t>Holistic Support Services:</w:t>
      </w:r>
      <w:r>
        <w:t xml:space="preserve"> Dietetic consultation, nutritional guidance</w:t>
      </w:r>
    </w:p>
    <w:p/>
    <w:p>
      <w:r>
        <w:rPr>
          <w:b/>
        </w:rPr>
        <w:t>Source:</w:t>
      </w:r>
      <w:r>
        <w:t xml:space="preserve"> [Centre for Gastrointestinal Health - Official Website](https://centreforgastrointestinalhealth.com.au) - Accessed 25 September 2025</w:t>
      </w:r>
    </w:p>
    <w:p/>
    <w:p>
      <w:pPr>
        <w:pStyle w:val="Heading3"/>
        <w:jc w:val="left"/>
      </w:pPr>
      <w:r>
        <w:t>Geographic Coverage &amp; Accessibility</w:t>
      </w:r>
    </w:p>
    <w:p/>
    <w:p>
      <w:r>
        <w:rPr>
          <w:b/>
        </w:rPr>
        <w:t>Locations Confirmed:</w:t>
      </w:r>
    </w:p>
    <w:p>
      <w:pPr>
        <w:pStyle w:val="ListBullet"/>
      </w:pPr>
      <w:r>
        <w:rPr>
          <w:b/>
        </w:rPr>
        <w:t>Metropolitan Sydney:</w:t>
      </w:r>
      <w:r>
        <w:t xml:space="preserve"> Bella Vista, Castle Hill, Ashfield, Blaxland</w:t>
      </w:r>
    </w:p>
    <w:p>
      <w:pPr>
        <w:pStyle w:val="ListBullet"/>
      </w:pPr>
      <w:r>
        <w:rPr>
          <w:b/>
        </w:rPr>
        <w:t>Regional NSW:</w:t>
      </w:r>
      <w:r>
        <w:t xml:space="preserve"> Armidale, Bowral, Ulladulla</w:t>
      </w:r>
    </w:p>
    <w:p>
      <w:pPr>
        <w:pStyle w:val="ListBullet"/>
      </w:pPr>
      <w:r>
        <w:rPr>
          <w:b/>
        </w:rPr>
        <w:t>Emerging Markets:</w:t>
      </w:r>
      <w:r>
        <w:t xml:space="preserve"> Gregory Hills expansion</w:t>
      </w:r>
    </w:p>
    <w:p/>
    <w:p>
      <w:r>
        <w:rPr>
          <w:b/>
        </w:rPr>
        <w:t>Patient Accessibility Features:</w:t>
      </w:r>
    </w:p>
    <w:p>
      <w:pPr>
        <w:pStyle w:val="ListBullet"/>
      </w:pPr>
      <w:r>
        <w:t>Centralised booking system (1300 580 239)</w:t>
      </w:r>
    </w:p>
    <w:p>
      <w:pPr>
        <w:pStyle w:val="ListBullet"/>
      </w:pPr>
      <w:r>
        <w:t>Multi-location convenience for patient choice</w:t>
      </w:r>
    </w:p>
    <w:p>
      <w:pPr>
        <w:pStyle w:val="ListBullet"/>
      </w:pPr>
      <w:r>
        <w:t>Regional coverage addressing underserved areas</w:t>
      </w:r>
    </w:p>
    <w:p/>
    <w:p>
      <w:pPr>
        <w:pStyle w:val="Heading3"/>
        <w:jc w:val="left"/>
      </w:pPr>
      <w:r>
        <w:t>Unique Value Propositions Identified</w:t>
      </w:r>
    </w:p>
    <w:p/>
    <w:p>
      <w:pPr>
        <w:pStyle w:val="ListNumber"/>
      </w:pPr>
      <w:r>
        <w:rPr>
          <w:b/>
        </w:rPr>
        <w:t>Network Scale Advantage:</w:t>
      </w:r>
      <w:r>
        <w:t xml:space="preserve"> Australia's largest gastroenterology network provides credibility and resource access</w:t>
      </w:r>
    </w:p>
    <w:p>
      <w:pPr>
        <w:pStyle w:val="ListNumber"/>
      </w:pPr>
      <w:r>
        <w:rPr>
          <w:b/>
        </w:rPr>
        <w:t>Independent Specialist Model:</w:t>
      </w:r>
      <w:r>
        <w:t xml:space="preserve"> Supports medical professional autonomy while providing infrastructure</w:t>
      </w:r>
    </w:p>
    <w:p>
      <w:pPr>
        <w:pStyle w:val="ListNumber"/>
      </w:pPr>
      <w:r>
        <w:rPr>
          <w:b/>
        </w:rPr>
        <w:t>Holistic Care Integration:</w:t>
      </w:r>
      <w:r>
        <w:t xml:space="preserve"> Combines medical specialists with dietetic and nutritional support</w:t>
      </w:r>
    </w:p>
    <w:p>
      <w:pPr>
        <w:pStyle w:val="ListNumber"/>
      </w:pPr>
      <w:r>
        <w:rPr>
          <w:b/>
        </w:rPr>
        <w:t>Evidence-Based Medicine Commitment:</w:t>
      </w:r>
      <w:r>
        <w:t xml:space="preserve"> Clinical decision-making based on latest medical research</w:t>
      </w:r>
    </w:p>
    <w:p>
      <w:pPr>
        <w:pStyle w:val="ListNumber"/>
      </w:pPr>
      <w:r>
        <w:rPr>
          <w:b/>
        </w:rPr>
        <w:t>Regional Healthcare Access:</w:t>
      </w:r>
      <w:r>
        <w:t xml:space="preserve"> Serving underserved regional NSW communities</w:t>
      </w:r>
    </w:p>
    <w:p/>
    <w:p/>
    <w:p>
      <w:pPr>
        <w:jc w:val="center"/>
      </w:pPr>
      <w:r>
        <w:t>__________________________________________________</w:t>
      </w:r>
    </w:p>
    <w:p/>
    <w:p/>
    <w:p>
      <w:pPr>
        <w:pStyle w:val="Heading2"/>
        <w:jc w:val="left"/>
      </w:pPr>
      <w:r>
        <w:t>Market Research &amp; Healthcare Consumer Behaviour</w:t>
      </w:r>
    </w:p>
    <w:p/>
    <w:p>
      <w:pPr>
        <w:pStyle w:val="Heading3"/>
        <w:jc w:val="left"/>
      </w:pPr>
      <w:r>
        <w:t>Global Gastroenterology Market Trends</w:t>
      </w:r>
    </w:p>
    <w:p/>
    <w:p>
      <w:r>
        <w:rPr>
          <w:b/>
        </w:rPr>
        <w:t>Market Size &amp; Growth Projections:</w:t>
      </w:r>
    </w:p>
    <w:p>
      <w:pPr>
        <w:pStyle w:val="ListBullet"/>
      </w:pPr>
      <w:r>
        <w:t>Global gastroenterology market: US$38.85 billion (2024) → US$69.68 billion (2034)</w:t>
      </w:r>
    </w:p>
    <w:p>
      <w:pPr>
        <w:pStyle w:val="ListBullet"/>
      </w:pPr>
      <w:r>
        <w:t>Compound Annual Growth Rate (CAGR): 6.04% (2025-2034)</w:t>
      </w:r>
    </w:p>
    <w:p>
      <w:pPr>
        <w:pStyle w:val="ListBullet"/>
      </w:pPr>
      <w:r>
        <w:t>Asia Pacific market: USD$7.46 billion (2023) → USD$14.09 billion (2033)</w:t>
      </w:r>
    </w:p>
    <w:p>
      <w:pPr>
        <w:pStyle w:val="ListBullet"/>
      </w:pPr>
      <w:r>
        <w:t>Regional CAGR: 6.6% (2024-2033)</w:t>
      </w:r>
    </w:p>
    <w:p/>
    <w:p>
      <w:r>
        <w:rPr>
          <w:b/>
        </w:rPr>
        <w:t>Source:</w:t>
      </w:r>
      <w:r>
        <w:t xml:space="preserve"> [Towards Healthcare - Gastroenterology Market Analysis 2024-2034](https://www.towardshealthcare.com/insights/gastroenterology-market-sizing) - September 2024</w:t>
      </w:r>
    </w:p>
    <w:p/>
    <w:p>
      <w:pPr>
        <w:pStyle w:val="Heading3"/>
        <w:jc w:val="left"/>
      </w:pPr>
      <w:r>
        <w:t>Australian Healthcare Market Context</w:t>
      </w:r>
    </w:p>
    <w:p/>
    <w:p>
      <w:r>
        <w:rPr>
          <w:b/>
        </w:rPr>
        <w:t>Healthcare Industry Performance:</w:t>
      </w:r>
    </w:p>
    <w:p>
      <w:pPr>
        <w:pStyle w:val="ListBullet"/>
      </w:pPr>
      <w:r>
        <w:t>Australian healthcare services revenue: AUD$217.3 billion (2025 estimated)</w:t>
      </w:r>
    </w:p>
    <w:p>
      <w:pPr>
        <w:pStyle w:val="ListBullet"/>
      </w:pPr>
      <w:r>
        <w:t>Industry growth rate: 0.5% CAGR over past five years</w:t>
      </w:r>
    </w:p>
    <w:p>
      <w:pPr>
        <w:pStyle w:val="ListBullet"/>
      </w:pPr>
      <w:r>
        <w:t>Key drivers: Ageing population, chronic disease prevalence increase</w:t>
      </w:r>
    </w:p>
    <w:p/>
    <w:p>
      <w:r>
        <w:rPr>
          <w:b/>
        </w:rPr>
        <w:t>Source:</w:t>
      </w:r>
      <w:r>
        <w:t xml:space="preserve"> [IBISWorld - Health Services in Australia Market Research](https://www.ibisworld.com/australia/industry/health-services/1760/) - 2025</w:t>
      </w:r>
    </w:p>
    <w:p/>
    <w:p>
      <w:pPr>
        <w:pStyle w:val="Heading3"/>
        <w:jc w:val="left"/>
      </w:pPr>
      <w:r>
        <w:t>Patient Behaviour &amp; Digital Health Trends</w:t>
      </w:r>
    </w:p>
    <w:p/>
    <w:p>
      <w:r>
        <w:rPr>
          <w:b/>
        </w:rPr>
        <w:t>Digital Healthcare Adoption:</w:t>
      </w:r>
    </w:p>
    <w:p>
      <w:pPr>
        <w:pStyle w:val="ListBullet"/>
      </w:pPr>
      <w:r>
        <w:rPr>
          <w:b/>
        </w:rPr>
        <w:t>95%</w:t>
      </w:r>
      <w:r>
        <w:t xml:space="preserve"> of patients have booked or would book medical appointments online</w:t>
      </w:r>
    </w:p>
    <w:p>
      <w:pPr>
        <w:pStyle w:val="ListBullet"/>
      </w:pPr>
      <w:r>
        <w:rPr>
          <w:b/>
        </w:rPr>
        <w:t>67%</w:t>
      </w:r>
      <w:r>
        <w:t xml:space="preserve"> of patients prefer online booking systems</w:t>
      </w:r>
    </w:p>
    <w:p>
      <w:pPr>
        <w:pStyle w:val="ListBullet"/>
      </w:pPr>
      <w:r>
        <w:rPr>
          <w:b/>
        </w:rPr>
        <w:t>40%</w:t>
      </w:r>
      <w:r>
        <w:t xml:space="preserve"> of online bookings occur outside regular business hours</w:t>
      </w:r>
    </w:p>
    <w:p>
      <w:pPr>
        <w:pStyle w:val="ListBullet"/>
      </w:pPr>
      <w:r>
        <w:rPr>
          <w:b/>
        </w:rPr>
        <w:t>92%</w:t>
      </w:r>
      <w:r>
        <w:t xml:space="preserve"> prefer digital intake forms</w:t>
      </w:r>
    </w:p>
    <w:p>
      <w:pPr>
        <w:pStyle w:val="ListBullet"/>
      </w:pPr>
      <w:r>
        <w:rPr>
          <w:b/>
        </w:rPr>
        <w:t>91%</w:t>
      </w:r>
      <w:r>
        <w:t xml:space="preserve"> expect portal message responses within 24 hours</w:t>
      </w:r>
    </w:p>
    <w:p/>
    <w:p>
      <w:r>
        <w:rPr>
          <w:b/>
        </w:rPr>
        <w:t>Source:</w:t>
      </w:r>
      <w:r>
        <w:t xml:space="preserve"> [Healthcare Digital Marketing Trends 2025 - Multiple Healthcare Marketing Research](https://bigsea.co/ideas/healthcare-digital-marketing/) - 2024</w:t>
      </w:r>
    </w:p>
    <w:p/>
    <w:p>
      <w:r>
        <w:rPr>
          <w:b/>
        </w:rPr>
        <w:t>Healthcare Consumer Preferences:</w:t>
      </w:r>
    </w:p>
    <w:p>
      <w:pPr>
        <w:pStyle w:val="ListBullet"/>
      </w:pPr>
      <w:r>
        <w:rPr>
          <w:b/>
        </w:rPr>
        <w:t>59%</w:t>
      </w:r>
      <w:r>
        <w:t xml:space="preserve"> consider practice location as deciding factor</w:t>
      </w:r>
    </w:p>
    <w:p>
      <w:pPr>
        <w:pStyle w:val="ListBullet"/>
      </w:pPr>
      <w:r>
        <w:rPr>
          <w:b/>
        </w:rPr>
        <w:t>37%</w:t>
      </w:r>
      <w:r>
        <w:t xml:space="preserve"> prefer telephone for medical questions</w:t>
      </w:r>
    </w:p>
    <w:p>
      <w:pPr>
        <w:pStyle w:val="ListBullet"/>
      </w:pPr>
      <w:r>
        <w:rPr>
          <w:b/>
        </w:rPr>
        <w:t>33%</w:t>
      </w:r>
      <w:r>
        <w:t xml:space="preserve"> prefer patient portals for communication</w:t>
      </w:r>
    </w:p>
    <w:p>
      <w:pPr>
        <w:pStyle w:val="ListBullet"/>
      </w:pPr>
      <w:r>
        <w:t>Growing demand for minimally invasive procedures</w:t>
      </w:r>
    </w:p>
    <w:p>
      <w:pPr>
        <w:pStyle w:val="ListBullet"/>
      </w:pPr>
      <w:r>
        <w:t>Increased emphasis on patient education and healthcare transparency</w:t>
      </w:r>
    </w:p>
    <w:p/>
    <w:p>
      <w:pPr>
        <w:pStyle w:val="Heading3"/>
        <w:jc w:val="left"/>
      </w:pPr>
      <w:r>
        <w:t>Technology Integration Trends</w:t>
      </w:r>
    </w:p>
    <w:p/>
    <w:p>
      <w:r>
        <w:rPr>
          <w:b/>
        </w:rPr>
        <w:t>AI and Healthcare Technology:</w:t>
      </w:r>
    </w:p>
    <w:p>
      <w:pPr>
        <w:pStyle w:val="ListBullet"/>
      </w:pPr>
      <w:r>
        <w:t>AI-powered patient engagement systems gaining adoption</w:t>
      </w:r>
    </w:p>
    <w:p>
      <w:pPr>
        <w:pStyle w:val="ListBullet"/>
      </w:pPr>
      <w:r>
        <w:t>Chatbot integration for routine patient enquiries</w:t>
      </w:r>
    </w:p>
    <w:p>
      <w:pPr>
        <w:pStyle w:val="ListBullet"/>
      </w:pPr>
      <w:r>
        <w:t>Advanced endoscopy technology (narrow band imaging, high-definition imaging)</w:t>
      </w:r>
    </w:p>
    <w:p>
      <w:pPr>
        <w:pStyle w:val="ListBullet"/>
      </w:pPr>
      <w:r>
        <w:t>Minimally invasive procedure demand increasing</w:t>
      </w:r>
    </w:p>
    <w:p/>
    <w:p>
      <w:r>
        <w:rPr>
          <w:b/>
        </w:rPr>
        <w:t>Source:</w:t>
      </w:r>
      <w:r>
        <w:t xml:space="preserve"> [Multiple Healthcare Technology Reports](https://www.coherentmarketinsights.com/industry-reports/gastroenterology-market) - 2024</w:t>
      </w:r>
    </w:p>
    <w:p/>
    <w:p/>
    <w:p>
      <w:pPr>
        <w:jc w:val="center"/>
      </w:pPr>
      <w:r>
        <w:t>__________________________________________________</w:t>
      </w:r>
    </w:p>
    <w:p/>
    <w:p/>
    <w:p>
      <w:pPr>
        <w:pStyle w:val="Heading2"/>
        <w:jc w:val="left"/>
      </w:pPr>
      <w:r>
        <w:t>Audience Research &amp; Patient Journey Analysis</w:t>
      </w:r>
    </w:p>
    <w:p/>
    <w:p>
      <w:pPr>
        <w:pStyle w:val="Heading3"/>
        <w:jc w:val="left"/>
      </w:pPr>
      <w:r>
        <w:t>Primary Patient Demographics (Preliminary Analysis)</w:t>
      </w:r>
    </w:p>
    <w:p/>
    <w:p>
      <w:r>
        <w:rPr>
          <w:b/>
        </w:rPr>
        <w:t>Demographic Segments Identified:</w:t>
      </w:r>
    </w:p>
    <w:p/>
    <w:p>
      <w:r>
        <w:t>#### 1. Health-Conscious Professionals (Ages 35-55)</w:t>
      </w:r>
    </w:p>
    <w:p>
      <w:pPr>
        <w:pStyle w:val="ListBullet"/>
      </w:pPr>
      <w:r>
        <w:rPr>
          <w:b/>
        </w:rPr>
        <w:t>Characteristics:</w:t>
      </w:r>
      <w:r>
        <w:t xml:space="preserve"> Career-focused, preventive healthcare advocates, high digital literacy</w:t>
      </w:r>
    </w:p>
    <w:p>
      <w:pPr>
        <w:pStyle w:val="ListBullet"/>
      </w:pPr>
      <w:r>
        <w:rPr>
          <w:b/>
        </w:rPr>
        <w:t>Healthcare Behaviour:</w:t>
      </w:r>
      <w:r>
        <w:t xml:space="preserve"> Proactive screening, research-driven decisions, convenience-focused</w:t>
      </w:r>
    </w:p>
    <w:p>
      <w:pPr>
        <w:pStyle w:val="ListBullet"/>
      </w:pPr>
      <w:r>
        <w:rPr>
          <w:b/>
        </w:rPr>
        <w:t>Communication Preferences:</w:t>
      </w:r>
      <w:r>
        <w:t xml:space="preserve"> Digital channels, evidence-based information, flexible scheduling</w:t>
      </w:r>
    </w:p>
    <w:p/>
    <w:p>
      <w:r>
        <w:t>#### 2. Senior Health Management (Ages 55+)</w:t>
      </w:r>
    </w:p>
    <w:p>
      <w:pPr>
        <w:pStyle w:val="ListBullet"/>
      </w:pPr>
      <w:r>
        <w:rPr>
          <w:b/>
        </w:rPr>
        <w:t>Characteristics:</w:t>
      </w:r>
      <w:r>
        <w:t xml:space="preserve"> Managing chronic conditions, fixed incomes, traditional communication preferences</w:t>
      </w:r>
    </w:p>
    <w:p>
      <w:pPr>
        <w:pStyle w:val="ListBullet"/>
      </w:pPr>
      <w:r>
        <w:rPr>
          <w:b/>
        </w:rPr>
        <w:t>Healthcare Behaviour:</w:t>
      </w:r>
      <w:r>
        <w:t xml:space="preserve"> Symptom-reactive, specialist referrals, relationship-focused care</w:t>
      </w:r>
    </w:p>
    <w:p>
      <w:pPr>
        <w:pStyle w:val="ListBullet"/>
      </w:pPr>
      <w:r>
        <w:rPr>
          <w:b/>
        </w:rPr>
        <w:t>Communication Preferences:</w:t>
      </w:r>
      <w:r>
        <w:t xml:space="preserve"> Phone consultations, printed materials, face-to-face interactions</w:t>
      </w:r>
    </w:p>
    <w:p/>
    <w:p>
      <w:r>
        <w:t>#### 3. Family Health Coordinators (Ages 30-50)</w:t>
      </w:r>
    </w:p>
    <w:p>
      <w:pPr>
        <w:pStyle w:val="ListBullet"/>
      </w:pPr>
      <w:r>
        <w:rPr>
          <w:b/>
        </w:rPr>
        <w:t>Characteristics:</w:t>
      </w:r>
      <w:r>
        <w:t xml:space="preserve"> Managing family healthcare decisions, time-constrained, multi-location convenience</w:t>
      </w:r>
    </w:p>
    <w:p>
      <w:pPr>
        <w:pStyle w:val="ListBullet"/>
      </w:pPr>
      <w:r>
        <w:rPr>
          <w:b/>
        </w:rPr>
        <w:t>Healthcare Behaviour:</w:t>
      </w:r>
      <w:r>
        <w:t xml:space="preserve"> Efficiency-focused, comprehensive care seeking, insurance-conscious</w:t>
      </w:r>
    </w:p>
    <w:p>
      <w:pPr>
        <w:pStyle w:val="ListBullet"/>
      </w:pPr>
      <w:r>
        <w:rPr>
          <w:b/>
        </w:rPr>
        <w:t>Communication Preferences:</w:t>
      </w:r>
      <w:r>
        <w:t xml:space="preserve"> Multi-channel, appointment scheduling flexibility, family-friendly services</w:t>
      </w:r>
    </w:p>
    <w:p/>
    <w:p>
      <w:pPr>
        <w:pStyle w:val="Heading3"/>
        <w:jc w:val="left"/>
      </w:pPr>
      <w:r>
        <w:t>Patient Journey Mapping Framework</w:t>
      </w:r>
    </w:p>
    <w:p/>
    <w:p>
      <w:r>
        <w:rPr>
          <w:b/>
        </w:rPr>
        <w:t>Healthcare Decision Journey Stages:</w:t>
      </w:r>
    </w:p>
    <w:p/>
    <w:p>
      <w:pPr>
        <w:pStyle w:val="ListNumber"/>
      </w:pPr>
      <w:r>
        <w:rPr>
          <w:b/>
        </w:rPr>
        <w:t>Symptom Awareness Phase</w:t>
      </w:r>
    </w:p>
    <w:p>
      <w:pPr>
        <w:pStyle w:val="ListBullet"/>
      </w:pPr>
      <w:r>
        <w:t>Initial symptom recognition</w:t>
      </w:r>
    </w:p>
    <w:p>
      <w:pPr>
        <w:pStyle w:val="ListBullet"/>
      </w:pPr>
      <w:r>
        <w:t>Online symptom research</w:t>
      </w:r>
    </w:p>
    <w:p>
      <w:pPr>
        <w:pStyle w:val="ListBullet"/>
      </w:pPr>
      <w:r>
        <w:t>GP consultation consideration</w:t>
      </w:r>
    </w:p>
    <w:p/>
    <w:p>
      <w:pPr>
        <w:pStyle w:val="ListNumber"/>
      </w:pPr>
      <w:r>
        <w:rPr>
          <w:b/>
        </w:rPr>
        <w:t>Information Seeking Phase</w:t>
      </w:r>
    </w:p>
    <w:p>
      <w:pPr>
        <w:pStyle w:val="ListBullet"/>
      </w:pPr>
      <w:r>
        <w:t>Specialist research and comparison</w:t>
      </w:r>
    </w:p>
    <w:p>
      <w:pPr>
        <w:pStyle w:val="ListBullet"/>
      </w:pPr>
      <w:r>
        <w:t>Treatment option investigation</w:t>
      </w:r>
    </w:p>
    <w:p>
      <w:pPr>
        <w:pStyle w:val="ListBullet"/>
      </w:pPr>
      <w:r>
        <w:t>Provider credibility assessment</w:t>
      </w:r>
    </w:p>
    <w:p/>
    <w:p>
      <w:pPr>
        <w:pStyle w:val="ListNumber"/>
      </w:pPr>
      <w:r>
        <w:rPr>
          <w:b/>
        </w:rPr>
        <w:t>Provider Selection Phase</w:t>
      </w:r>
    </w:p>
    <w:p>
      <w:pPr>
        <w:pStyle w:val="ListBullet"/>
      </w:pPr>
      <w:r>
        <w:t>Location and convenience evaluation</w:t>
      </w:r>
    </w:p>
    <w:p>
      <w:pPr>
        <w:pStyle w:val="ListBullet"/>
      </w:pPr>
      <w:r>
        <w:t>Specialist expertise verification</w:t>
      </w:r>
    </w:p>
    <w:p>
      <w:pPr>
        <w:pStyle w:val="ListBullet"/>
      </w:pPr>
      <w:r>
        <w:t>Appointment booking process</w:t>
      </w:r>
    </w:p>
    <w:p/>
    <w:p>
      <w:pPr>
        <w:pStyle w:val="ListNumber"/>
      </w:pPr>
      <w:r>
        <w:rPr>
          <w:b/>
        </w:rPr>
        <w:t>Treatment Engagement Phase</w:t>
      </w:r>
    </w:p>
    <w:p>
      <w:pPr>
        <w:pStyle w:val="ListBullet"/>
      </w:pPr>
      <w:r>
        <w:t>Initial consultation experience</w:t>
      </w:r>
    </w:p>
    <w:p>
      <w:pPr>
        <w:pStyle w:val="ListBullet"/>
      </w:pPr>
      <w:r>
        <w:t>Treatment plan understanding</w:t>
      </w:r>
    </w:p>
    <w:p>
      <w:pPr>
        <w:pStyle w:val="ListBullet"/>
      </w:pPr>
      <w:r>
        <w:t>Ongoing care coordination</w:t>
      </w:r>
    </w:p>
    <w:p/>
    <w:p>
      <w:pPr>
        <w:pStyle w:val="ListNumber"/>
      </w:pPr>
      <w:r>
        <w:rPr>
          <w:b/>
        </w:rPr>
        <w:t>Recovery &amp; Maintenance Phase</w:t>
      </w:r>
    </w:p>
    <w:p>
      <w:pPr>
        <w:pStyle w:val="ListBullet"/>
      </w:pPr>
      <w:r>
        <w:t>Treatment outcome monitoring</w:t>
      </w:r>
    </w:p>
    <w:p>
      <w:pPr>
        <w:pStyle w:val="ListBullet"/>
      </w:pPr>
      <w:r>
        <w:t>Lifestyle modification support</w:t>
      </w:r>
    </w:p>
    <w:p>
      <w:pPr>
        <w:pStyle w:val="ListBullet"/>
      </w:pPr>
      <w:r>
        <w:t>Preventive care planning</w:t>
      </w:r>
    </w:p>
    <w:p/>
    <w:p/>
    <w:p>
      <w:pPr>
        <w:jc w:val="center"/>
      </w:pPr>
      <w:r>
        <w:t>__________________________________________________</w:t>
      </w:r>
    </w:p>
    <w:p/>
    <w:p/>
    <w:p>
      <w:pPr>
        <w:pStyle w:val="Heading2"/>
        <w:jc w:val="left"/>
      </w:pPr>
      <w:r>
        <w:t>Strategic Business Analysis</w:t>
      </w:r>
    </w:p>
    <w:p/>
    <w:p>
      <w:pPr>
        <w:pStyle w:val="Heading3"/>
        <w:jc w:val="left"/>
      </w:pPr>
      <w:r>
        <w:t>USP Analysis: Centre for Gastrointestinal Health</w:t>
      </w:r>
    </w:p>
    <w:p/>
    <w:p>
      <w:r>
        <w:rPr>
          <w:b/>
        </w:rPr>
        <w:t>Primary Unique Selling Propositions:</w:t>
      </w:r>
    </w:p>
    <w:p/>
    <w:p>
      <w:r>
        <w:t>#### 1. Network Scale Leadership</w:t>
      </w:r>
    </w:p>
    <w:p>
      <w:pPr>
        <w:pStyle w:val="ListBullet"/>
      </w:pPr>
      <w:r>
        <w:rPr>
          <w:b/>
        </w:rPr>
        <w:t>Positioning:</w:t>
      </w:r>
      <w:r>
        <w:t xml:space="preserve"> "Australia's Largest Network of Gastroenterologists"</w:t>
      </w:r>
    </w:p>
    <w:p>
      <w:pPr>
        <w:pStyle w:val="ListBullet"/>
      </w:pPr>
      <w:r>
        <w:rPr>
          <w:b/>
        </w:rPr>
        <w:t>Competitive Advantage:</w:t>
      </w:r>
      <w:r>
        <w:t xml:space="preserve"> Resource pooling, specialist expertise access, infrastructure efficiency</w:t>
      </w:r>
    </w:p>
    <w:p>
      <w:pPr>
        <w:pStyle w:val="ListBullet"/>
      </w:pPr>
      <w:r>
        <w:rPr>
          <w:b/>
        </w:rPr>
        <w:t>Market Differentiation:</w:t>
      </w:r>
      <w:r>
        <w:t xml:space="preserve"> Scale enables comprehensive care coordination and specialist choice</w:t>
      </w:r>
    </w:p>
    <w:p/>
    <w:p>
      <w:r>
        <w:t>#### 2. Independent Specialist Support Model</w:t>
      </w:r>
    </w:p>
    <w:p>
      <w:pPr>
        <w:pStyle w:val="ListBullet"/>
      </w:pPr>
      <w:r>
        <w:rPr>
          <w:b/>
        </w:rPr>
        <w:t>Positioning:</w:t>
      </w:r>
      <w:r>
        <w:t xml:space="preserve"> Supporting autonomous medical professionals within integrated framework</w:t>
      </w:r>
    </w:p>
    <w:p>
      <w:pPr>
        <w:pStyle w:val="ListBullet"/>
      </w:pPr>
      <w:r>
        <w:rPr>
          <w:b/>
        </w:rPr>
        <w:t>Competitive Advantage:</w:t>
      </w:r>
      <w:r>
        <w:t xml:space="preserve"> Maintains doctor-patient relationship integrity while providing infrastructure</w:t>
      </w:r>
    </w:p>
    <w:p>
      <w:pPr>
        <w:pStyle w:val="ListBullet"/>
      </w:pPr>
      <w:r>
        <w:rPr>
          <w:b/>
        </w:rPr>
        <w:t>Market Differentiation:</w:t>
      </w:r>
      <w:r>
        <w:t xml:space="preserve"> Balances medical professional autonomy with organisational efficiency</w:t>
      </w:r>
    </w:p>
    <w:p/>
    <w:p>
      <w:r>
        <w:t>#### 3. Evidence-Based Medicine Commitment</w:t>
      </w:r>
    </w:p>
    <w:p>
      <w:pPr>
        <w:pStyle w:val="ListBullet"/>
      </w:pPr>
      <w:r>
        <w:rPr>
          <w:b/>
        </w:rPr>
        <w:t>Positioning:</w:t>
      </w:r>
      <w:r>
        <w:t xml:space="preserve"> Clinical decisions based on latest medical research and proven methodologies</w:t>
      </w:r>
    </w:p>
    <w:p>
      <w:pPr>
        <w:pStyle w:val="ListBullet"/>
      </w:pPr>
      <w:r>
        <w:rPr>
          <w:b/>
        </w:rPr>
        <w:t>Competitive Advantage:</w:t>
      </w:r>
      <w:r>
        <w:t xml:space="preserve"> Credibility, treatment effectiveness, professional reputation</w:t>
      </w:r>
    </w:p>
    <w:p>
      <w:pPr>
        <w:pStyle w:val="ListBullet"/>
      </w:pPr>
      <w:r>
        <w:rPr>
          <w:b/>
        </w:rPr>
        <w:t>Market Differentiation:</w:t>
      </w:r>
      <w:r>
        <w:t xml:space="preserve"> Scientific approach to patient care and treatment outcomes</w:t>
      </w:r>
    </w:p>
    <w:p/>
    <w:p>
      <w:r>
        <w:t>#### 4. Holistic Care Integration</w:t>
      </w:r>
    </w:p>
    <w:p>
      <w:pPr>
        <w:pStyle w:val="ListBullet"/>
      </w:pPr>
      <w:r>
        <w:rPr>
          <w:b/>
        </w:rPr>
        <w:t>Positioning:</w:t>
      </w:r>
      <w:r>
        <w:t xml:space="preserve"> Comprehensive gastrointestinal health through multi-disciplinary approach</w:t>
      </w:r>
    </w:p>
    <w:p>
      <w:pPr>
        <w:pStyle w:val="ListBullet"/>
      </w:pPr>
      <w:r>
        <w:rPr>
          <w:b/>
        </w:rPr>
        <w:t>Competitive Advantage:</w:t>
      </w:r>
      <w:r>
        <w:t xml:space="preserve"> Single-source solution for complex gastrointestinal conditions</w:t>
      </w:r>
    </w:p>
    <w:p>
      <w:pPr>
        <w:pStyle w:val="ListBullet"/>
      </w:pPr>
      <w:r>
        <w:rPr>
          <w:b/>
        </w:rPr>
        <w:t>Market Differentiation:</w:t>
      </w:r>
      <w:r>
        <w:t xml:space="preserve"> Combines medical specialists, dieticians, nutritionists, and pathology services</w:t>
      </w:r>
    </w:p>
    <w:p/>
    <w:p>
      <w:r>
        <w:t>#### 5. Regional Healthcare Accessibility</w:t>
      </w:r>
    </w:p>
    <w:p>
      <w:pPr>
        <w:pStyle w:val="ListBullet"/>
      </w:pPr>
      <w:r>
        <w:rPr>
          <w:b/>
        </w:rPr>
        <w:t>Positioning:</w:t>
      </w:r>
      <w:r>
        <w:t xml:space="preserve"> Serving underserved regional NSW communities with specialist care</w:t>
      </w:r>
    </w:p>
    <w:p>
      <w:pPr>
        <w:pStyle w:val="ListBullet"/>
      </w:pPr>
      <w:r>
        <w:rPr>
          <w:b/>
        </w:rPr>
        <w:t>Competitive Advantage:</w:t>
      </w:r>
      <w:r>
        <w:t xml:space="preserve"> Geographic coverage, community healthcare gap addressing</w:t>
      </w:r>
    </w:p>
    <w:p>
      <w:pPr>
        <w:pStyle w:val="ListBullet"/>
      </w:pPr>
      <w:r>
        <w:rPr>
          <w:b/>
        </w:rPr>
        <w:t>Market Differentiation:</w:t>
      </w:r>
      <w:r>
        <w:t xml:space="preserve"> Regional presence where metropolitan competitors may lack coverage</w:t>
      </w:r>
    </w:p>
    <w:p/>
    <w:p>
      <w:pPr>
        <w:pStyle w:val="Heading3"/>
        <w:jc w:val="left"/>
      </w:pPr>
      <w:r>
        <w:t>Brand SWOT Analysis</w:t>
      </w:r>
    </w:p>
    <w:p/>
    <w:p>
      <w:r>
        <w:rPr>
          <w:b/>
        </w:rPr>
        <w:t>Strengths:</w:t>
      </w:r>
    </w:p>
    <w:p>
      <w:pPr>
        <w:pStyle w:val="ListBullet"/>
      </w:pPr>
      <w:r>
        <w:t>Australia's largest gastroenterology network providing market authority</w:t>
      </w:r>
    </w:p>
    <w:p>
      <w:pPr>
        <w:pStyle w:val="ListBullet"/>
      </w:pPr>
      <w:r>
        <w:t>Multi-location presence across Sydney and Regional NSW</w:t>
      </w:r>
    </w:p>
    <w:p>
      <w:pPr>
        <w:pStyle w:val="ListBullet"/>
      </w:pPr>
      <w:r>
        <w:t>Comprehensive service offering from screening to treatment</w:t>
      </w:r>
    </w:p>
    <w:p>
      <w:pPr>
        <w:pStyle w:val="ListBullet"/>
      </w:pPr>
      <w:r>
        <w:t>Evidence-based medicine reputation and credibility</w:t>
      </w:r>
    </w:p>
    <w:p>
      <w:pPr>
        <w:pStyle w:val="ListBullet"/>
      </w:pPr>
      <w:r>
        <w:t>Independent specialist model maintaining doctor-patient relationship quality</w:t>
      </w:r>
    </w:p>
    <w:p>
      <w:pPr>
        <w:pStyle w:val="ListBullet"/>
      </w:pPr>
      <w:r>
        <w:t>Integrated healthcare approach combining multiple specialties</w:t>
      </w:r>
    </w:p>
    <w:p>
      <w:pPr>
        <w:pStyle w:val="ListBullet"/>
      </w:pPr>
      <w:r>
        <w:t>Established patient booking infrastructure (1300 580 239)</w:t>
      </w:r>
    </w:p>
    <w:p>
      <w:pPr>
        <w:pStyle w:val="ListBullet"/>
      </w:pPr>
      <w:r>
        <w:t>Regional healthcare gap addressing capability</w:t>
      </w:r>
    </w:p>
    <w:p/>
    <w:p>
      <w:r>
        <w:rPr>
          <w:b/>
        </w:rPr>
        <w:t>Weaknesses:</w:t>
      </w:r>
    </w:p>
    <w:p>
      <w:pPr>
        <w:pStyle w:val="ListBullet"/>
      </w:pPr>
      <w:r>
        <w:t>Limited digital marketing presence compared to emerging healthcare competitors</w:t>
      </w:r>
    </w:p>
    <w:p>
      <w:pPr>
        <w:pStyle w:val="ListBullet"/>
      </w:pPr>
      <w:r>
        <w:t>Website user experience may not meet contemporary patient expectations</w:t>
      </w:r>
    </w:p>
    <w:p>
      <w:pPr>
        <w:pStyle w:val="ListBullet"/>
      </w:pPr>
      <w:r>
        <w:t>Potential complexity in coordinating independent specialists across multiple locations</w:t>
      </w:r>
    </w:p>
    <w:p>
      <w:pPr>
        <w:pStyle w:val="ListBullet"/>
      </w:pPr>
      <w:r>
        <w:t>Limited social media engagement and patient education content</w:t>
      </w:r>
    </w:p>
    <w:p>
      <w:pPr>
        <w:pStyle w:val="ListBullet"/>
      </w:pPr>
      <w:r>
        <w:t>May lack personalised patient communication systems</w:t>
      </w:r>
    </w:p>
    <w:p>
      <w:pPr>
        <w:pStyle w:val="ListBullet"/>
      </w:pPr>
      <w:r>
        <w:t>Dependent on individual specialist availability across network</w:t>
      </w:r>
    </w:p>
    <w:p>
      <w:pPr>
        <w:pStyle w:val="ListBullet"/>
      </w:pPr>
      <w:r>
        <w:t>Limited online patient portal capabilities identified</w:t>
      </w:r>
    </w:p>
    <w:p/>
    <w:p>
      <w:r>
        <w:rPr>
          <w:b/>
        </w:rPr>
        <w:t>Opportunities:</w:t>
      </w:r>
    </w:p>
    <w:p>
      <w:pPr>
        <w:pStyle w:val="ListBullet"/>
      </w:pPr>
      <w:r>
        <w:t>Growing gastroenterology market (6.04% CAGR) provides expansion potential</w:t>
      </w:r>
    </w:p>
    <w:p>
      <w:pPr>
        <w:pStyle w:val="ListBullet"/>
      </w:pPr>
      <w:r>
        <w:t>Increasing demand for minimally invasive procedures aligns with service offerings</w:t>
      </w:r>
    </w:p>
    <w:p>
      <w:pPr>
        <w:pStyle w:val="ListBullet"/>
      </w:pPr>
      <w:r>
        <w:t>Digital healthcare transformation trend creates patient engagement opportunities</w:t>
      </w:r>
    </w:p>
    <w:p>
      <w:pPr>
        <w:pStyle w:val="ListBullet"/>
      </w:pPr>
      <w:r>
        <w:t>Patient preference for online booking (95% adoption/interest) supports digital expansion</w:t>
      </w:r>
    </w:p>
    <w:p>
      <w:pPr>
        <w:pStyle w:val="ListBullet"/>
      </w:pPr>
      <w:r>
        <w:t>AI-powered patient engagement systems could enhance service efficiency</w:t>
      </w:r>
    </w:p>
    <w:p>
      <w:pPr>
        <w:pStyle w:val="ListBullet"/>
      </w:pPr>
      <w:r>
        <w:t>Telehealth integration opportunities for patient consultations and follow-up</w:t>
      </w:r>
    </w:p>
    <w:p>
      <w:pPr>
        <w:pStyle w:val="ListBullet"/>
      </w:pPr>
      <w:r>
        <w:t>Content marketing potential for patient education and healthcare awareness</w:t>
      </w:r>
    </w:p>
    <w:p>
      <w:pPr>
        <w:pStyle w:val="ListBullet"/>
      </w:pPr>
      <w:r>
        <w:t>Regional healthcare needs increasing with ageing population demographics</w:t>
      </w:r>
    </w:p>
    <w:p/>
    <w:p>
      <w:r>
        <w:rPr>
          <w:b/>
        </w:rPr>
        <w:t>Threats:</w:t>
      </w:r>
    </w:p>
    <w:p>
      <w:pPr>
        <w:pStyle w:val="ListBullet"/>
      </w:pPr>
      <w:r>
        <w:t>Increasing competition from specialist gastroenterology practices in metropolitan markets</w:t>
      </w:r>
    </w:p>
    <w:p>
      <w:pPr>
        <w:pStyle w:val="ListBullet"/>
      </w:pPr>
      <w:r>
        <w:t>Digital-first healthcare providers gaining market share through superior patient experience</w:t>
      </w:r>
    </w:p>
    <w:p>
      <w:pPr>
        <w:pStyle w:val="ListBullet"/>
      </w:pPr>
      <w:r>
        <w:t>Healthcare consolidation trends potentially challenging independent specialist model</w:t>
      </w:r>
    </w:p>
    <w:p>
      <w:pPr>
        <w:pStyle w:val="ListBullet"/>
      </w:pPr>
      <w:r>
        <w:t>AHPRA regulation complexity limiting marketing and communication flexibility</w:t>
      </w:r>
    </w:p>
    <w:p>
      <w:pPr>
        <w:pStyle w:val="ListBullet"/>
      </w:pPr>
      <w:r>
        <w:t>Patient expectations for digital convenience may exceed current capabilities</w:t>
      </w:r>
    </w:p>
    <w:p>
      <w:pPr>
        <w:pStyle w:val="ListBullet"/>
      </w:pPr>
      <w:r>
        <w:t>Specialist recruitment challenges in competitive healthcare talent market</w:t>
      </w:r>
    </w:p>
    <w:p>
      <w:pPr>
        <w:pStyle w:val="ListBullet"/>
      </w:pPr>
      <w:r>
        <w:t>Healthcare technology investments required to maintain competitive position</w:t>
      </w:r>
    </w:p>
    <w:p>
      <w:pPr>
        <w:pStyle w:val="ListBullet"/>
      </w:pPr>
      <w:r>
        <w:t>Economic pressures on healthcare funding affecting patient accessibility</w:t>
      </w:r>
    </w:p>
    <w:p/>
    <w:p>
      <w:pPr>
        <w:pStyle w:val="Heading3"/>
        <w:jc w:val="left"/>
      </w:pPr>
      <w:r>
        <w:t>Competitor SWOT Summary</w:t>
      </w:r>
    </w:p>
    <w:p/>
    <w:p>
      <w:r>
        <w:rPr>
          <w:b/>
        </w:rPr>
        <w:t>Key Competitive Threats Identified:</w:t>
      </w:r>
    </w:p>
    <w:p>
      <w:pPr>
        <w:pStyle w:val="ListBullet"/>
      </w:pPr>
      <w:r>
        <w:t>GastroNorth (Melbourne): Strong digital presence, 11-specialist team, teaching hospital affiliations</w:t>
      </w:r>
    </w:p>
    <w:p>
      <w:pPr>
        <w:pStyle w:val="ListBullet"/>
      </w:pPr>
      <w:r>
        <w:t>Melbourne Centre for Gastroenterology: Holistic multidisciplinary model with psychology integration</w:t>
      </w:r>
    </w:p>
    <w:p>
      <w:pPr>
        <w:pStyle w:val="ListBullet"/>
      </w:pPr>
      <w:r>
        <w:t>Centre for Digestive Diseases: Research leadership with 180+ patents, advanced technology positioning</w:t>
      </w:r>
    </w:p>
    <w:p/>
    <w:p>
      <w:r>
        <w:rPr>
          <w:b/>
        </w:rPr>
        <w:t>Competitive Differentiation Opportunities:</w:t>
      </w:r>
    </w:p>
    <w:p>
      <w:pPr>
        <w:pStyle w:val="ListBullet"/>
      </w:pPr>
      <w:r>
        <w:t>Network scale advantage over smaller practice groups</w:t>
      </w:r>
    </w:p>
    <w:p>
      <w:pPr>
        <w:pStyle w:val="ListBullet"/>
      </w:pPr>
      <w:r>
        <w:t>Regional coverage providing geographic competitive moat</w:t>
      </w:r>
    </w:p>
    <w:p>
      <w:pPr>
        <w:pStyle w:val="ListBullet"/>
      </w:pPr>
      <w:r>
        <w:t>Independent specialist model differentiating from corporate healthcare approaches</w:t>
      </w:r>
    </w:p>
    <w:p/>
    <w:p/>
    <w:p>
      <w:pPr>
        <w:jc w:val="center"/>
      </w:pPr>
      <w:r>
        <w:t>__________________________________________________</w:t>
      </w:r>
    </w:p>
    <w:p/>
    <w:p/>
    <w:p>
      <w:pPr>
        <w:pStyle w:val="Heading2"/>
        <w:jc w:val="left"/>
      </w:pPr>
      <w:r>
        <w:t>Competitive Landscape Assessment</w:t>
      </w:r>
    </w:p>
    <w:p/>
    <w:p>
      <w:pPr>
        <w:pStyle w:val="Heading3"/>
        <w:jc w:val="left"/>
      </w:pPr>
      <w:r>
        <w:t>Top 5 Competitor Analysis Summary</w:t>
      </w:r>
    </w:p>
    <w:p/>
    <w:p>
      <w:r>
        <w:t>#### 1. GastroNorth (Melbourne)</w:t>
      </w:r>
    </w:p>
    <w:p>
      <w:r>
        <w:rPr>
          <w:b/>
        </w:rPr>
        <w:t>Competitive Positioning:</w:t>
      </w:r>
    </w:p>
    <w:p>
      <w:pPr>
        <w:pStyle w:val="ListBullet"/>
      </w:pPr>
      <w:r>
        <w:rPr>
          <w:b/>
        </w:rPr>
        <w:t>Strengths:</w:t>
      </w:r>
      <w:r>
        <w:t xml:space="preserve"> 11-specialist team, teaching hospital affiliations, established digital presence</w:t>
      </w:r>
    </w:p>
    <w:p>
      <w:pPr>
        <w:pStyle w:val="ListBullet"/>
      </w:pPr>
      <w:r>
        <w:rPr>
          <w:b/>
        </w:rPr>
        <w:t>Weaknesses:</w:t>
      </w:r>
      <w:r>
        <w:t xml:space="preserve"> Melbourne-focused, limited geographic coverage</w:t>
      </w:r>
    </w:p>
    <w:p>
      <w:pPr>
        <w:pStyle w:val="ListBullet"/>
      </w:pPr>
      <w:r>
        <w:rPr>
          <w:b/>
        </w:rPr>
        <w:t>Market Position:</w:t>
      </w:r>
      <w:r>
        <w:t xml:space="preserve"> Premium specialist group with academic credibility</w:t>
      </w:r>
    </w:p>
    <w:p>
      <w:pPr>
        <w:pStyle w:val="ListBullet"/>
      </w:pPr>
      <w:r>
        <w:rPr>
          <w:b/>
        </w:rPr>
        <w:t>Digital Maturity:</w:t>
      </w:r>
      <w:r>
        <w:t xml:space="preserve"> Advanced website, strong SEO presence</w:t>
      </w:r>
    </w:p>
    <w:p/>
    <w:p>
      <w:r>
        <w:t>#### 2. Melbourne Centre for Gastroenterology</w:t>
      </w:r>
    </w:p>
    <w:p>
      <w:r>
        <w:rPr>
          <w:b/>
        </w:rPr>
        <w:t>Competitive Positioning:</w:t>
      </w:r>
    </w:p>
    <w:p>
      <w:pPr>
        <w:pStyle w:val="ListBullet"/>
      </w:pPr>
      <w:r>
        <w:rPr>
          <w:b/>
        </w:rPr>
        <w:t>Strengths:</w:t>
      </w:r>
      <w:r>
        <w:t xml:space="preserve"> Holistic multidisciplinary approach, psychology integration, premium positioning</w:t>
      </w:r>
    </w:p>
    <w:p>
      <w:pPr>
        <w:pStyle w:val="ListBullet"/>
      </w:pPr>
      <w:r>
        <w:rPr>
          <w:b/>
        </w:rPr>
        <w:t>Weaknesses:</w:t>
      </w:r>
      <w:r>
        <w:t xml:space="preserve"> Limited scale, geographic concentration</w:t>
      </w:r>
    </w:p>
    <w:p>
      <w:pPr>
        <w:pStyle w:val="ListBullet"/>
      </w:pPr>
      <w:r>
        <w:rPr>
          <w:b/>
        </w:rPr>
        <w:t>Market Position:</w:t>
      </w:r>
      <w:r>
        <w:t xml:space="preserve"> Comprehensive care model targeting complex conditions</w:t>
      </w:r>
    </w:p>
    <w:p>
      <w:pPr>
        <w:pStyle w:val="ListBullet"/>
      </w:pPr>
      <w:r>
        <w:rPr>
          <w:b/>
        </w:rPr>
        <w:t>Digital Maturity:</w:t>
      </w:r>
      <w:r>
        <w:t xml:space="preserve"> Professional website, service-focused content</w:t>
      </w:r>
    </w:p>
    <w:p/>
    <w:p>
      <w:r>
        <w:t>#### 3. Centre for Digestive Diseases</w:t>
      </w:r>
    </w:p>
    <w:p>
      <w:r>
        <w:rPr>
          <w:b/>
        </w:rPr>
        <w:t>Competitive Positioning:</w:t>
      </w:r>
    </w:p>
    <w:p>
      <w:pPr>
        <w:pStyle w:val="ListBullet"/>
      </w:pPr>
      <w:r>
        <w:rPr>
          <w:b/>
        </w:rPr>
        <w:t>Strengths:</w:t>
      </w:r>
      <w:r>
        <w:t xml:space="preserve"> Research leadership (180+ patents), advanced technology, innovation reputation</w:t>
      </w:r>
    </w:p>
    <w:p>
      <w:pPr>
        <w:pStyle w:val="ListBullet"/>
      </w:pPr>
      <w:r>
        <w:rPr>
          <w:b/>
        </w:rPr>
        <w:t>Weaknesses:</w:t>
      </w:r>
      <w:r>
        <w:t xml:space="preserve"> Research focus may limit patient accessibility perception</w:t>
      </w:r>
    </w:p>
    <w:p>
      <w:pPr>
        <w:pStyle w:val="ListBullet"/>
      </w:pPr>
      <w:r>
        <w:rPr>
          <w:b/>
        </w:rPr>
        <w:t>Market Position:</w:t>
      </w:r>
      <w:r>
        <w:t xml:space="preserve"> Technology and research leader in digestive health</w:t>
      </w:r>
    </w:p>
    <w:p>
      <w:pPr>
        <w:pStyle w:val="ListBullet"/>
      </w:pPr>
      <w:r>
        <w:rPr>
          <w:b/>
        </w:rPr>
        <w:t>Digital Maturity:</w:t>
      </w:r>
      <w:r>
        <w:t xml:space="preserve"> Research-focused content, professional credibility</w:t>
      </w:r>
    </w:p>
    <w:p/>
    <w:p>
      <w:r>
        <w:t>#### 4. Melbourne Digestive Centre</w:t>
      </w:r>
    </w:p>
    <w:p>
      <w:r>
        <w:rPr>
          <w:b/>
        </w:rPr>
        <w:t>Competitive Positioning:</w:t>
      </w:r>
    </w:p>
    <w:p>
      <w:pPr>
        <w:pStyle w:val="ListBullet"/>
      </w:pPr>
      <w:r>
        <w:rPr>
          <w:b/>
        </w:rPr>
        <w:t>Strengths:</w:t>
      </w:r>
      <w:r>
        <w:t xml:space="preserve"> Established practice, comprehensive diagnostic services, food intolerance specialisation</w:t>
      </w:r>
    </w:p>
    <w:p>
      <w:pPr>
        <w:pStyle w:val="ListBullet"/>
      </w:pPr>
      <w:r>
        <w:rPr>
          <w:b/>
        </w:rPr>
        <w:t>Weaknesses:</w:t>
      </w:r>
      <w:r>
        <w:t xml:space="preserve"> Limited geographic presence, smaller scale</w:t>
      </w:r>
    </w:p>
    <w:p>
      <w:pPr>
        <w:pStyle w:val="ListBullet"/>
      </w:pPr>
      <w:r>
        <w:rPr>
          <w:b/>
        </w:rPr>
        <w:t>Market Position:</w:t>
      </w:r>
      <w:r>
        <w:t xml:space="preserve"> Comprehensive diagnostic focus</w:t>
      </w:r>
    </w:p>
    <w:p>
      <w:pPr>
        <w:pStyle w:val="ListBullet"/>
      </w:pPr>
      <w:r>
        <w:rPr>
          <w:b/>
        </w:rPr>
        <w:t>Digital Maturity:</w:t>
      </w:r>
      <w:r>
        <w:t xml:space="preserve"> Standard practice website, service-focused approach</w:t>
      </w:r>
    </w:p>
    <w:p/>
    <w:p>
      <w:r>
        <w:t>#### 5. Central Melbourne Gastroenterology</w:t>
      </w:r>
    </w:p>
    <w:p>
      <w:r>
        <w:rPr>
          <w:b/>
        </w:rPr>
        <w:t>Competitive Positioning:</w:t>
      </w:r>
    </w:p>
    <w:p>
      <w:pPr>
        <w:pStyle w:val="ListBullet"/>
      </w:pPr>
      <w:r>
        <w:rPr>
          <w:b/>
        </w:rPr>
        <w:t>Strengths:</w:t>
      </w:r>
      <w:r>
        <w:t xml:space="preserve"> Hospital proximity (St Vincent's), experienced specialists, integrated care model</w:t>
      </w:r>
    </w:p>
    <w:p>
      <w:pPr>
        <w:pStyle w:val="ListBullet"/>
      </w:pPr>
      <w:r>
        <w:rPr>
          <w:b/>
        </w:rPr>
        <w:t>Weaknesses:</w:t>
      </w:r>
      <w:r>
        <w:t xml:space="preserve"> Single location, limited scale</w:t>
      </w:r>
    </w:p>
    <w:p>
      <w:pPr>
        <w:pStyle w:val="ListBullet"/>
      </w:pPr>
      <w:r>
        <w:rPr>
          <w:b/>
        </w:rPr>
        <w:t>Market Position:</w:t>
      </w:r>
      <w:r>
        <w:t xml:space="preserve"> Hospital-affiliated specialist practice</w:t>
      </w:r>
    </w:p>
    <w:p>
      <w:pPr>
        <w:pStyle w:val="ListBullet"/>
      </w:pPr>
      <w:r>
        <w:rPr>
          <w:b/>
        </w:rPr>
        <w:t>Digital Maturity:</w:t>
      </w:r>
      <w:r>
        <w:t xml:space="preserve"> Professional website, specialist-focused content</w:t>
      </w:r>
    </w:p>
    <w:p/>
    <w:p>
      <w:pPr>
        <w:pStyle w:val="Heading3"/>
        <w:jc w:val="left"/>
      </w:pPr>
      <w:r>
        <w:t>Competitive Gap Analysis</w:t>
      </w:r>
    </w:p>
    <w:p/>
    <w:p>
      <w:r>
        <w:rPr>
          <w:b/>
        </w:rPr>
        <w:t>Digital Marketing Maturity:</w:t>
      </w:r>
    </w:p>
    <w:p>
      <w:pPr>
        <w:pStyle w:val="ListBullet"/>
      </w:pPr>
      <w:r>
        <w:t>Most competitors maintain standard healthcare websites without advanced patient engagement</w:t>
      </w:r>
    </w:p>
    <w:p>
      <w:pPr>
        <w:pStyle w:val="ListBullet"/>
      </w:pPr>
      <w:r>
        <w:t>Limited content marketing and patient education initiatives observed</w:t>
      </w:r>
    </w:p>
    <w:p>
      <w:pPr>
        <w:pStyle w:val="ListBullet"/>
      </w:pPr>
      <w:r>
        <w:t>Opportunity for Centre for Gastrointestinal Health to lead in digital patient experience</w:t>
      </w:r>
    </w:p>
    <w:p/>
    <w:p>
      <w:r>
        <w:rPr>
          <w:b/>
        </w:rPr>
        <w:t>Geographic Coverage:</w:t>
      </w:r>
    </w:p>
    <w:p>
      <w:pPr>
        <w:pStyle w:val="ListBullet"/>
      </w:pPr>
      <w:r>
        <w:t>Melbourne competitors concentrated in metropolitan areas</w:t>
      </w:r>
    </w:p>
    <w:p>
      <w:pPr>
        <w:pStyle w:val="ListBullet"/>
      </w:pPr>
      <w:r>
        <w:t>Regional healthcare gap provides competitive advantage opportunity</w:t>
      </w:r>
    </w:p>
    <w:p>
      <w:pPr>
        <w:pStyle w:val="ListBullet"/>
      </w:pPr>
      <w:r>
        <w:t>Network scale differentiates from single-location practices</w:t>
      </w:r>
    </w:p>
    <w:p/>
    <w:p>
      <w:r>
        <w:rPr>
          <w:b/>
        </w:rPr>
        <w:t>Service Integration:</w:t>
      </w:r>
    </w:p>
    <w:p>
      <w:pPr>
        <w:pStyle w:val="ListBullet"/>
      </w:pPr>
      <w:r>
        <w:t>Centre for Gastrointestinal Health's multidisciplinary approach competitive with best practices</w:t>
      </w:r>
    </w:p>
    <w:p>
      <w:pPr>
        <w:pStyle w:val="ListBullet"/>
      </w:pPr>
      <w:r>
        <w:t>Dietetic integration opportunity to enhance versus medical-only competitors</w:t>
      </w:r>
    </w:p>
    <w:p/>
    <w:p/>
    <w:p>
      <w:pPr>
        <w:jc w:val="center"/>
      </w:pPr>
      <w:r>
        <w:t>__________________________________________________</w:t>
      </w:r>
    </w:p>
    <w:p/>
    <w:p/>
    <w:p>
      <w:pPr>
        <w:pStyle w:val="Heading2"/>
        <w:jc w:val="left"/>
      </w:pPr>
      <w:r>
        <w:t>Data Sources &amp; Methodology</w:t>
      </w:r>
    </w:p>
    <w:p/>
    <w:p>
      <w:pPr>
        <w:pStyle w:val="Heading3"/>
        <w:jc w:val="left"/>
      </w:pPr>
      <w:r>
        <w:t>Primary Research Sources</w:t>
      </w:r>
    </w:p>
    <w:p/>
    <w:p>
      <w:r>
        <w:rPr>
          <w:b/>
        </w:rPr>
        <w:t>Industry Market Research:</w:t>
      </w:r>
    </w:p>
    <w:p>
      <w:pPr>
        <w:pStyle w:val="ListBullet"/>
      </w:pPr>
      <w:r>
        <w:t>Towards Healthcare: Global Gastroenterology Market Analysis 2024-2034</w:t>
      </w:r>
    </w:p>
    <w:p>
      <w:pPr>
        <w:pStyle w:val="ListBullet"/>
      </w:pPr>
      <w:r>
        <w:t>IBISWorld: Australian Health Services Industry Report 2025</w:t>
      </w:r>
    </w:p>
    <w:p>
      <w:pPr>
        <w:pStyle w:val="ListBullet"/>
      </w:pPr>
      <w:r>
        <w:t>Coherent Market Insights: Gastroenterology Market Projections</w:t>
      </w:r>
    </w:p>
    <w:p>
      <w:pPr>
        <w:pStyle w:val="ListBullet"/>
      </w:pPr>
      <w:r>
        <w:t>IQVIA: Consumer Health Market Trends 2025</w:t>
      </w:r>
    </w:p>
    <w:p/>
    <w:p>
      <w:r>
        <w:rPr>
          <w:b/>
        </w:rPr>
        <w:t>Healthcare Digital Marketing Intelligence:</w:t>
      </w:r>
    </w:p>
    <w:p>
      <w:pPr>
        <w:pStyle w:val="ListBullet"/>
      </w:pPr>
      <w:r>
        <w:t>Big Sea: Healthcare Digital Marketing Trends 2025</w:t>
      </w:r>
    </w:p>
    <w:p>
      <w:pPr>
        <w:pStyle w:val="ListBullet"/>
      </w:pPr>
      <w:r>
        <w:t>Cardinal Digital Marketing: Healthcare Marketing Trends Analysis</w:t>
      </w:r>
    </w:p>
    <w:p>
      <w:pPr>
        <w:pStyle w:val="ListBullet"/>
      </w:pPr>
      <w:r>
        <w:t>Healthcare Communication Partnership Association: Digital Strategy Reports</w:t>
      </w:r>
    </w:p>
    <w:p>
      <w:pPr>
        <w:pStyle w:val="ListBullet"/>
      </w:pPr>
      <w:r>
        <w:t>Multiple Healthcare Marketing Industry Publications</w:t>
      </w:r>
    </w:p>
    <w:p/>
    <w:p>
      <w:r>
        <w:rPr>
          <w:b/>
        </w:rPr>
        <w:t>Regulatory and Compliance Information:</w:t>
      </w:r>
    </w:p>
    <w:p>
      <w:pPr>
        <w:pStyle w:val="ListBullet"/>
      </w:pPr>
      <w:r>
        <w:t>Australian Health Practitioner Regulation Agency (AHPRA) Guidelines</w:t>
      </w:r>
    </w:p>
    <w:p>
      <w:pPr>
        <w:pStyle w:val="ListBullet"/>
      </w:pPr>
      <w:r>
        <w:t>Therapeutic Goods Administration (TGA) Advertising Standards</w:t>
      </w:r>
    </w:p>
    <w:p>
      <w:pPr>
        <w:pStyle w:val="ListBullet"/>
      </w:pPr>
      <w:r>
        <w:t>Medical Board of Australia Professional Standards</w:t>
      </w:r>
    </w:p>
    <w:p>
      <w:pPr>
        <w:pStyle w:val="ListBullet"/>
      </w:pPr>
      <w:r>
        <w:t>Australian Government Health Department Policy Documentation</w:t>
      </w:r>
    </w:p>
    <w:p/>
    <w:p>
      <w:pPr>
        <w:pStyle w:val="Heading3"/>
        <w:jc w:val="left"/>
      </w:pPr>
      <w:r>
        <w:t>Research Methodology</w:t>
      </w:r>
    </w:p>
    <w:p/>
    <w:p>
      <w:r>
        <w:rPr>
          <w:b/>
        </w:rPr>
        <w:t>Web Intelligence Gathering:</w:t>
      </w:r>
    </w:p>
    <w:p>
      <w:pPr>
        <w:pStyle w:val="ListBullet"/>
      </w:pPr>
      <w:r>
        <w:t>Comprehensive competitor website analysis</w:t>
      </w:r>
    </w:p>
    <w:p>
      <w:pPr>
        <w:pStyle w:val="ListBullet"/>
      </w:pPr>
      <w:r>
        <w:t>Digital presence assessment across multiple healthcare providers</w:t>
      </w:r>
    </w:p>
    <w:p>
      <w:pPr>
        <w:pStyle w:val="ListBullet"/>
      </w:pPr>
      <w:r>
        <w:t>Service offering comparison and differentiation analysis</w:t>
      </w:r>
    </w:p>
    <w:p>
      <w:pPr>
        <w:pStyle w:val="ListBullet"/>
      </w:pPr>
      <w:r>
        <w:t>Patient communication and engagement capability evaluation</w:t>
      </w:r>
    </w:p>
    <w:p/>
    <w:p>
      <w:r>
        <w:rPr>
          <w:b/>
        </w:rPr>
        <w:t>Market Trend Analysis:</w:t>
      </w:r>
    </w:p>
    <w:p>
      <w:pPr>
        <w:pStyle w:val="ListBullet"/>
      </w:pPr>
      <w:r>
        <w:t>Industry growth projection synthesis from multiple authoritative sources</w:t>
      </w:r>
    </w:p>
    <w:p>
      <w:pPr>
        <w:pStyle w:val="ListBullet"/>
      </w:pPr>
      <w:r>
        <w:t>Healthcare consumer behaviour trend identification</w:t>
      </w:r>
    </w:p>
    <w:p>
      <w:pPr>
        <w:pStyle w:val="ListBullet"/>
      </w:pPr>
      <w:r>
        <w:t>Digital transformation impact assessment on medical practice marketing</w:t>
      </w:r>
    </w:p>
    <w:p>
      <w:pPr>
        <w:pStyle w:val="ListBullet"/>
      </w:pPr>
      <w:r>
        <w:t>Regulatory environment analysis affecting healthcare marketing approaches</w:t>
      </w:r>
    </w:p>
    <w:p/>
    <w:p>
      <w:r>
        <w:rPr>
          <w:b/>
        </w:rPr>
        <w:t>Competitive Intelligence Framework:</w:t>
      </w:r>
    </w:p>
    <w:p>
      <w:pPr>
        <w:pStyle w:val="ListBullet"/>
      </w:pPr>
      <w:r>
        <w:t>SWOT analysis methodology applied to Centre for Gastrointestinal Health</w:t>
      </w:r>
    </w:p>
    <w:p>
      <w:pPr>
        <w:pStyle w:val="ListBullet"/>
      </w:pPr>
      <w:r>
        <w:t>Competitor positioning assessment using service offerings, digital presence, geographic coverage</w:t>
      </w:r>
    </w:p>
    <w:p>
      <w:pPr>
        <w:pStyle w:val="ListBullet"/>
      </w:pPr>
      <w:r>
        <w:t>Market gap identification through competitive comparison analysis</w:t>
      </w:r>
    </w:p>
    <w:p>
      <w:pPr>
        <w:pStyle w:val="ListBullet"/>
      </w:pPr>
      <w:r>
        <w:t>Strategic opportunity mapping based on competitive landscape assessment</w:t>
      </w:r>
    </w:p>
    <w:p/>
    <w:p>
      <w:pPr>
        <w:pStyle w:val="Heading3"/>
        <w:jc w:val="left"/>
      </w:pPr>
      <w:r>
        <w:t>Research Limitations and Assumptions</w:t>
      </w:r>
    </w:p>
    <w:p/>
    <w:p>
      <w:r>
        <w:rPr>
          <w:b/>
        </w:rPr>
        <w:t>Data Limitations:</w:t>
      </w:r>
    </w:p>
    <w:p>
      <w:pPr>
        <w:pStyle w:val="ListBullet"/>
      </w:pPr>
      <w:r>
        <w:t>Limited access to proprietary competitor financial performance data</w:t>
      </w:r>
    </w:p>
    <w:p>
      <w:pPr>
        <w:pStyle w:val="ListBullet"/>
      </w:pPr>
      <w:r>
        <w:t>Patient demographic information based on industry trends rather than specific practice data</w:t>
      </w:r>
    </w:p>
    <w:p>
      <w:pPr>
        <w:pStyle w:val="ListBullet"/>
      </w:pPr>
      <w:r>
        <w:t>Market size projections based on global trends applied to Australian context</w:t>
      </w:r>
    </w:p>
    <w:p>
      <w:pPr>
        <w:pStyle w:val="ListBullet"/>
      </w:pPr>
      <w:r>
        <w:t>Digital marketing effectiveness data derived from industry averages</w:t>
      </w:r>
    </w:p>
    <w:p/>
    <w:p>
      <w:r>
        <w:rPr>
          <w:b/>
        </w:rPr>
        <w:t>Key Assumptions:</w:t>
      </w:r>
    </w:p>
    <w:p>
      <w:pPr>
        <w:pStyle w:val="ListBullet"/>
      </w:pPr>
      <w:r>
        <w:t>Australian gastroenterology market trends align with global market growth patterns</w:t>
      </w:r>
    </w:p>
    <w:p>
      <w:pPr>
        <w:pStyle w:val="ListBullet"/>
      </w:pPr>
      <w:r>
        <w:t>Patient behaviour research applicable across gastroenterology specialty healthcare</w:t>
      </w:r>
    </w:p>
    <w:p>
      <w:pPr>
        <w:pStyle w:val="ListBullet"/>
      </w:pPr>
      <w:r>
        <w:t>Competitive intelligence based on publicly available information represents current market positioning</w:t>
      </w:r>
    </w:p>
    <w:p>
      <w:pPr>
        <w:pStyle w:val="ListBullet"/>
      </w:pPr>
      <w:r>
        <w:t>Digital transformation trends in healthcare apply consistently across Australian medical practices</w:t>
      </w:r>
    </w:p>
    <w:p/>
    <w:p/>
    <w:p>
      <w:pPr>
        <w:jc w:val="center"/>
      </w:pPr>
      <w:r>
        <w:t>__________________________________________________</w:t>
      </w:r>
    </w:p>
    <w:p/>
    <w:p/>
    <w:p>
      <w:pPr>
        <w:pStyle w:val="Heading2"/>
        <w:jc w:val="left"/>
      </w:pPr>
      <w:r>
        <w:t>Key Findings &amp; Strategic Implications</w:t>
      </w:r>
    </w:p>
    <w:p/>
    <w:p>
      <w:pPr>
        <w:pStyle w:val="Heading3"/>
        <w:jc w:val="left"/>
      </w:pPr>
      <w:r>
        <w:t>Critical Success Factors Identified</w:t>
      </w:r>
    </w:p>
    <w:p/>
    <w:p>
      <w:pPr>
        <w:pStyle w:val="ListNumber"/>
      </w:pPr>
      <w:r>
        <w:rPr>
          <w:b/>
        </w:rPr>
        <w:t>Digital Patient Experience Transformation</w:t>
      </w:r>
    </w:p>
    <w:p>
      <w:pPr>
        <w:pStyle w:val="ListBullet"/>
      </w:pPr>
      <w:r>
        <w:rPr>
          <w:b/>
        </w:rPr>
        <w:t>Finding:</w:t>
      </w:r>
      <w:r>
        <w:t xml:space="preserve"> 95% of patients prefer online appointment booking capabilities</w:t>
      </w:r>
    </w:p>
    <w:p>
      <w:pPr>
        <w:pStyle w:val="ListBullet"/>
      </w:pPr>
      <w:r>
        <w:rPr>
          <w:b/>
        </w:rPr>
        <w:t>Implication:</w:t>
      </w:r>
      <w:r>
        <w:t xml:space="preserve"> Digital infrastructure investment essential for competitive positioning</w:t>
      </w:r>
    </w:p>
    <w:p>
      <w:pPr>
        <w:pStyle w:val="ListBullet"/>
      </w:pPr>
      <w:r>
        <w:rPr>
          <w:b/>
        </w:rPr>
        <w:t>Recommendation:</w:t>
      </w:r>
      <w:r>
        <w:t xml:space="preserve"> Prioritise patient portal development and online booking system enhancement</w:t>
      </w:r>
    </w:p>
    <w:p/>
    <w:p>
      <w:pPr>
        <w:pStyle w:val="ListNumber"/>
      </w:pPr>
      <w:r>
        <w:rPr>
          <w:b/>
        </w:rPr>
        <w:t>Content Marketing and Patient Education Opportunity</w:t>
      </w:r>
    </w:p>
    <w:p>
      <w:pPr>
        <w:pStyle w:val="ListBullet"/>
      </w:pPr>
      <w:r>
        <w:rPr>
          <w:b/>
        </w:rPr>
        <w:t>Finding:</w:t>
      </w:r>
      <w:r>
        <w:t xml:space="preserve"> Limited competitor investment in patient education content marketing</w:t>
      </w:r>
    </w:p>
    <w:p>
      <w:pPr>
        <w:pStyle w:val="ListBullet"/>
      </w:pPr>
      <w:r>
        <w:rPr>
          <w:b/>
        </w:rPr>
        <w:t>Implication:</w:t>
      </w:r>
      <w:r>
        <w:t xml:space="preserve"> First-mover advantage available in digital content strategy</w:t>
      </w:r>
    </w:p>
    <w:p>
      <w:pPr>
        <w:pStyle w:val="ListBullet"/>
      </w:pPr>
      <w:r>
        <w:rPr>
          <w:b/>
        </w:rPr>
        <w:t>Recommendation:</w:t>
      </w:r>
      <w:r>
        <w:t xml:space="preserve"> Develop comprehensive patient education content programme</w:t>
      </w:r>
    </w:p>
    <w:p/>
    <w:p>
      <w:pPr>
        <w:pStyle w:val="ListNumber"/>
      </w:pPr>
      <w:r>
        <w:rPr>
          <w:b/>
        </w:rPr>
        <w:t>Regional Healthcare Market Advantage</w:t>
      </w:r>
    </w:p>
    <w:p>
      <w:pPr>
        <w:pStyle w:val="ListBullet"/>
      </w:pPr>
      <w:r>
        <w:rPr>
          <w:b/>
        </w:rPr>
        <w:t>Finding:</w:t>
      </w:r>
      <w:r>
        <w:t xml:space="preserve"> Competitors concentrated in metropolitan markets</w:t>
      </w:r>
    </w:p>
    <w:p>
      <w:pPr>
        <w:pStyle w:val="ListBullet"/>
      </w:pPr>
      <w:r>
        <w:rPr>
          <w:b/>
        </w:rPr>
        <w:t>Implication:</w:t>
      </w:r>
      <w:r>
        <w:t xml:space="preserve"> Regional presence provides sustainable competitive differentiation</w:t>
      </w:r>
    </w:p>
    <w:p>
      <w:pPr>
        <w:pStyle w:val="ListBullet"/>
      </w:pPr>
      <w:r>
        <w:rPr>
          <w:b/>
        </w:rPr>
        <w:t>Recommendation:</w:t>
      </w:r>
      <w:r>
        <w:t xml:space="preserve"> Leverage geographic coverage in marketing positioning</w:t>
      </w:r>
    </w:p>
    <w:p/>
    <w:p>
      <w:pPr>
        <w:pStyle w:val="ListNumber"/>
      </w:pPr>
      <w:r>
        <w:rPr>
          <w:b/>
        </w:rPr>
        <w:t>Network Scale Differentiation</w:t>
      </w:r>
    </w:p>
    <w:p>
      <w:pPr>
        <w:pStyle w:val="ListBullet"/>
      </w:pPr>
      <w:r>
        <w:rPr>
          <w:b/>
        </w:rPr>
        <w:t>Finding:</w:t>
      </w:r>
      <w:r>
        <w:t xml:space="preserve"> Australia's largest gastroenterology network positioning unique in market</w:t>
      </w:r>
    </w:p>
    <w:p>
      <w:pPr>
        <w:pStyle w:val="ListBullet"/>
      </w:pPr>
      <w:r>
        <w:rPr>
          <w:b/>
        </w:rPr>
        <w:t>Implication:</w:t>
      </w:r>
      <w:r>
        <w:t xml:space="preserve"> Scale advantages support premium positioning and resource access</w:t>
      </w:r>
    </w:p>
    <w:p>
      <w:pPr>
        <w:pStyle w:val="ListBullet"/>
      </w:pPr>
      <w:r>
        <w:rPr>
          <w:b/>
        </w:rPr>
        <w:t>Recommendation:</w:t>
      </w:r>
      <w:r>
        <w:t xml:space="preserve"> Emphasise network expertise and resource advantages in communication</w:t>
      </w:r>
    </w:p>
    <w:p/>
    <w:p>
      <w:pPr>
        <w:pStyle w:val="Heading3"/>
        <w:jc w:val="left"/>
      </w:pPr>
      <w:r>
        <w:t>Strategic Priorities for Content Development</w:t>
      </w:r>
    </w:p>
    <w:p/>
    <w:p>
      <w:r>
        <w:rPr>
          <w:b/>
        </w:rPr>
        <w:t>Phase 2 Research Requirements:</w:t>
      </w:r>
    </w:p>
    <w:p>
      <w:pPr>
        <w:pStyle w:val="ListBullet"/>
      </w:pPr>
      <w:r>
        <w:t>Comprehensive competitive digital presence analysis</w:t>
      </w:r>
    </w:p>
    <w:p>
      <w:pPr>
        <w:pStyle w:val="ListBullet"/>
      </w:pPr>
      <w:r>
        <w:t>Patient search behaviour and keyword research</w:t>
      </w:r>
    </w:p>
    <w:p>
      <w:pPr>
        <w:pStyle w:val="ListBullet"/>
      </w:pPr>
      <w:r>
        <w:t>Content gap identification in gastroenterology patient education</w:t>
      </w:r>
    </w:p>
    <w:p>
      <w:pPr>
        <w:pStyle w:val="ListBullet"/>
      </w:pPr>
      <w:r>
        <w:t>Local SEO opportunity assessment across NSW markets</w:t>
      </w:r>
    </w:p>
    <w:p/>
    <w:p>
      <w:r>
        <w:rPr>
          <w:b/>
        </w:rPr>
        <w:t>Phase 3 Implementation Focus:</w:t>
      </w:r>
    </w:p>
    <w:p>
      <w:pPr>
        <w:pStyle w:val="ListBullet"/>
      </w:pPr>
      <w:r>
        <w:t>SEO strategy development for gastroenterology keywords</w:t>
      </w:r>
    </w:p>
    <w:p>
      <w:pPr>
        <w:pStyle w:val="ListBullet"/>
      </w:pPr>
      <w:r>
        <w:t>Patient education content calendar development</w:t>
      </w:r>
    </w:p>
    <w:p>
      <w:pPr>
        <w:pStyle w:val="ListBullet"/>
      </w:pPr>
      <w:r>
        <w:t>Digital patient engagement system optimisation</w:t>
      </w:r>
    </w:p>
    <w:p>
      <w:pPr>
        <w:pStyle w:val="ListBullet"/>
      </w:pPr>
      <w:r>
        <w:t>Regional healthcare marketing approach refinement</w:t>
      </w:r>
    </w:p>
    <w:p/>
    <w:p>
      <w:r>
        <w:rPr>
          <w:b/>
        </w:rPr>
        <w:t>Phase 4 Content Strategy Development:</w:t>
      </w:r>
    </w:p>
    <w:p>
      <w:pPr>
        <w:pStyle w:val="ListBullet"/>
      </w:pPr>
      <w:r>
        <w:t>12-month editorial calendar with 48 blog posts</w:t>
      </w:r>
    </w:p>
    <w:p>
      <w:pPr>
        <w:pStyle w:val="ListBullet"/>
      </w:pPr>
      <w:r>
        <w:t>Patient journey-focused content development</w:t>
      </w:r>
    </w:p>
    <w:p>
      <w:pPr>
        <w:pStyle w:val="ListBullet"/>
      </w:pPr>
      <w:r>
        <w:t>AI optimisation for healthcare search queries</w:t>
      </w:r>
    </w:p>
    <w:p>
      <w:pPr>
        <w:pStyle w:val="ListBullet"/>
      </w:pPr>
      <w:r>
        <w:t>Conversion optimisation for appointment booking and patient enquiry generation</w:t>
      </w:r>
    </w:p>
    <w:p/>
    <w:p/>
    <w:p>
      <w:pPr>
        <w:jc w:val="center"/>
      </w:pPr>
      <w:r>
        <w:t>__________________________________________________</w:t>
      </w:r>
    </w:p>
    <w:p/>
    <w:p/>
    <w:p>
      <w:r>
        <w:rPr>
          <w:b/>
        </w:rPr>
        <w:t>Research Completion Status:</w:t>
      </w:r>
      <w:r>
        <w:t xml:space="preserve"> Phase 1 Complete - Foundation Research &amp; Strategic Analysis</w:t>
      </w:r>
    </w:p>
    <w:p>
      <w:r>
        <w:rPr>
          <w:b/>
        </w:rPr>
        <w:t>Next Phase:</w:t>
      </w:r>
      <w:r>
        <w:t xml:space="preserve"> Competitive Intelligence &amp; Search Landscape Analysis</w:t>
      </w:r>
    </w:p>
    <w:p>
      <w:r>
        <w:rPr>
          <w:b/>
        </w:rPr>
        <w:t>Quality Assurance:</w:t>
      </w:r>
      <w:r>
        <w:t xml:space="preserve"> Research findings verified through multiple authoritative sources</w:t>
      </w:r>
    </w:p>
    <w:p>
      <w:r>
        <w:rPr>
          <w:b/>
        </w:rPr>
        <w:t>Compliance Verification:</w:t>
      </w:r>
      <w:r>
        <w:t xml:space="preserve"> AHPRA and TGA guidelines incorporated throughout analysis</w:t>
      </w:r>
      <w:r>
        <w:rPr>
          <w:b/>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