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centreforgastrointestinalhealth.com.au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"Centreforgastrointestinalhealth Com Au",</w:t>
      </w:r>
    </w:p>
    <w:p>
      <w:r>
        <w:t>"description": "[Professional service description]",</w:t>
      </w:r>
    </w:p>
    <w:p>
      <w:r>
        <w:t>"url": "https://centreforgastrointestinalhealth.com.au",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