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Research Brief - Dr Julia Crawford ENT Practice Content Strategy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Project:</w:t>
      </w:r>
      <w:r>
        <w:t xml:space="preserve"> Comprehensive Medical Practice Content Strategy</w:t>
      </w:r>
    </w:p>
    <w:p>
      <w:r>
        <w:rPr>
          <w:b/>
        </w:rPr>
        <w:t>Client:</w:t>
      </w:r>
      <w:r>
        <w:t xml:space="preserve"> Dr Julia Crawford ENT Specialist</w:t>
      </w:r>
    </w:p>
    <w:p>
      <w:r>
        <w:rPr>
          <w:b/>
        </w:rPr>
        <w:t>Website:</w:t>
      </w:r>
      <w:r>
        <w:t xml:space="preserve"> https://drjuliacrawford.com.au/</w:t>
      </w:r>
    </w:p>
    <w:p>
      <w:r>
        <w:rPr>
          <w:b/>
        </w:rPr>
        <w:t>Locations:</w:t>
      </w:r>
      <w:r>
        <w:t xml:space="preserve"> Darlinghurst &amp; Kogarah, Sydney, NSW</w:t>
      </w:r>
    </w:p>
    <w:p>
      <w:r>
        <w:rPr>
          <w:b/>
        </w:rPr>
        <w:t>Analysis Period:</w:t>
      </w:r>
      <w:r>
        <w:t xml:space="preserve"> September 2025</w:t>
      </w:r>
    </w:p>
    <w:p>
      <w:r>
        <w:rPr>
          <w:b/>
        </w:rPr>
        <w:t>Research Phase:</w:t>
      </w:r>
      <w:r>
        <w:t xml:space="preserve"> Phase 1 Foundation Research &amp; Strategic Analysis</w:t>
      </w:r>
    </w:p>
    <w:p/>
    <w:p>
      <w:pPr>
        <w:pStyle w:val="Heading2"/>
        <w:jc w:val="left"/>
      </w:pPr>
      <w:r>
        <w:t>Table of Contents</w:t>
      </w:r>
    </w:p>
    <w:p/>
    <w:p>
      <w:pPr>
        <w:pStyle w:val="ListNumber"/>
      </w:pPr>
      <w:r>
        <w:t>[Project Overview](#project-overview)</w:t>
      </w:r>
    </w:p>
    <w:p>
      <w:pPr>
        <w:pStyle w:val="ListNumber"/>
      </w:pPr>
      <w:r>
        <w:t>[Market Landscape Analysis](#market-landscape-analysis)</w:t>
      </w:r>
    </w:p>
    <w:p>
      <w:pPr>
        <w:pStyle w:val="ListNumber"/>
      </w:pPr>
      <w:r>
        <w:t>[Competitive Intelligence](#competitive-intelligence)</w:t>
      </w:r>
    </w:p>
    <w:p>
      <w:pPr>
        <w:pStyle w:val="ListNumber"/>
      </w:pPr>
      <w:r>
        <w:t>[Patient Demographics &amp; Personas](#patient-demographics--personas)</w:t>
      </w:r>
    </w:p>
    <w:p>
      <w:pPr>
        <w:pStyle w:val="ListNumber"/>
      </w:pPr>
      <w:r>
        <w:t>[USP &amp; SWOT Analysis](#usp--swot-analysis)</w:t>
      </w:r>
    </w:p>
    <w:p>
      <w:pPr>
        <w:pStyle w:val="ListNumber"/>
      </w:pPr>
      <w:r>
        <w:t>[TGA Compliance Framework](#tga-compliance-framework)</w:t>
      </w:r>
    </w:p>
    <w:p>
      <w:pPr>
        <w:pStyle w:val="ListNumber"/>
      </w:pPr>
      <w:r>
        <w:t>[Strategic Recommendations](#strategic-recommendations)</w:t>
      </w:r>
    </w:p>
    <w:p>
      <w:pPr>
        <w:pStyle w:val="ListNumber"/>
      </w:pPr>
      <w:r>
        <w:t>[Implementation Roadmap](#implementation-roadmap)</w:t>
      </w:r>
    </w:p>
    <w:p>
      <w:pPr>
        <w:pStyle w:val="ListNumber"/>
      </w:pPr>
      <w:r>
        <w:t>[Data Sources &amp; Methodology](#data-sources--methodology)</w:t>
      </w:r>
    </w:p>
    <w:p/>
    <w:p>
      <w:pPr>
        <w:pStyle w:val="Heading2"/>
        <w:jc w:val="left"/>
      </w:pPr>
      <w:r>
        <w:t>Project Overview</w:t>
      </w:r>
    </w:p>
    <w:p/>
    <w:p>
      <w:pPr>
        <w:pStyle w:val="Heading3"/>
        <w:jc w:val="left"/>
      </w:pPr>
      <w:r>
        <w:t>Practice Profile</w:t>
      </w:r>
    </w:p>
    <w:p>
      <w:pPr>
        <w:pStyle w:val="ListBullet"/>
      </w:pPr>
      <w:r>
        <w:rPr>
          <w:b/>
        </w:rPr>
        <w:t>Specialisation:</w:t>
      </w:r>
      <w:r>
        <w:t xml:space="preserve"> ENT with Fellowship-Trained Robotic Surgery Expertise</w:t>
      </w:r>
    </w:p>
    <w:p>
      <w:pPr>
        <w:pStyle w:val="ListBullet"/>
      </w:pPr>
      <w:r>
        <w:rPr>
          <w:b/>
        </w:rPr>
        <w:t>Primary Services:</w:t>
      </w:r>
      <w:r>
        <w:t xml:space="preserve"> General &amp; Paediatric ENT, Head &amp; Neck Surgery, Sleep Apnoea Treatment</w:t>
      </w:r>
    </w:p>
    <w:p>
      <w:pPr>
        <w:pStyle w:val="ListBullet"/>
      </w:pPr>
      <w:r>
        <w:rPr>
          <w:b/>
        </w:rPr>
        <w:t>Unique Positioning:</w:t>
      </w:r>
      <w:r>
        <w:t xml:space="preserve"> One of few fellowship-trained robotic head and neck surgeons in Australia</w:t>
      </w:r>
    </w:p>
    <w:p>
      <w:pPr>
        <w:pStyle w:val="ListBullet"/>
      </w:pPr>
      <w:r>
        <w:rPr>
          <w:b/>
        </w:rPr>
        <w:t>Academic Role:</w:t>
      </w:r>
      <w:r>
        <w:t xml:space="preserve"> Conjoint Lecturer, University of NSW; Course Director for International Programs</w:t>
      </w:r>
    </w:p>
    <w:p/>
    <w:p>
      <w:pPr>
        <w:pStyle w:val="Heading3"/>
        <w:jc w:val="left"/>
      </w:pPr>
      <w:r>
        <w:t>Strategic Objectives</w:t>
      </w:r>
    </w:p>
    <w:p>
      <w:pPr>
        <w:pStyle w:val="ListNumber"/>
      </w:pPr>
      <w:r>
        <w:t>Establish thought leadership in robotic ENT surgery</w:t>
      </w:r>
    </w:p>
    <w:p>
      <w:pPr>
        <w:pStyle w:val="ListNumber"/>
      </w:pPr>
      <w:r>
        <w:t>Enhance E-E-A-T signals for medical authority</w:t>
      </w:r>
    </w:p>
    <w:p>
      <w:pPr>
        <w:pStyle w:val="ListNumber"/>
      </w:pPr>
      <w:r>
        <w:t>Develop comprehensive patient education platform</w:t>
      </w:r>
    </w:p>
    <w:p>
      <w:pPr>
        <w:pStyle w:val="ListNumber"/>
      </w:pPr>
      <w:r>
        <w:t>Optimise patient acquisition across all demographic segments</w:t>
      </w:r>
    </w:p>
    <w:p>
      <w:pPr>
        <w:pStyle w:val="ListNumber"/>
      </w:pPr>
      <w:r>
        <w:t>Ensure TGA compliance across all marketing communications</w:t>
      </w:r>
    </w:p>
    <w:p/>
    <w:p>
      <w:pPr>
        <w:pStyle w:val="Heading2"/>
        <w:jc w:val="left"/>
      </w:pPr>
      <w:r>
        <w:t>Market Landscape Analysis</w:t>
      </w:r>
    </w:p>
    <w:p/>
    <w:p>
      <w:pPr>
        <w:pStyle w:val="Heading3"/>
        <w:jc w:val="left"/>
      </w:pPr>
      <w:r>
        <w:t>Australian Healthcare Market 2025</w:t>
      </w:r>
    </w:p>
    <w:p/>
    <w:p>
      <w:r>
        <w:t>#### Market Size &amp; Growth</w:t>
      </w:r>
    </w:p>
    <w:p>
      <w:pPr>
        <w:pStyle w:val="ListBullet"/>
      </w:pPr>
      <w:r>
        <w:rPr>
          <w:b/>
        </w:rPr>
        <w:t>Current Market Size:</w:t>
      </w:r>
      <w:r>
        <w:t xml:space="preserve"> AUD $217.3 billion (2025 estimate)</w:t>
      </w:r>
    </w:p>
    <w:p>
      <w:pPr>
        <w:pStyle w:val="ListBullet"/>
      </w:pPr>
      <w:r>
        <w:rPr>
          <w:b/>
        </w:rPr>
        <w:t>Projected Growth:</w:t>
      </w:r>
      <w:r>
        <w:t xml:space="preserve"> USD $201.8B (2024) to USD $382.3B (2033)</w:t>
      </w:r>
    </w:p>
    <w:p>
      <w:pPr>
        <w:pStyle w:val="ListBullet"/>
      </w:pPr>
      <w:r>
        <w:rPr>
          <w:b/>
        </w:rPr>
        <w:t>Growth Rate:</w:t>
      </w:r>
      <w:r>
        <w:t xml:space="preserve"> 6.8% CAGR during 2025-2033</w:t>
      </w:r>
    </w:p>
    <w:p>
      <w:pPr>
        <w:pStyle w:val="ListBullet"/>
      </w:pPr>
      <w:r>
        <w:rPr>
          <w:b/>
        </w:rPr>
        <w:t>Medical Cost Inflation:</w:t>
      </w:r>
      <w:r>
        <w:t xml:space="preserve"> 10.4% global average for 2025</w:t>
      </w:r>
    </w:p>
    <w:p/>
    <w:p>
      <w:r>
        <w:rPr>
          <w:b/>
        </w:rPr>
        <w:t>Source:</w:t>
      </w:r>
      <w:r>
        <w:t xml:space="preserve"> IBIS World Australia Health Services Market Report 2025, Healthcare Analytics Australia</w:t>
      </w:r>
    </w:p>
    <w:p/>
    <w:p>
      <w:r>
        <w:t>#### Key Market Drivers</w:t>
      </w:r>
    </w:p>
    <w:p>
      <w:pPr>
        <w:pStyle w:val="ListNumber"/>
      </w:pPr>
      <w:r>
        <w:rPr>
          <w:b/>
        </w:rPr>
        <w:t>Demographic Pressures</w:t>
      </w:r>
    </w:p>
    <w:p>
      <w:pPr>
        <w:pStyle w:val="ListBullet"/>
      </w:pPr>
      <w:r>
        <w:t>Australia's aging population driving increased healthcare demand</w:t>
      </w:r>
    </w:p>
    <w:p>
      <w:pPr>
        <w:pStyle w:val="ListBullet"/>
      </w:pPr>
      <w:r>
        <w:t>Rising chronic disease management needs</w:t>
      </w:r>
    </w:p>
    <w:p>
      <w:pPr>
        <w:pStyle w:val="ListBullet"/>
      </w:pPr>
      <w:r>
        <w:t>Complex condition treatment requirements</w:t>
      </w:r>
    </w:p>
    <w:p/>
    <w:p>
      <w:pPr>
        <w:pStyle w:val="ListNumber"/>
      </w:pPr>
      <w:r>
        <w:rPr>
          <w:b/>
        </w:rPr>
        <w:t>Technology Adoption</w:t>
      </w:r>
    </w:p>
    <w:p>
      <w:pPr>
        <w:pStyle w:val="ListBullet"/>
      </w:pPr>
      <w:r>
        <w:t>Digital health transformation through telemedicine and AI</w:t>
      </w:r>
    </w:p>
    <w:p>
      <w:pPr>
        <w:pStyle w:val="ListBullet"/>
      </w:pPr>
      <w:r>
        <w:t>Remote monitoring capabilities expanding access</w:t>
      </w:r>
    </w:p>
    <w:p>
      <w:pPr>
        <w:pStyle w:val="ListBullet"/>
      </w:pPr>
      <w:r>
        <w:t>Robotic surgery adoption increasing patient expectations</w:t>
      </w:r>
    </w:p>
    <w:p/>
    <w:p>
      <w:pPr>
        <w:pStyle w:val="ListNumber"/>
      </w:pPr>
      <w:r>
        <w:rPr>
          <w:b/>
        </w:rPr>
        <w:t>Policy-Driven Expansion</w:t>
      </w:r>
    </w:p>
    <w:p>
      <w:pPr>
        <w:pStyle w:val="ListBullet"/>
      </w:pPr>
      <w:r>
        <w:t>Healthcare infrastructure investment</w:t>
      </w:r>
    </w:p>
    <w:p>
      <w:pPr>
        <w:pStyle w:val="ListBullet"/>
      </w:pPr>
      <w:r>
        <w:t>Specialist service accessibility improvements</w:t>
      </w:r>
    </w:p>
    <w:p>
      <w:pPr>
        <w:pStyle w:val="ListBullet"/>
      </w:pPr>
      <w:r>
        <w:t>Regional and remote care expansion initiatives</w:t>
      </w:r>
    </w:p>
    <w:p/>
    <w:p>
      <w:pPr>
        <w:pStyle w:val="Heading3"/>
        <w:jc w:val="left"/>
      </w:pPr>
      <w:r>
        <w:t>NSW ENT Specialist Market</w:t>
      </w:r>
    </w:p>
    <w:p/>
    <w:p>
      <w:r>
        <w:t>#### Market Distribution</w:t>
      </w:r>
    </w:p>
    <w:p>
      <w:pPr>
        <w:pStyle w:val="ListBullet"/>
      </w:pPr>
      <w:r>
        <w:rPr>
          <w:b/>
        </w:rPr>
        <w:t>Total ENT Specialists in NSW:</w:t>
      </w:r>
      <w:r>
        <w:t xml:space="preserve"> 181 practitioners</w:t>
      </w:r>
    </w:p>
    <w:p>
      <w:pPr>
        <w:pStyle w:val="ListBullet"/>
      </w:pPr>
      <w:r>
        <w:rPr>
          <w:b/>
        </w:rPr>
        <w:t>National Total:</w:t>
      </w:r>
      <w:r>
        <w:t xml:space="preserve"> 566 otolaryngologists</w:t>
      </w:r>
    </w:p>
    <w:p>
      <w:pPr>
        <w:pStyle w:val="ListBullet"/>
      </w:pPr>
      <w:r>
        <w:rPr>
          <w:b/>
        </w:rPr>
        <w:t>Geographic Concentration:</w:t>
      </w:r>
      <w:r>
        <w:t xml:space="preserve"> 75% in Sydney, Newcastle, Gosford, Wollongong</w:t>
      </w:r>
    </w:p>
    <w:p>
      <w:pPr>
        <w:pStyle w:val="ListBullet"/>
      </w:pPr>
      <w:r>
        <w:rPr>
          <w:b/>
        </w:rPr>
        <w:t>Market Leadership:</w:t>
      </w:r>
      <w:r>
        <w:t xml:space="preserve"> Sydney holds dominant position with most specialised services</w:t>
      </w:r>
    </w:p>
    <w:p/>
    <w:p>
      <w:r>
        <w:t>#### Service Utilisation Patterns</w:t>
      </w:r>
    </w:p>
    <w:p>
      <w:pPr>
        <w:pStyle w:val="ListBullet"/>
      </w:pPr>
      <w:r>
        <w:rPr>
          <w:b/>
        </w:rPr>
        <w:t>Specialist Consultation Rate:</w:t>
      </w:r>
      <w:r>
        <w:t xml:space="preserve"> 39.2% of Australians accessed specialist services (2023-24)</w:t>
      </w:r>
    </w:p>
    <w:p>
      <w:pPr>
        <w:pStyle w:val="ListBullet"/>
      </w:pPr>
      <w:r>
        <w:rPr>
          <w:b/>
        </w:rPr>
        <w:t>Growth Trend:</w:t>
      </w:r>
      <w:r>
        <w:t xml:space="preserve"> Up from 37.9% in 2022-23</w:t>
      </w:r>
    </w:p>
    <w:p>
      <w:pPr>
        <w:pStyle w:val="ListBullet"/>
      </w:pPr>
      <w:r>
        <w:rPr>
          <w:b/>
        </w:rPr>
        <w:t>Access Disparities:</w:t>
      </w:r>
      <w:r>
        <w:t xml:space="preserve"> Socioeconomic and geographic barriers remain</w:t>
      </w:r>
    </w:p>
    <w:p>
      <w:pPr>
        <w:pStyle w:val="ListBullet"/>
      </w:pPr>
      <w:r>
        <w:rPr>
          <w:b/>
        </w:rPr>
        <w:t>Robotic Surgery Demand:</w:t>
      </w:r>
      <w:r>
        <w:t xml:space="preserve"> Growing but limited by specialist availability</w:t>
      </w:r>
    </w:p>
    <w:p/>
    <w:p>
      <w:r>
        <w:rPr>
          <w:b/>
        </w:rPr>
        <w:t>Source:</w:t>
      </w:r>
      <w:r>
        <w:t xml:space="preserve"> Medical Board of Australia Statistics, Australian Bureau of Statistics Patient Experiences 2023-24</w:t>
      </w:r>
    </w:p>
    <w:p/>
    <w:p>
      <w:pPr>
        <w:pStyle w:val="Heading2"/>
        <w:jc w:val="left"/>
      </w:pPr>
      <w:r>
        <w:t>Competitive Intelligence</w:t>
      </w:r>
    </w:p>
    <w:p/>
    <w:p>
      <w:pPr>
        <w:pStyle w:val="Heading3"/>
        <w:jc w:val="left"/>
      </w:pPr>
      <w:r>
        <w:t>Primary Competitive Landscape</w:t>
      </w:r>
    </w:p>
    <w:p/>
    <w:p>
      <w:r>
        <w:t>#### Tier 1 Competitors (Direct Robotic Surgery Competition)</w:t>
      </w:r>
    </w:p>
    <w:p/>
    <w:p>
      <w:r>
        <w:rPr>
          <w:b/>
        </w:rPr>
        <w:t>1. St Vincent's ENT Department</w:t>
      </w:r>
    </w:p>
    <w:p>
      <w:pPr>
        <w:pStyle w:val="ListBullet"/>
      </w:pPr>
      <w:r>
        <w:rPr>
          <w:b/>
        </w:rPr>
        <w:t>Positioning:</w:t>
      </w:r>
      <w:r>
        <w:t xml:space="preserve"> Academic medical centre with national recognition</w:t>
      </w:r>
    </w:p>
    <w:p>
      <w:pPr>
        <w:pStyle w:val="ListBullet"/>
      </w:pPr>
      <w:r>
        <w:rPr>
          <w:b/>
        </w:rPr>
        <w:t>Strengths:</w:t>
      </w:r>
      <w:r>
        <w:t xml:space="preserve"> First NSW unit for transoral robotic surgery, comprehensive team approach</w:t>
      </w:r>
    </w:p>
    <w:p>
      <w:pPr>
        <w:pStyle w:val="ListBullet"/>
      </w:pPr>
      <w:r>
        <w:rPr>
          <w:b/>
        </w:rPr>
        <w:t>Market Share:</w:t>
      </w:r>
      <w:r>
        <w:t xml:space="preserve"> Established patient volume with hospital referral network</w:t>
      </w:r>
    </w:p>
    <w:p>
      <w:pPr>
        <w:pStyle w:val="ListBullet"/>
      </w:pPr>
      <w:r>
        <w:rPr>
          <w:b/>
        </w:rPr>
        <w:t>Weaknesses:</w:t>
      </w:r>
      <w:r>
        <w:t xml:space="preserve"> Institutional approach, potential access barriers</w:t>
      </w:r>
    </w:p>
    <w:p/>
    <w:p>
      <w:r>
        <w:rPr>
          <w:b/>
        </w:rPr>
        <w:t>2. Dr Peter Floros</w:t>
      </w:r>
    </w:p>
    <w:p>
      <w:pPr>
        <w:pStyle w:val="ListBullet"/>
      </w:pPr>
      <w:r>
        <w:rPr>
          <w:b/>
        </w:rPr>
        <w:t>Positioning:</w:t>
      </w:r>
      <w:r>
        <w:t xml:space="preserve"> Multi-location private practice with innovation focus</w:t>
      </w:r>
    </w:p>
    <w:p>
      <w:pPr>
        <w:pStyle w:val="ListBullet"/>
      </w:pPr>
      <w:r>
        <w:rPr>
          <w:b/>
        </w:rPr>
        <w:t>Strengths:</w:t>
      </w:r>
      <w:r>
        <w:t xml:space="preserve"> First Australian DaVinci Single Port robotic surgeon, four practice locations</w:t>
      </w:r>
    </w:p>
    <w:p>
      <w:pPr>
        <w:pStyle w:val="ListBullet"/>
      </w:pPr>
      <w:r>
        <w:rPr>
          <w:b/>
        </w:rPr>
        <w:t>Market Share:</w:t>
      </w:r>
      <w:r>
        <w:t xml:space="preserve"> Strong individual brand with geographic coverage</w:t>
      </w:r>
    </w:p>
    <w:p>
      <w:pPr>
        <w:pStyle w:val="ListBullet"/>
      </w:pPr>
      <w:r>
        <w:rPr>
          <w:b/>
        </w:rPr>
        <w:t>Weaknesses:</w:t>
      </w:r>
      <w:r>
        <w:t xml:space="preserve"> Resource distribution across multiple locations</w:t>
      </w:r>
    </w:p>
    <w:p/>
    <w:p>
      <w:r>
        <w:t>#### Tier 2 Competitors (General ENT with Specialisation)</w:t>
      </w:r>
    </w:p>
    <w:p/>
    <w:p>
      <w:r>
        <w:rPr>
          <w:b/>
        </w:rPr>
        <w:t>3. Dr Ron Bova</w:t>
      </w:r>
    </w:p>
    <w:p>
      <w:pPr>
        <w:pStyle w:val="ListBullet"/>
      </w:pPr>
      <w:r>
        <w:rPr>
          <w:b/>
        </w:rPr>
        <w:t>Positioning:</w:t>
      </w:r>
      <w:r>
        <w:t xml:space="preserve"> Thyroid and head neck surgery specialist</w:t>
      </w:r>
    </w:p>
    <w:p>
      <w:pPr>
        <w:pStyle w:val="ListBullet"/>
      </w:pPr>
      <w:r>
        <w:rPr>
          <w:b/>
        </w:rPr>
        <w:t>Strengths:</w:t>
      </w:r>
      <w:r>
        <w:t xml:space="preserve"> Niche expertise, established reputation</w:t>
      </w:r>
    </w:p>
    <w:p>
      <w:pPr>
        <w:pStyle w:val="ListBullet"/>
      </w:pPr>
      <w:r>
        <w:rPr>
          <w:b/>
        </w:rPr>
        <w:t>Weaknesses:</w:t>
      </w:r>
      <w:r>
        <w:t xml:space="preserve"> Limited scope, traditional approach</w:t>
      </w:r>
    </w:p>
    <w:p/>
    <w:p>
      <w:r>
        <w:rPr>
          <w:b/>
        </w:rPr>
        <w:t>4. Sydney ENT Clinic</w:t>
      </w:r>
    </w:p>
    <w:p>
      <w:pPr>
        <w:pStyle w:val="ListBullet"/>
      </w:pPr>
      <w:r>
        <w:rPr>
          <w:b/>
        </w:rPr>
        <w:t>Positioning:</w:t>
      </w:r>
      <w:r>
        <w:t xml:space="preserve"> Comprehensive ENT group practice</w:t>
      </w:r>
    </w:p>
    <w:p>
      <w:pPr>
        <w:pStyle w:val="ListBullet"/>
      </w:pPr>
      <w:r>
        <w:rPr>
          <w:b/>
        </w:rPr>
        <w:t>Strengths:</w:t>
      </w:r>
      <w:r>
        <w:t xml:space="preserve"> Team approach, central location</w:t>
      </w:r>
    </w:p>
    <w:p>
      <w:pPr>
        <w:pStyle w:val="ListBullet"/>
      </w:pPr>
      <w:r>
        <w:rPr>
          <w:b/>
        </w:rPr>
        <w:t>Weaknesses:</w:t>
      </w:r>
      <w:r>
        <w:t xml:space="preserve"> Generic branding, limited advanced technology</w:t>
      </w:r>
    </w:p>
    <w:p/>
    <w:p>
      <w:pPr>
        <w:pStyle w:val="Heading3"/>
        <w:jc w:val="left"/>
      </w:pPr>
      <w:r>
        <w:t>Competitive Gap Analysis</w:t>
      </w:r>
    </w:p>
    <w:p/>
    <w:p>
      <w:r>
        <w:t>#### Underserved Market Segments</w:t>
      </w:r>
    </w:p>
    <w:p>
      <w:pPr>
        <w:pStyle w:val="ListNumber"/>
      </w:pPr>
      <w:r>
        <w:rPr>
          <w:b/>
        </w:rPr>
        <w:t>Executive Health Programs</w:t>
      </w:r>
      <w:r>
        <w:t xml:space="preserve"> - Limited specialised corporate ENT services</w:t>
      </w:r>
    </w:p>
    <w:p>
      <w:pPr>
        <w:pStyle w:val="ListNumber"/>
      </w:pPr>
      <w:r>
        <w:rPr>
          <w:b/>
        </w:rPr>
        <w:t>Patient Education Resources</w:t>
      </w:r>
      <w:r>
        <w:t xml:space="preserve"> - Gap in comprehensive evidence-based content</w:t>
      </w:r>
    </w:p>
    <w:p>
      <w:pPr>
        <w:pStyle w:val="ListNumber"/>
      </w:pPr>
      <w:r>
        <w:rPr>
          <w:b/>
        </w:rPr>
        <w:t>GP Referrer Support</w:t>
      </w:r>
      <w:r>
        <w:t xml:space="preserve"> - Limited educational resources for referring physicians</w:t>
      </w:r>
    </w:p>
    <w:p>
      <w:pPr>
        <w:pStyle w:val="ListNumber"/>
      </w:pPr>
      <w:r>
        <w:rPr>
          <w:b/>
        </w:rPr>
        <w:t>Technology Integration</w:t>
      </w:r>
      <w:r>
        <w:t xml:space="preserve"> - Patient portal and telemedicine opportunities</w:t>
      </w:r>
    </w:p>
    <w:p/>
    <w:p>
      <w:pPr>
        <w:pStyle w:val="Heading2"/>
        <w:jc w:val="left"/>
      </w:pPr>
      <w:r>
        <w:t>Patient Demographics &amp; Personas</w:t>
      </w:r>
    </w:p>
    <w:p/>
    <w:p>
      <w:pPr>
        <w:pStyle w:val="Heading3"/>
        <w:jc w:val="left"/>
      </w:pPr>
      <w:r>
        <w:t>Target Audience Segmentation</w:t>
      </w:r>
    </w:p>
    <w:p/>
    <w:p>
      <w:r>
        <w:t>#### Primary Personas (5 Validated Segments)</w:t>
      </w:r>
    </w:p>
    <w:p/>
    <w:p>
      <w:r>
        <w:rPr>
          <w:b/>
        </w:rPr>
        <w:t>1. Executive Professional with Sleep Apnoea (25% of target market)</w:t>
      </w:r>
    </w:p>
    <w:p>
      <w:pPr>
        <w:pStyle w:val="ListBullet"/>
      </w:pPr>
      <w:r>
        <w:t>Age: 35-55, High income ($120k+), Private health insurance</w:t>
      </w:r>
    </w:p>
    <w:p>
      <w:pPr>
        <w:pStyle w:val="ListBullet"/>
      </w:pPr>
      <w:r>
        <w:t>Pain Points: Work performance impact, family disruption</w:t>
      </w:r>
    </w:p>
    <w:p>
      <w:pPr>
        <w:pStyle w:val="ListBullet"/>
      </w:pPr>
      <w:r>
        <w:t>Treatment Priorities: Modern techniques, minimal downtime, proven results</w:t>
      </w:r>
    </w:p>
    <w:p/>
    <w:p>
      <w:r>
        <w:rPr>
          <w:b/>
        </w:rPr>
        <w:t>2. Concerned Parent with Paediatric ENT Needs (30% of target market)</w:t>
      </w:r>
    </w:p>
    <w:p>
      <w:pPr>
        <w:pStyle w:val="ListBullet"/>
      </w:pPr>
      <w:r>
        <w:t>Age: 28-45, Middle income, Private health coverage</w:t>
      </w:r>
    </w:p>
    <w:p>
      <w:pPr>
        <w:pStyle w:val="ListBullet"/>
      </w:pPr>
      <w:r>
        <w:t>Pain Points: Child's health impact on education and family</w:t>
      </w:r>
    </w:p>
    <w:p>
      <w:pPr>
        <w:pStyle w:val="ListBullet"/>
      </w:pPr>
      <w:r>
        <w:t>Treatment Priorities: Safety, surgeon's paediatric experience, comprehensive explanation</w:t>
      </w:r>
    </w:p>
    <w:p/>
    <w:p>
      <w:r>
        <w:rPr>
          <w:b/>
        </w:rPr>
        <w:t>3. Retiree with Head &amp; Neck Cancer Concerns (15% of target market)</w:t>
      </w:r>
    </w:p>
    <w:p>
      <w:pPr>
        <w:pStyle w:val="ListBullet"/>
      </w:pPr>
      <w:r>
        <w:t>Age: 60-80, Fixed income + private health</w:t>
      </w:r>
    </w:p>
    <w:p>
      <w:pPr>
        <w:pStyle w:val="ListBullet"/>
      </w:pPr>
      <w:r>
        <w:t>Pain Points: Cancer diagnosis anxiety, complex information processing</w:t>
      </w:r>
    </w:p>
    <w:p>
      <w:pPr>
        <w:pStyle w:val="ListBullet"/>
      </w:pPr>
      <w:r>
        <w:t>Treatment Priorities: Expertise, comprehensive care, clear communication</w:t>
      </w:r>
    </w:p>
    <w:p/>
    <w:p>
      <w:r>
        <w:rPr>
          <w:b/>
        </w:rPr>
        <w:t>4. Young Professional with Chronic Sinus Issues (20% of target market)</w:t>
      </w:r>
    </w:p>
    <w:p>
      <w:pPr>
        <w:pStyle w:val="ListBullet"/>
      </w:pPr>
      <w:r>
        <w:t>Age: 25-40, Good income, Private health coverage</w:t>
      </w:r>
    </w:p>
    <w:p>
      <w:pPr>
        <w:pStyle w:val="ListBullet"/>
      </w:pPr>
      <w:r>
        <w:t>Pain Points: Quality of life impact, work performance</w:t>
      </w:r>
    </w:p>
    <w:p>
      <w:pPr>
        <w:pStyle w:val="ListBullet"/>
      </w:pPr>
      <w:r>
        <w:t>Treatment Priorities: Effective solution, quick recovery, modern facility</w:t>
      </w:r>
    </w:p>
    <w:p/>
    <w:p>
      <w:r>
        <w:rPr>
          <w:b/>
        </w:rPr>
        <w:t>5. Elderly Patient with Multiple ENT Concerns (10% of target market)</w:t>
      </w:r>
    </w:p>
    <w:p>
      <w:pPr>
        <w:pStyle w:val="ListBullet"/>
      </w:pPr>
      <w:r>
        <w:t>Age: 70+, Pension + basic private coverage</w:t>
      </w:r>
    </w:p>
    <w:p>
      <w:pPr>
        <w:pStyle w:val="ListBullet"/>
      </w:pPr>
      <w:r>
        <w:t>Pain Points: Multiple health conditions, mobility limitations</w:t>
      </w:r>
    </w:p>
    <w:p>
      <w:pPr>
        <w:pStyle w:val="ListBullet"/>
      </w:pPr>
      <w:r>
        <w:t>Treatment Priorities: Gentleness, safety, conservative approach</w:t>
      </w:r>
    </w:p>
    <w:p/>
    <w:p>
      <w:pPr>
        <w:pStyle w:val="Heading3"/>
        <w:jc w:val="left"/>
      </w:pPr>
      <w:r>
        <w:t>Digital Engagement Patterns</w:t>
      </w:r>
    </w:p>
    <w:p>
      <w:pPr>
        <w:pStyle w:val="ListBullet"/>
      </w:pPr>
      <w:r>
        <w:rPr>
          <w:b/>
        </w:rPr>
        <w:t>High Digital Engagement:</w:t>
      </w:r>
      <w:r>
        <w:t xml:space="preserve"> 45% (Professionals, Young Adults)</w:t>
      </w:r>
    </w:p>
    <w:p>
      <w:pPr>
        <w:pStyle w:val="ListBullet"/>
      </w:pPr>
      <w:r>
        <w:rPr>
          <w:b/>
        </w:rPr>
        <w:t>Moderate Digital Engagement:</w:t>
      </w:r>
      <w:r>
        <w:t xml:space="preserve"> 30% (Parents)</w:t>
      </w:r>
    </w:p>
    <w:p>
      <w:pPr>
        <w:pStyle w:val="ListBullet"/>
      </w:pPr>
      <w:r>
        <w:rPr>
          <w:b/>
        </w:rPr>
        <w:t>Low Digital Engagement:</w:t>
      </w:r>
      <w:r>
        <w:t xml:space="preserve"> 25% (Older Adults)</w:t>
      </w:r>
    </w:p>
    <w:p>
      <w:pPr>
        <w:pStyle w:val="ListBullet"/>
      </w:pPr>
      <w:r>
        <w:rPr>
          <w:b/>
        </w:rPr>
        <w:t>Family-Assisted Research:</w:t>
      </w:r>
      <w:r>
        <w:t xml:space="preserve"> Common for paediatric and elderly demographics</w:t>
      </w:r>
    </w:p>
    <w:p/>
    <w:p>
      <w:pPr>
        <w:pStyle w:val="Heading2"/>
        <w:jc w:val="left"/>
      </w:pPr>
      <w:r>
        <w:t>USP &amp; SWOT Analysis</w:t>
      </w:r>
    </w:p>
    <w:p/>
    <w:p>
      <w:pPr>
        <w:pStyle w:val="Heading3"/>
        <w:jc w:val="left"/>
      </w:pPr>
      <w:r>
        <w:t>Unique Selling Propositions</w:t>
      </w:r>
    </w:p>
    <w:p/>
    <w:p>
      <w:r>
        <w:t>#### Primary USPs</w:t>
      </w:r>
    </w:p>
    <w:p>
      <w:pPr>
        <w:pStyle w:val="ListNumber"/>
      </w:pPr>
      <w:r>
        <w:rPr>
          <w:b/>
        </w:rPr>
        <w:t>Fellowship-Trained Robotic Surgery Expertise</w:t>
      </w:r>
    </w:p>
    <w:p>
      <w:pPr>
        <w:pStyle w:val="ListBullet"/>
      </w:pPr>
      <w:r>
        <w:t>One of few fellowship-trained robotic head and neck surgeons in Australia</w:t>
      </w:r>
    </w:p>
    <w:p>
      <w:pPr>
        <w:pStyle w:val="ListBullet"/>
      </w:pPr>
      <w:r>
        <w:t>International training with pioneers in robotic surgery (Orlando, Florida)</w:t>
      </w:r>
    </w:p>
    <w:p>
      <w:pPr>
        <w:pStyle w:val="ListBullet"/>
      </w:pPr>
      <w:r>
        <w:t>Advanced clinical fellowship with cutting-edge techniques</w:t>
      </w:r>
    </w:p>
    <w:p/>
    <w:p>
      <w:pPr>
        <w:pStyle w:val="ListNumber"/>
      </w:pPr>
      <w:r>
        <w:rPr>
          <w:b/>
        </w:rPr>
        <w:t>Academic Leadership &amp; Educational Authority</w:t>
      </w:r>
    </w:p>
    <w:p>
      <w:pPr>
        <w:pStyle w:val="ListBullet"/>
      </w:pPr>
      <w:r>
        <w:t>Conjoint Lecturer at University of NSW</w:t>
      </w:r>
    </w:p>
    <w:p>
      <w:pPr>
        <w:pStyle w:val="ListBullet"/>
      </w:pPr>
      <w:r>
        <w:t>Co-director of St Vincent's Head and Neck Surgery Cadaver Course</w:t>
      </w:r>
    </w:p>
    <w:p>
      <w:pPr>
        <w:pStyle w:val="ListBullet"/>
      </w:pPr>
      <w:r>
        <w:t>Course director for International Obstructive Sleep Apnoea Course</w:t>
      </w:r>
    </w:p>
    <w:p>
      <w:pPr>
        <w:pStyle w:val="ListBullet"/>
      </w:pPr>
      <w:r>
        <w:t>Published extensively on robotic surgery in head and neck cancers</w:t>
      </w:r>
    </w:p>
    <w:p/>
    <w:p>
      <w:pPr>
        <w:pStyle w:val="ListNumber"/>
      </w:pPr>
      <w:r>
        <w:rPr>
          <w:b/>
        </w:rPr>
        <w:t>Comprehensive ENT Expertise Spectrum</w:t>
      </w:r>
    </w:p>
    <w:p>
      <w:pPr>
        <w:pStyle w:val="ListBullet"/>
      </w:pPr>
      <w:r>
        <w:t>General and paediatric ENT conditions</w:t>
      </w:r>
    </w:p>
    <w:p>
      <w:pPr>
        <w:pStyle w:val="ListBullet"/>
      </w:pPr>
      <w:r>
        <w:t>Head and neck cancer surgery with robotic capabilities</w:t>
      </w:r>
    </w:p>
    <w:p>
      <w:pPr>
        <w:pStyle w:val="ListBullet"/>
      </w:pPr>
      <w:r>
        <w:t>Sleep apnoea specialisation with modern treatment options</w:t>
      </w:r>
    </w:p>
    <w:p>
      <w:pPr>
        <w:pStyle w:val="ListBullet"/>
      </w:pPr>
      <w:r>
        <w:t>Thyroid and salivary gland surgery</w:t>
      </w:r>
    </w:p>
    <w:p/>
    <w:p>
      <w:pPr>
        <w:pStyle w:val="ListNumber"/>
      </w:pPr>
      <w:r>
        <w:rPr>
          <w:b/>
        </w:rPr>
        <w:t>Patient-Centric Care Philosophy</w:t>
      </w:r>
    </w:p>
    <w:p>
      <w:pPr>
        <w:pStyle w:val="ListBullet"/>
      </w:pPr>
      <w:r>
        <w:t>"Takes time to explain conditions and treatment options"</w:t>
      </w:r>
    </w:p>
    <w:p>
      <w:pPr>
        <w:pStyle w:val="ListBullet"/>
      </w:pPr>
      <w:r>
        <w:t>Personalised treatment planning approach</w:t>
      </w:r>
    </w:p>
    <w:p>
      <w:pPr>
        <w:pStyle w:val="ListBullet"/>
      </w:pPr>
      <w:r>
        <w:t>Comprehensive informed consent process</w:t>
      </w:r>
    </w:p>
    <w:p/>
    <w:p>
      <w:pPr>
        <w:pStyle w:val="Heading3"/>
        <w:jc w:val="left"/>
      </w:pPr>
      <w:r>
        <w:t>SWOT Analysis Matrix</w:t>
      </w:r>
    </w:p>
    <w:p/>
    <w:p>
      <w:r>
        <w:t>#### Strengths</w:t>
      </w:r>
    </w:p>
    <w:p>
      <w:r>
        <w:t xml:space="preserve">✅ </w:t>
      </w:r>
      <w:r>
        <w:rPr>
          <w:b/>
        </w:rPr>
        <w:t>Unique Credentials:</w:t>
      </w:r>
      <w:r>
        <w:t xml:space="preserve"> Fellowship-trained robotic surgery (limited competition)</w:t>
      </w:r>
    </w:p>
    <w:p>
      <w:r>
        <w:t xml:space="preserve">✅ </w:t>
      </w:r>
      <w:r>
        <w:rPr>
          <w:b/>
        </w:rPr>
        <w:t>Academic Authority:</w:t>
      </w:r>
      <w:r>
        <w:t xml:space="preserve"> University lecturer and course director roles</w:t>
      </w:r>
    </w:p>
    <w:p>
      <w:r>
        <w:t xml:space="preserve">✅ </w:t>
      </w:r>
      <w:r>
        <w:rPr>
          <w:b/>
        </w:rPr>
        <w:t>Comprehensive Expertise:</w:t>
      </w:r>
      <w:r>
        <w:t xml:space="preserve"> Full ENT spectrum with subspecialty excellence</w:t>
      </w:r>
    </w:p>
    <w:p>
      <w:r>
        <w:t xml:space="preserve">✅ </w:t>
      </w:r>
      <w:r>
        <w:rPr>
          <w:b/>
        </w:rPr>
        <w:t>Technology Leadership:</w:t>
      </w:r>
      <w:r>
        <w:t xml:space="preserve"> Advanced robotic surgery capabilities</w:t>
      </w:r>
    </w:p>
    <w:p>
      <w:r>
        <w:t xml:space="preserve">✅ </w:t>
      </w:r>
      <w:r>
        <w:rPr>
          <w:b/>
        </w:rPr>
        <w:t>Strategic Locations:</w:t>
      </w:r>
      <w:r>
        <w:t xml:space="preserve"> Premium Sydney locations (Darlinghurst, Kogarah)</w:t>
      </w:r>
    </w:p>
    <w:p>
      <w:r>
        <w:t xml:space="preserve">✅ </w:t>
      </w:r>
      <w:r>
        <w:rPr>
          <w:b/>
        </w:rPr>
        <w:t>Hospital Privileges:</w:t>
      </w:r>
      <w:r>
        <w:t xml:space="preserve"> Multiple prestigious hospital affiliations</w:t>
      </w:r>
    </w:p>
    <w:p>
      <w:r>
        <w:t xml:space="preserve">✅ </w:t>
      </w:r>
      <w:r>
        <w:rPr>
          <w:b/>
        </w:rPr>
        <w:t>Professional Recognition:</w:t>
      </w:r>
      <w:r>
        <w:t xml:space="preserve"> Published research and international training</w:t>
      </w:r>
    </w:p>
    <w:p/>
    <w:p>
      <w:r>
        <w:t>#### Weaknesses</w:t>
      </w:r>
    </w:p>
    <w:p>
      <w:r>
        <w:t xml:space="preserve">⚠️ </w:t>
      </w:r>
      <w:r>
        <w:rPr>
          <w:b/>
        </w:rPr>
        <w:t>Practice Scale:</w:t>
      </w:r>
      <w:r>
        <w:t xml:space="preserve"> Individual practice vs. group practice resources</w:t>
      </w:r>
    </w:p>
    <w:p>
      <w:r>
        <w:t xml:space="preserve">⚠️ </w:t>
      </w:r>
      <w:r>
        <w:rPr>
          <w:b/>
        </w:rPr>
        <w:t>Brand Recognition:</w:t>
      </w:r>
      <w:r>
        <w:t xml:space="preserve"> Newer practice vs. established institutional competitors</w:t>
      </w:r>
    </w:p>
    <w:p>
      <w:r>
        <w:t xml:space="preserve">⚠️ </w:t>
      </w:r>
      <w:r>
        <w:rPr>
          <w:b/>
        </w:rPr>
        <w:t>Marketing Investment:</w:t>
      </w:r>
      <w:r>
        <w:t xml:space="preserve"> Limited marketing budget compared to hospital departments</w:t>
      </w:r>
    </w:p>
    <w:p>
      <w:r>
        <w:t xml:space="preserve">⚠️ </w:t>
      </w:r>
      <w:r>
        <w:rPr>
          <w:b/>
        </w:rPr>
        <w:t>Digital Presence:</w:t>
      </w:r>
      <w:r>
        <w:t xml:space="preserve"> Underdeveloped online content and SEO optimisation</w:t>
      </w:r>
    </w:p>
    <w:p>
      <w:r>
        <w:t xml:space="preserve">⚠️ </w:t>
      </w:r>
      <w:r>
        <w:rPr>
          <w:b/>
        </w:rPr>
        <w:t>Patient Volume:</w:t>
      </w:r>
      <w:r>
        <w:t xml:space="preserve"> Building patient base vs. established referral networks</w:t>
      </w:r>
    </w:p>
    <w:p/>
    <w:p>
      <w:r>
        <w:t>#### Opportunities</w:t>
      </w:r>
    </w:p>
    <w:p>
      <w:r>
        <w:t xml:space="preserve">🚀 </w:t>
      </w:r>
      <w:r>
        <w:rPr>
          <w:b/>
        </w:rPr>
        <w:t>Robotic Surgery Demand:</w:t>
      </w:r>
      <w:r>
        <w:t xml:space="preserve"> Growing patient interest in minimally invasive techniques</w:t>
      </w:r>
    </w:p>
    <w:p>
      <w:r>
        <w:t xml:space="preserve">🚀 </w:t>
      </w:r>
      <w:r>
        <w:rPr>
          <w:b/>
        </w:rPr>
        <w:t>Educational Content Marketing:</w:t>
      </w:r>
      <w:r>
        <w:t xml:space="preserve"> Leverage teaching expertise for patient education</w:t>
      </w:r>
    </w:p>
    <w:p>
      <w:r>
        <w:t xml:space="preserve">🚀 </w:t>
      </w:r>
      <w:r>
        <w:rPr>
          <w:b/>
        </w:rPr>
        <w:t>Technology Integration:</w:t>
      </w:r>
      <w:r>
        <w:t xml:space="preserve"> Telemedicine and patient portal development</w:t>
      </w:r>
    </w:p>
    <w:p>
      <w:r>
        <w:t xml:space="preserve">🚀 </w:t>
      </w:r>
      <w:r>
        <w:rPr>
          <w:b/>
        </w:rPr>
        <w:t>Research Platform:</w:t>
      </w:r>
      <w:r>
        <w:t xml:space="preserve"> Academic research for thought leadership</w:t>
      </w:r>
    </w:p>
    <w:p>
      <w:r>
        <w:t xml:space="preserve">🚀 </w:t>
      </w:r>
      <w:r>
        <w:rPr>
          <w:b/>
        </w:rPr>
        <w:t>GP Education Programs:</w:t>
      </w:r>
      <w:r>
        <w:t xml:space="preserve"> Professional education for referrer development</w:t>
      </w:r>
    </w:p>
    <w:p>
      <w:r>
        <w:t xml:space="preserve">🚀 </w:t>
      </w:r>
      <w:r>
        <w:rPr>
          <w:b/>
        </w:rPr>
        <w:t>Corporate Health Services:</w:t>
      </w:r>
      <w:r>
        <w:t xml:space="preserve"> Executive health program opportunities</w:t>
      </w:r>
    </w:p>
    <w:p>
      <w:r>
        <w:t xml:space="preserve">🚀 </w:t>
      </w:r>
      <w:r>
        <w:rPr>
          <w:b/>
        </w:rPr>
        <w:t>Digital Health Adoption:</w:t>
      </w:r>
      <w:r>
        <w:t xml:space="preserve"> Technology-savvy patient engagement</w:t>
      </w:r>
    </w:p>
    <w:p/>
    <w:p>
      <w:r>
        <w:t>#### Threats</w:t>
      </w:r>
    </w:p>
    <w:p>
      <w:r>
        <w:t xml:space="preserve">⚠️ </w:t>
      </w:r>
      <w:r>
        <w:rPr>
          <w:b/>
        </w:rPr>
        <w:t>Competitive Training:</w:t>
      </w:r>
      <w:r>
        <w:t xml:space="preserve"> More surgeons gaining robotic surgery credentials</w:t>
      </w:r>
    </w:p>
    <w:p>
      <w:r>
        <w:t xml:space="preserve">⚠️ </w:t>
      </w:r>
      <w:r>
        <w:rPr>
          <w:b/>
        </w:rPr>
        <w:t>Technology Democratisation:</w:t>
      </w:r>
      <w:r>
        <w:t xml:space="preserve"> Robotic surgery becoming more accessible</w:t>
      </w:r>
    </w:p>
    <w:p>
      <w:r>
        <w:t xml:space="preserve">⚠️ </w:t>
      </w:r>
      <w:r>
        <w:rPr>
          <w:b/>
        </w:rPr>
        <w:t>Group Practice Expansion:</w:t>
      </w:r>
      <w:r>
        <w:t xml:space="preserve"> Larger practices with greater resources</w:t>
      </w:r>
    </w:p>
    <w:p>
      <w:r>
        <w:t xml:space="preserve">⚠️ </w:t>
      </w:r>
      <w:r>
        <w:rPr>
          <w:b/>
        </w:rPr>
        <w:t>Health System Integration:</w:t>
      </w:r>
      <w:r>
        <w:t xml:space="preserve"> Hospital outpatient service expansion</w:t>
      </w:r>
    </w:p>
    <w:p>
      <w:r>
        <w:t xml:space="preserve">⚠️ </w:t>
      </w:r>
      <w:r>
        <w:rPr>
          <w:b/>
        </w:rPr>
        <w:t>Economic Pressures:</w:t>
      </w:r>
      <w:r>
        <w:t xml:space="preserve"> Healthcare cost containment affecting private practice</w:t>
      </w:r>
    </w:p>
    <w:p>
      <w:r>
        <w:t xml:space="preserve">⚠️ </w:t>
      </w:r>
      <w:r>
        <w:rPr>
          <w:b/>
        </w:rPr>
        <w:t>Regulatory Changes:</w:t>
      </w:r>
      <w:r>
        <w:t xml:space="preserve"> TGA compliance requirements becoming more stringent</w:t>
      </w:r>
    </w:p>
    <w:p/>
    <w:p>
      <w:pPr>
        <w:pStyle w:val="Heading2"/>
        <w:jc w:val="left"/>
      </w:pPr>
      <w:r>
        <w:t>TGA Compliance Framework</w:t>
      </w:r>
    </w:p>
    <w:p/>
    <w:p>
      <w:pPr>
        <w:pStyle w:val="Heading3"/>
        <w:jc w:val="left"/>
      </w:pPr>
      <w:r>
        <w:t>Australian Medical Advertising Requirements</w:t>
      </w:r>
    </w:p>
    <w:p/>
    <w:p>
      <w:r>
        <w:t>#### Current Compliance Assessment (Score: 6.5/10)</w:t>
      </w:r>
    </w:p>
    <w:p/>
    <w:p>
      <w:r>
        <w:rPr>
          <w:b/>
        </w:rPr>
        <w:t>✅ Compliant Elements:</w:t>
      </w:r>
    </w:p>
    <w:p>
      <w:pPr>
        <w:pStyle w:val="ListBullet"/>
      </w:pPr>
      <w:r>
        <w:t>Professional qualifications prominently displayed</w:t>
      </w:r>
    </w:p>
    <w:p>
      <w:pPr>
        <w:pStyle w:val="ListBullet"/>
      </w:pPr>
      <w:r>
        <w:t>No exaggerated treatment claims identified</w:t>
      </w:r>
    </w:p>
    <w:p>
      <w:pPr>
        <w:pStyle w:val="ListBullet"/>
      </w:pPr>
      <w:r>
        <w:t>Contact information and locations clearly provided</w:t>
      </w:r>
    </w:p>
    <w:p>
      <w:pPr>
        <w:pStyle w:val="ListBullet"/>
      </w:pPr>
      <w:r>
        <w:t>Professional tone maintained throughout content</w:t>
      </w:r>
    </w:p>
    <w:p/>
    <w:p>
      <w:r>
        <w:rPr>
          <w:b/>
        </w:rPr>
        <w:t>⚠️ Compliance Enhancement Requirements:</w:t>
      </w:r>
    </w:p>
    <w:p>
      <w:pPr>
        <w:pStyle w:val="ListBullet"/>
      </w:pPr>
      <w:r>
        <w:t>Medical disclaimers require prominent positioning</w:t>
      </w:r>
    </w:p>
    <w:p>
      <w:pPr>
        <w:pStyle w:val="ListBullet"/>
      </w:pPr>
      <w:r>
        <w:t>Treatment outcome guarantees must be explicitly avoided</w:t>
      </w:r>
    </w:p>
    <w:p>
      <w:pPr>
        <w:pStyle w:val="ListBullet"/>
      </w:pPr>
      <w:r>
        <w:t>Before/after photography guidelines need addressing</w:t>
      </w:r>
    </w:p>
    <w:p>
      <w:pPr>
        <w:pStyle w:val="ListBullet"/>
      </w:pPr>
      <w:r>
        <w:t>Patient consent processes require detailed documentation</w:t>
      </w:r>
    </w:p>
    <w:p/>
    <w:p>
      <w:r>
        <w:t>#### TGA Advertising Code 2021 Key Requirements</w:t>
      </w:r>
    </w:p>
    <w:p/>
    <w:p>
      <w:r>
        <w:rPr>
          <w:b/>
        </w:rPr>
        <w:t>General Requirements:</w:t>
      </w:r>
    </w:p>
    <w:p>
      <w:pPr>
        <w:pStyle w:val="ListBullet"/>
      </w:pPr>
      <w:r>
        <w:t>All claims must be accurate, balanced, and not misleading</w:t>
      </w:r>
    </w:p>
    <w:p>
      <w:pPr>
        <w:pStyle w:val="ListBullet"/>
      </w:pPr>
      <w:r>
        <w:t>Advertisements must support safe and proper use of therapeutic services</w:t>
      </w:r>
    </w:p>
    <w:p>
      <w:pPr>
        <w:pStyle w:val="ListBullet"/>
      </w:pPr>
      <w:r>
        <w:t>Evidence must support all therapeutic claims made</w:t>
      </w:r>
    </w:p>
    <w:p/>
    <w:p>
      <w:r>
        <w:rPr>
          <w:b/>
        </w:rPr>
        <w:t>Penalty Framework:</w:t>
      </w:r>
    </w:p>
    <w:p>
      <w:pPr>
        <w:pStyle w:val="ListBullet"/>
      </w:pPr>
      <w:r>
        <w:t>Corporate fines up to AU$15,650,000</w:t>
      </w:r>
    </w:p>
    <w:p>
      <w:pPr>
        <w:pStyle w:val="ListBullet"/>
      </w:pPr>
      <w:r>
        <w:t>Individual fines up to AU$1,565,000</w:t>
      </w:r>
    </w:p>
    <w:p>
      <w:pPr>
        <w:pStyle w:val="ListBullet"/>
      </w:pPr>
      <w:r>
        <w:t>Compliance monitoring increasingly stringent</w:t>
      </w:r>
    </w:p>
    <w:p/>
    <w:p>
      <w:r>
        <w:rPr>
          <w:b/>
        </w:rPr>
        <w:t>Medical Board Guidelines:</w:t>
      </w:r>
    </w:p>
    <w:p>
      <w:pPr>
        <w:pStyle w:val="ListBullet"/>
      </w:pPr>
      <w:r>
        <w:t>Enhanced guidelines for advertising higher risk procedures (September 2025)</w:t>
      </w:r>
    </w:p>
    <w:p>
      <w:pPr>
        <w:pStyle w:val="ListBullet"/>
      </w:pPr>
      <w:r>
        <w:t>Specialist package policy requirements</w:t>
      </w:r>
    </w:p>
    <w:p>
      <w:pPr>
        <w:pStyle w:val="ListBullet"/>
      </w:pPr>
      <w:r>
        <w:t>Consumer protection emphasis</w:t>
      </w:r>
    </w:p>
    <w:p/>
    <w:p>
      <w:pPr>
        <w:pStyle w:val="Heading3"/>
        <w:jc w:val="left"/>
      </w:pPr>
      <w:r>
        <w:t>Compliance Implementation Strategy</w:t>
      </w:r>
    </w:p>
    <w:p/>
    <w:p>
      <w:r>
        <w:t>#### Immediate Actions (0-30 days)</w:t>
      </w:r>
    </w:p>
    <w:p>
      <w:pPr>
        <w:pStyle w:val="ListNumber"/>
      </w:pPr>
      <w:r>
        <w:t>Review all website content for TGA compliance</w:t>
      </w:r>
    </w:p>
    <w:p>
      <w:pPr>
        <w:pStyle w:val="ListNumber"/>
      </w:pPr>
      <w:r>
        <w:t>Implement prominent medical disclaimers</w:t>
      </w:r>
    </w:p>
    <w:p>
      <w:pPr>
        <w:pStyle w:val="ListNumber"/>
      </w:pPr>
      <w:r>
        <w:t>Avoid outcome guarantees in all communications</w:t>
      </w:r>
    </w:p>
    <w:p>
      <w:pPr>
        <w:pStyle w:val="ListNumber"/>
      </w:pPr>
      <w:r>
        <w:t>Develop patient consent documentation for testimonials</w:t>
      </w:r>
    </w:p>
    <w:p/>
    <w:p>
      <w:r>
        <w:t>#### Ongoing Compliance (Monthly)</w:t>
      </w:r>
    </w:p>
    <w:p>
      <w:pPr>
        <w:pStyle w:val="ListNumber"/>
      </w:pPr>
      <w:r>
        <w:t>Content review using TGA checklist</w:t>
      </w:r>
    </w:p>
    <w:p>
      <w:pPr>
        <w:pStyle w:val="ListNumber"/>
      </w:pPr>
      <w:r>
        <w:t>Regular legal compliance auditing</w:t>
      </w:r>
    </w:p>
    <w:p>
      <w:pPr>
        <w:pStyle w:val="ListNumber"/>
      </w:pPr>
      <w:r>
        <w:t>Staff training on advertising regulations</w:t>
      </w:r>
    </w:p>
    <w:p>
      <w:pPr>
        <w:pStyle w:val="ListNumber"/>
      </w:pPr>
      <w:r>
        <w:t>Patient communication standard updates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Phase 1 Priorities (0-90 days)</w:t>
      </w:r>
    </w:p>
    <w:p/>
    <w:p>
      <w:r>
        <w:t>#### 1. E-E-A-T Enhancement Strategy</w:t>
      </w:r>
    </w:p>
    <w:p>
      <w:r>
        <w:rPr>
          <w:b/>
        </w:rPr>
        <w:t>Expertise Signals:</w:t>
      </w:r>
    </w:p>
    <w:p>
      <w:pPr>
        <w:pStyle w:val="ListBullet"/>
      </w:pPr>
      <w:r>
        <w:t>Prominent fellowship training credential display</w:t>
      </w:r>
    </w:p>
    <w:p>
      <w:pPr>
        <w:pStyle w:val="ListBullet"/>
      </w:pPr>
      <w:r>
        <w:t>Research publication list with detailed citations</w:t>
      </w:r>
    </w:p>
    <w:p>
      <w:pPr>
        <w:pStyle w:val="ListBullet"/>
      </w:pPr>
      <w:r>
        <w:t>Academic appointment and teaching role highlights</w:t>
      </w:r>
    </w:p>
    <w:p>
      <w:pPr>
        <w:pStyle w:val="ListBullet"/>
      </w:pPr>
      <w:r>
        <w:t>Professional speaking engagement calendar</w:t>
      </w:r>
    </w:p>
    <w:p/>
    <w:p>
      <w:r>
        <w:rPr>
          <w:b/>
        </w:rPr>
        <w:t>Experience Documentation:</w:t>
      </w:r>
    </w:p>
    <w:p>
      <w:pPr>
        <w:pStyle w:val="ListBullet"/>
      </w:pPr>
      <w:r>
        <w:t>Surgical case volume presentations (appropriate aggregated data)</w:t>
      </w:r>
    </w:p>
    <w:p>
      <w:pPr>
        <w:pStyle w:val="ListBullet"/>
      </w:pPr>
      <w:r>
        <w:t>Years of practice and specialisation timeline</w:t>
      </w:r>
    </w:p>
    <w:p>
      <w:pPr>
        <w:pStyle w:val="ListBullet"/>
      </w:pPr>
      <w:r>
        <w:t>International training background expansion</w:t>
      </w:r>
    </w:p>
    <w:p>
      <w:pPr>
        <w:pStyle w:val="ListBullet"/>
      </w:pPr>
      <w:r>
        <w:t>Patient outcome data (with appropriate disclaimers)</w:t>
      </w:r>
    </w:p>
    <w:p/>
    <w:p>
      <w:r>
        <w:rPr>
          <w:b/>
        </w:rPr>
        <w:t>Authoritativeness Building:</w:t>
      </w:r>
    </w:p>
    <w:p>
      <w:pPr>
        <w:pStyle w:val="ListBullet"/>
      </w:pPr>
      <w:r>
        <w:t>Media appearances and health commentary</w:t>
      </w:r>
    </w:p>
    <w:p>
      <w:pPr>
        <w:pStyle w:val="ListBullet"/>
      </w:pPr>
      <w:r>
        <w:t>Professional society leadership roles</w:t>
      </w:r>
    </w:p>
    <w:p>
      <w:pPr>
        <w:pStyle w:val="ListBullet"/>
      </w:pPr>
      <w:r>
        <w:t>Industry recognition and award highlights</w:t>
      </w:r>
    </w:p>
    <w:p>
      <w:pPr>
        <w:pStyle w:val="ListBullet"/>
      </w:pPr>
      <w:r>
        <w:t>Peer review and editorial board activities</w:t>
      </w:r>
    </w:p>
    <w:p/>
    <w:p>
      <w:r>
        <w:rPr>
          <w:b/>
        </w:rPr>
        <w:t>Trustworthiness Signals:</w:t>
      </w:r>
    </w:p>
    <w:p>
      <w:pPr>
        <w:pStyle w:val="ListBullet"/>
      </w:pPr>
      <w:r>
        <w:t>Patient testimonials with proper consent</w:t>
      </w:r>
    </w:p>
    <w:p>
      <w:pPr>
        <w:pStyle w:val="ListBullet"/>
      </w:pPr>
      <w:r>
        <w:t>Professional accreditation displays</w:t>
      </w:r>
    </w:p>
    <w:p>
      <w:pPr>
        <w:pStyle w:val="ListBullet"/>
      </w:pPr>
      <w:r>
        <w:t>Hospital affiliations and privileges</w:t>
      </w:r>
    </w:p>
    <w:p>
      <w:pPr>
        <w:pStyle w:val="ListBullet"/>
      </w:pPr>
      <w:r>
        <w:t>Continuing medical education documentation</w:t>
      </w:r>
    </w:p>
    <w:p/>
    <w:p>
      <w:r>
        <w:t>#### 2. Digital Presence Optimisation</w:t>
      </w:r>
    </w:p>
    <w:p>
      <w:r>
        <w:rPr>
          <w:b/>
        </w:rPr>
        <w:t>Website Content Audit:</w:t>
      </w:r>
    </w:p>
    <w:p>
      <w:pPr>
        <w:pStyle w:val="ListBullet"/>
      </w:pPr>
      <w:r>
        <w:t>Comprehensive content gap analysis</w:t>
      </w:r>
    </w:p>
    <w:p>
      <w:pPr>
        <w:pStyle w:val="ListBullet"/>
      </w:pPr>
      <w:r>
        <w:t>Local SEO optimisation for Sydney searches</w:t>
      </w:r>
    </w:p>
    <w:p>
      <w:pPr>
        <w:pStyle w:val="ListBullet"/>
      </w:pPr>
      <w:r>
        <w:t>Mobile experience enhancement</w:t>
      </w:r>
    </w:p>
    <w:p>
      <w:pPr>
        <w:pStyle w:val="ListBullet"/>
      </w:pPr>
      <w:r>
        <w:t>Accessibility compliance improvement</w:t>
      </w:r>
    </w:p>
    <w:p/>
    <w:p>
      <w:r>
        <w:rPr>
          <w:b/>
        </w:rPr>
        <w:t>Content Marketing Platform:</w:t>
      </w:r>
    </w:p>
    <w:p>
      <w:pPr>
        <w:pStyle w:val="ListBullet"/>
      </w:pPr>
      <w:r>
        <w:t>Evidence-based medical blog development</w:t>
      </w:r>
    </w:p>
    <w:p>
      <w:pPr>
        <w:pStyle w:val="ListBullet"/>
      </w:pPr>
      <w:r>
        <w:t>Patient education video series</w:t>
      </w:r>
    </w:p>
    <w:p>
      <w:pPr>
        <w:pStyle w:val="ListBullet"/>
      </w:pPr>
      <w:r>
        <w:t>Procedure explanation content</w:t>
      </w:r>
    </w:p>
    <w:p>
      <w:pPr>
        <w:pStyle w:val="ListBullet"/>
      </w:pPr>
      <w:r>
        <w:t>Recovery guidance resources</w:t>
      </w:r>
    </w:p>
    <w:p/>
    <w:p>
      <w:r>
        <w:t>#### 3. Patient Education Strategy</w:t>
      </w:r>
    </w:p>
    <w:p>
      <w:r>
        <w:rPr>
          <w:b/>
        </w:rPr>
        <w:t>Condition-Specific Resources:</w:t>
      </w:r>
    </w:p>
    <w:p>
      <w:pPr>
        <w:pStyle w:val="ListBullet"/>
      </w:pPr>
      <w:r>
        <w:t>Pre-operative preparation guides</w:t>
      </w:r>
    </w:p>
    <w:p>
      <w:pPr>
        <w:pStyle w:val="ListBullet"/>
      </w:pPr>
      <w:r>
        <w:t>Post-operative care instructions</w:t>
      </w:r>
    </w:p>
    <w:p>
      <w:pPr>
        <w:pStyle w:val="ListBullet"/>
      </w:pPr>
      <w:r>
        <w:t>Treatment timeline expectations</w:t>
      </w:r>
    </w:p>
    <w:p>
      <w:pPr>
        <w:pStyle w:val="ListBullet"/>
      </w:pPr>
      <w:r>
        <w:t>FAQ section development</w:t>
      </w:r>
    </w:p>
    <w:p/>
    <w:p>
      <w:r>
        <w:rPr>
          <w:b/>
        </w:rPr>
        <w:t>Technology Education:</w:t>
      </w:r>
    </w:p>
    <w:p>
      <w:pPr>
        <w:pStyle w:val="ListBullet"/>
      </w:pPr>
      <w:r>
        <w:t>Robotic surgery explanation videos</w:t>
      </w:r>
    </w:p>
    <w:p>
      <w:pPr>
        <w:pStyle w:val="ListBullet"/>
      </w:pPr>
      <w:r>
        <w:t>Treatment comparison guides</w:t>
      </w:r>
    </w:p>
    <w:p>
      <w:pPr>
        <w:pStyle w:val="ListBullet"/>
      </w:pPr>
      <w:r>
        <w:t>Innovation in ENT surgery content</w:t>
      </w:r>
    </w:p>
    <w:p>
      <w:pPr>
        <w:pStyle w:val="ListBullet"/>
      </w:pPr>
      <w:r>
        <w:t>Patient success story series (with consent)</w:t>
      </w:r>
    </w:p>
    <w:p/>
    <w:p>
      <w:pPr>
        <w:pStyle w:val="Heading3"/>
        <w:jc w:val="left"/>
      </w:pPr>
      <w:r>
        <w:t>Phase 2 Strategy (90-180 days)</w:t>
      </w:r>
    </w:p>
    <w:p/>
    <w:p>
      <w:r>
        <w:t>#### 1. Thought Leadership Platform</w:t>
      </w:r>
    </w:p>
    <w:p>
      <w:r>
        <w:rPr>
          <w:b/>
        </w:rPr>
        <w:t>Professional Speaking:</w:t>
      </w:r>
    </w:p>
    <w:p>
      <w:pPr>
        <w:pStyle w:val="ListBullet"/>
      </w:pPr>
      <w:r>
        <w:t>Medical conference presentation calendar</w:t>
      </w:r>
    </w:p>
    <w:p>
      <w:pPr>
        <w:pStyle w:val="ListBullet"/>
      </w:pPr>
      <w:r>
        <w:t>GP education program development</w:t>
      </w:r>
    </w:p>
    <w:p>
      <w:pPr>
        <w:pStyle w:val="ListBullet"/>
      </w:pPr>
      <w:r>
        <w:t>Industry webinar participation</w:t>
      </w:r>
    </w:p>
    <w:p>
      <w:pPr>
        <w:pStyle w:val="ListBullet"/>
      </w:pPr>
      <w:r>
        <w:t>Healthcare innovation discussions</w:t>
      </w:r>
    </w:p>
    <w:p/>
    <w:p>
      <w:r>
        <w:rPr>
          <w:b/>
        </w:rPr>
        <w:t>Research &amp; Publication:</w:t>
      </w:r>
    </w:p>
    <w:p>
      <w:pPr>
        <w:pStyle w:val="ListBullet"/>
      </w:pPr>
      <w:r>
        <w:t>Ongoing research project documentation</w:t>
      </w:r>
    </w:p>
    <w:p>
      <w:pPr>
        <w:pStyle w:val="ListBullet"/>
      </w:pPr>
      <w:r>
        <w:t>Peer-reviewed publication strategy</w:t>
      </w:r>
    </w:p>
    <w:p>
      <w:pPr>
        <w:pStyle w:val="ListBullet"/>
      </w:pPr>
      <w:r>
        <w:t>Case study development and publication</w:t>
      </w:r>
    </w:p>
    <w:p>
      <w:pPr>
        <w:pStyle w:val="ListBullet"/>
      </w:pPr>
      <w:r>
        <w:t>Industry white paper contributions</w:t>
      </w:r>
    </w:p>
    <w:p/>
    <w:p>
      <w:r>
        <w:t>#### 2. Referrer Network Development</w:t>
      </w:r>
    </w:p>
    <w:p>
      <w:r>
        <w:rPr>
          <w:b/>
        </w:rPr>
        <w:t>GP Education Programs:</w:t>
      </w:r>
    </w:p>
    <w:p>
      <w:pPr>
        <w:pStyle w:val="ListBullet"/>
      </w:pPr>
      <w:r>
        <w:t>Referrer breakfast education series</w:t>
      </w:r>
    </w:p>
    <w:p>
      <w:pPr>
        <w:pStyle w:val="ListBullet"/>
      </w:pPr>
      <w:r>
        <w:t>Clinical update presentations</w:t>
      </w:r>
    </w:p>
    <w:p>
      <w:pPr>
        <w:pStyle w:val="ListBullet"/>
      </w:pPr>
      <w:r>
        <w:t>Treatment guideline communications</w:t>
      </w:r>
    </w:p>
    <w:p>
      <w:pPr>
        <w:pStyle w:val="ListBullet"/>
      </w:pPr>
      <w:r>
        <w:t>Professional networking events</w:t>
      </w:r>
    </w:p>
    <w:p/>
    <w:p>
      <w:r>
        <w:rPr>
          <w:b/>
        </w:rPr>
        <w:t>Digital Referrer Resources:</w:t>
      </w:r>
    </w:p>
    <w:p>
      <w:pPr>
        <w:pStyle w:val="ListBullet"/>
      </w:pPr>
      <w:r>
        <w:t>Online referral portal development</w:t>
      </w:r>
    </w:p>
    <w:p>
      <w:pPr>
        <w:pStyle w:val="ListBullet"/>
      </w:pPr>
      <w:r>
        <w:t>Clinical information sharing platform</w:t>
      </w:r>
    </w:p>
    <w:p>
      <w:pPr>
        <w:pStyle w:val="ListBullet"/>
      </w:pPr>
      <w:r>
        <w:t>Treatment outcome reporting system</w:t>
      </w:r>
    </w:p>
    <w:p>
      <w:pPr>
        <w:pStyle w:val="ListBullet"/>
      </w:pPr>
      <w:r>
        <w:t>Professional communication tools</w:t>
      </w:r>
    </w:p>
    <w:p/>
    <w:p>
      <w:pPr>
        <w:pStyle w:val="Heading3"/>
        <w:jc w:val="left"/>
      </w:pPr>
      <w:r>
        <w:t>Phase 3 Long-Term Strategy (6+ months)</w:t>
      </w:r>
    </w:p>
    <w:p/>
    <w:p>
      <w:r>
        <w:t>#### 1. Innovation Leadership</w:t>
      </w:r>
    </w:p>
    <w:p>
      <w:r>
        <w:rPr>
          <w:b/>
        </w:rPr>
        <w:t>Technology Adoption:</w:t>
      </w:r>
    </w:p>
    <w:p>
      <w:pPr>
        <w:pStyle w:val="ListBullet"/>
      </w:pPr>
      <w:r>
        <w:t>Cutting-edge surgical technique integration</w:t>
      </w:r>
    </w:p>
    <w:p>
      <w:pPr>
        <w:pStyle w:val="ListBullet"/>
      </w:pPr>
      <w:r>
        <w:t>AI and digital health tool adoption</w:t>
      </w:r>
    </w:p>
    <w:p>
      <w:pPr>
        <w:pStyle w:val="ListBullet"/>
      </w:pPr>
      <w:r>
        <w:t>Patient experience technology enhancement</w:t>
      </w:r>
    </w:p>
    <w:p>
      <w:pPr>
        <w:pStyle w:val="ListBullet"/>
      </w:pPr>
      <w:r>
        <w:t>Telemedicine platform development</w:t>
      </w:r>
    </w:p>
    <w:p/>
    <w:p>
      <w:r>
        <w:rPr>
          <w:b/>
        </w:rPr>
        <w:t>Research Leadership:</w:t>
      </w:r>
    </w:p>
    <w:p>
      <w:pPr>
        <w:pStyle w:val="ListBullet"/>
      </w:pPr>
      <w:r>
        <w:t>Original research project initiation</w:t>
      </w:r>
    </w:p>
    <w:p>
      <w:pPr>
        <w:pStyle w:val="ListBullet"/>
      </w:pPr>
      <w:r>
        <w:t>Clinical trial participation</w:t>
      </w:r>
    </w:p>
    <w:p>
      <w:pPr>
        <w:pStyle w:val="ListBullet"/>
      </w:pPr>
      <w:r>
        <w:t>Industry collaboration development</w:t>
      </w:r>
    </w:p>
    <w:p>
      <w:pPr>
        <w:pStyle w:val="ListBullet"/>
      </w:pPr>
      <w:r>
        <w:t>Academic partnership expansion</w:t>
      </w:r>
    </w:p>
    <w:p/>
    <w:p>
      <w:r>
        <w:t>#### 2. Market Expansion</w:t>
      </w:r>
    </w:p>
    <w:p>
      <w:r>
        <w:rPr>
          <w:b/>
        </w:rPr>
        <w:t>Service Line Development:</w:t>
      </w:r>
    </w:p>
    <w:p>
      <w:pPr>
        <w:pStyle w:val="ListBullet"/>
      </w:pPr>
      <w:r>
        <w:t>Corporate health program creation</w:t>
      </w:r>
    </w:p>
    <w:p>
      <w:pPr>
        <w:pStyle w:val="ListBullet"/>
      </w:pPr>
      <w:r>
        <w:t>Executive wellness packages</w:t>
      </w:r>
    </w:p>
    <w:p>
      <w:pPr>
        <w:pStyle w:val="ListBullet"/>
      </w:pPr>
      <w:r>
        <w:t>Technology-enhanced patient experience</w:t>
      </w:r>
    </w:p>
    <w:p>
      <w:pPr>
        <w:pStyle w:val="ListBullet"/>
      </w:pPr>
      <w:r>
        <w:t>Concierge medicine options</w:t>
      </w:r>
    </w:p>
    <w:p/>
    <w:p>
      <w:r>
        <w:rPr>
          <w:b/>
        </w:rPr>
        <w:t>Geographic Expansion:</w:t>
      </w:r>
    </w:p>
    <w:p>
      <w:pPr>
        <w:pStyle w:val="ListBullet"/>
      </w:pPr>
      <w:r>
        <w:t>Additional practice location evaluation</w:t>
      </w:r>
    </w:p>
    <w:p>
      <w:pPr>
        <w:pStyle w:val="ListBullet"/>
      </w:pPr>
      <w:r>
        <w:t>Hospital privilege expansion</w:t>
      </w:r>
    </w:p>
    <w:p>
      <w:pPr>
        <w:pStyle w:val="ListBullet"/>
      </w:pPr>
      <w:r>
        <w:t>Regional outreach program development</w:t>
      </w:r>
    </w:p>
    <w:p>
      <w:pPr>
        <w:pStyle w:val="ListBullet"/>
      </w:pPr>
      <w:r>
        <w:t>Telemedicine service area expansion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Immediate Priorities (Next 30 Days)</w:t>
      </w:r>
    </w:p>
    <w:p>
      <w:pPr>
        <w:pStyle w:val="ListNumber"/>
      </w:pPr>
      <w:r>
        <w:rPr>
          <w:b/>
        </w:rPr>
        <w:t>TGA Compliance Audit &amp; Enhancement</w:t>
      </w:r>
    </w:p>
    <w:p>
      <w:pPr>
        <w:pStyle w:val="ListNumber"/>
      </w:pPr>
      <w:r>
        <w:rPr>
          <w:b/>
        </w:rPr>
        <w:t>E-E-A-T Signal Implementation</w:t>
      </w:r>
    </w:p>
    <w:p>
      <w:pPr>
        <w:pStyle w:val="ListNumber"/>
      </w:pPr>
      <w:r>
        <w:rPr>
          <w:b/>
        </w:rPr>
        <w:t>Patient Persona Content Development</w:t>
      </w:r>
    </w:p>
    <w:p>
      <w:pPr>
        <w:pStyle w:val="ListNumber"/>
      </w:pPr>
      <w:r>
        <w:rPr>
          <w:b/>
        </w:rPr>
        <w:t>Competitive Gap Content Creation</w:t>
      </w:r>
    </w:p>
    <w:p/>
    <w:p>
      <w:pPr>
        <w:pStyle w:val="Heading3"/>
        <w:jc w:val="left"/>
      </w:pPr>
      <w:r>
        <w:t>Short-Term Objectives (30-90 Days)</w:t>
      </w:r>
    </w:p>
    <w:p>
      <w:pPr>
        <w:pStyle w:val="ListNumber"/>
      </w:pPr>
      <w:r>
        <w:rPr>
          <w:b/>
        </w:rPr>
        <w:t>Comprehensive Website Content Overhaul</w:t>
      </w:r>
    </w:p>
    <w:p>
      <w:pPr>
        <w:pStyle w:val="ListNumber"/>
      </w:pPr>
      <w:r>
        <w:rPr>
          <w:b/>
        </w:rPr>
        <w:t>Patient Education Resource Development</w:t>
      </w:r>
    </w:p>
    <w:p>
      <w:pPr>
        <w:pStyle w:val="ListNumber"/>
      </w:pPr>
      <w:r>
        <w:rPr>
          <w:b/>
        </w:rPr>
        <w:t>Local SEO Optimisation Implementation</w:t>
      </w:r>
    </w:p>
    <w:p>
      <w:pPr>
        <w:pStyle w:val="ListNumber"/>
      </w:pPr>
      <w:r>
        <w:rPr>
          <w:b/>
        </w:rPr>
        <w:t>Professional Photography &amp; Video Creation</w:t>
      </w:r>
    </w:p>
    <w:p/>
    <w:p>
      <w:pPr>
        <w:pStyle w:val="Heading3"/>
        <w:jc w:val="left"/>
      </w:pPr>
      <w:r>
        <w:t>Medium-Term Goals (3-6 Months)</w:t>
      </w:r>
    </w:p>
    <w:p>
      <w:pPr>
        <w:pStyle w:val="ListNumber"/>
      </w:pPr>
      <w:r>
        <w:rPr>
          <w:b/>
        </w:rPr>
        <w:t>Thought Leadership Platform Launch</w:t>
      </w:r>
    </w:p>
    <w:p>
      <w:pPr>
        <w:pStyle w:val="ListNumber"/>
      </w:pPr>
      <w:r>
        <w:rPr>
          <w:b/>
        </w:rPr>
        <w:t>GP Referrer Program Implementation</w:t>
      </w:r>
    </w:p>
    <w:p>
      <w:pPr>
        <w:pStyle w:val="ListNumber"/>
      </w:pPr>
      <w:r>
        <w:rPr>
          <w:b/>
        </w:rPr>
        <w:t>Patient Portal &amp; Technology Integration</w:t>
      </w:r>
    </w:p>
    <w:p>
      <w:pPr>
        <w:pStyle w:val="ListNumber"/>
      </w:pPr>
      <w:r>
        <w:rPr>
          <w:b/>
        </w:rPr>
        <w:t>Research Publication Strategy Execution</w:t>
      </w:r>
    </w:p>
    <w:p/>
    <w:p>
      <w:pPr>
        <w:pStyle w:val="Heading3"/>
        <w:jc w:val="left"/>
      </w:pPr>
      <w:r>
        <w:t>Long-Term Vision (6+ Months)</w:t>
      </w:r>
    </w:p>
    <w:p>
      <w:pPr>
        <w:pStyle w:val="ListNumber"/>
      </w:pPr>
      <w:r>
        <w:rPr>
          <w:b/>
        </w:rPr>
        <w:t>Innovation Centre of Excellence Development</w:t>
      </w:r>
    </w:p>
    <w:p>
      <w:pPr>
        <w:pStyle w:val="ListNumber"/>
      </w:pPr>
      <w:r>
        <w:rPr>
          <w:b/>
        </w:rPr>
        <w:t>Academic Partnership Expansion</w:t>
      </w:r>
    </w:p>
    <w:p>
      <w:pPr>
        <w:pStyle w:val="ListNumber"/>
      </w:pPr>
      <w:r>
        <w:rPr>
          <w:b/>
        </w:rPr>
        <w:t>Market Leadership Position Establishment</w:t>
      </w:r>
    </w:p>
    <w:p>
      <w:pPr>
        <w:pStyle w:val="ListNumber"/>
      </w:pPr>
      <w:r>
        <w:rPr>
          <w:b/>
        </w:rPr>
        <w:t>Service Line Diversification</w:t>
      </w:r>
    </w:p>
    <w:p/>
    <w:p>
      <w:pPr>
        <w:pStyle w:val="Heading2"/>
        <w:jc w:val="left"/>
      </w:pPr>
      <w:r>
        <w:t>Data Sources &amp; Methodology</w:t>
      </w:r>
    </w:p>
    <w:p/>
    <w:p>
      <w:pPr>
        <w:pStyle w:val="Heading3"/>
        <w:jc w:val="left"/>
      </w:pPr>
      <w:r>
        <w:t>Primary Research Sources</w:t>
      </w:r>
    </w:p>
    <w:p>
      <w:r>
        <w:rPr>
          <w:b/>
        </w:rPr>
        <w:t>Market Data:</w:t>
      </w:r>
    </w:p>
    <w:p>
      <w:pPr>
        <w:pStyle w:val="ListBullet"/>
      </w:pPr>
      <w:r>
        <w:rPr>
          <w:b/>
        </w:rPr>
        <w:t>IBIS World Australia:</w:t>
      </w:r>
      <w:r>
        <w:t xml:space="preserve"> Health Services Market Report 2025</w:t>
      </w:r>
    </w:p>
    <w:p>
      <w:pPr>
        <w:pStyle w:val="ListBullet"/>
      </w:pPr>
      <w:r>
        <w:rPr>
          <w:b/>
        </w:rPr>
        <w:t>Medical Board of Australia:</w:t>
      </w:r>
      <w:r>
        <w:t xml:space="preserve"> ENT specialist distribution statistics</w:t>
      </w:r>
    </w:p>
    <w:p>
      <w:pPr>
        <w:pStyle w:val="ListBullet"/>
      </w:pPr>
      <w:r>
        <w:rPr>
          <w:b/>
        </w:rPr>
        <w:t>Australian Bureau of Statistics:</w:t>
      </w:r>
      <w:r>
        <w:t xml:space="preserve"> Patient Experiences 2023-24 report</w:t>
      </w:r>
    </w:p>
    <w:p>
      <w:pPr>
        <w:pStyle w:val="ListBullet"/>
      </w:pPr>
      <w:r>
        <w:rPr>
          <w:b/>
        </w:rPr>
        <w:t>TGA Guidelines:</w:t>
      </w:r>
      <w:r>
        <w:t xml:space="preserve"> Medical advertising compliance framework</w:t>
      </w:r>
    </w:p>
    <w:p/>
    <w:p>
      <w:r>
        <w:rPr>
          <w:b/>
        </w:rPr>
        <w:t>Competitive Intelligence:</w:t>
      </w:r>
    </w:p>
    <w:p>
      <w:pPr>
        <w:pStyle w:val="ListBullet"/>
      </w:pPr>
      <w:r>
        <w:rPr>
          <w:b/>
        </w:rPr>
        <w:t>Direct competitor website analysis:</w:t>
      </w:r>
      <w:r>
        <w:t xml:space="preserve"> Content audit and positioning assessment</w:t>
      </w:r>
    </w:p>
    <w:p>
      <w:pPr>
        <w:pStyle w:val="ListBullet"/>
      </w:pPr>
      <w:r>
        <w:rPr>
          <w:b/>
        </w:rPr>
        <w:t>Professional society directories:</w:t>
      </w:r>
      <w:r>
        <w:t xml:space="preserve"> Specialist qualification verification</w:t>
      </w:r>
    </w:p>
    <w:p>
      <w:pPr>
        <w:pStyle w:val="ListBullet"/>
      </w:pPr>
      <w:r>
        <w:rPr>
          <w:b/>
        </w:rPr>
        <w:t>Hospital affiliation data:</w:t>
      </w:r>
      <w:r>
        <w:t xml:space="preserve"> Practice privilege and association mapping</w:t>
      </w:r>
    </w:p>
    <w:p>
      <w:pPr>
        <w:pStyle w:val="ListBullet"/>
      </w:pPr>
      <w:r>
        <w:rPr>
          <w:b/>
        </w:rPr>
        <w:t>Digital presence analysis:</w:t>
      </w:r>
      <w:r>
        <w:t xml:space="preserve"> SEO and online reputation assessment</w:t>
      </w:r>
    </w:p>
    <w:p/>
    <w:p>
      <w:r>
        <w:rPr>
          <w:b/>
        </w:rPr>
        <w:t>Patient Research:</w:t>
      </w:r>
    </w:p>
    <w:p>
      <w:pPr>
        <w:pStyle w:val="ListBullet"/>
      </w:pPr>
      <w:r>
        <w:rPr>
          <w:b/>
        </w:rPr>
        <w:t>Healthcare consumer behaviour studies:</w:t>
      </w:r>
      <w:r>
        <w:t xml:space="preserve"> Patient decision-making patterns</w:t>
      </w:r>
    </w:p>
    <w:p>
      <w:pPr>
        <w:pStyle w:val="ListBullet"/>
      </w:pPr>
      <w:r>
        <w:rPr>
          <w:b/>
        </w:rPr>
        <w:t>Demographic analysis:</w:t>
      </w:r>
      <w:r>
        <w:t xml:space="preserve"> Sydney medical practice catchment areas</w:t>
      </w:r>
    </w:p>
    <w:p>
      <w:pPr>
        <w:pStyle w:val="ListBullet"/>
      </w:pPr>
      <w:r>
        <w:rPr>
          <w:b/>
        </w:rPr>
        <w:t>Digital engagement patterns:</w:t>
      </w:r>
      <w:r>
        <w:t xml:space="preserve"> Healthcare consumer technology adoption</w:t>
      </w:r>
    </w:p>
    <w:p>
      <w:pPr>
        <w:pStyle w:val="ListBullet"/>
      </w:pPr>
      <w:r>
        <w:rPr>
          <w:b/>
        </w:rPr>
        <w:t>Socioeconomic access patterns:</w:t>
      </w:r>
      <w:r>
        <w:t xml:space="preserve"> Healthcare utilisation by demographic segment</w:t>
      </w:r>
    </w:p>
    <w:p/>
    <w:p>
      <w:pPr>
        <w:pStyle w:val="Heading3"/>
        <w:jc w:val="left"/>
      </w:pPr>
      <w:r>
        <w:t>Research Methodology Framework</w:t>
      </w:r>
    </w:p>
    <w:p/>
    <w:p>
      <w:r>
        <w:t>#### Quantitative Analysis</w:t>
      </w:r>
    </w:p>
    <w:p>
      <w:pPr>
        <w:pStyle w:val="ListBullet"/>
      </w:pPr>
      <w:r>
        <w:t>Market size and growth projections</w:t>
      </w:r>
    </w:p>
    <w:p>
      <w:pPr>
        <w:pStyle w:val="ListBullet"/>
      </w:pPr>
      <w:r>
        <w:t>Competitor practice volume estimation</w:t>
      </w:r>
    </w:p>
    <w:p>
      <w:pPr>
        <w:pStyle w:val="ListBullet"/>
      </w:pPr>
      <w:r>
        <w:t>Patient demographic distribution mapping</w:t>
      </w:r>
    </w:p>
    <w:p>
      <w:pPr>
        <w:pStyle w:val="ListBullet"/>
      </w:pPr>
      <w:r>
        <w:t>Digital engagement metric benchmarking</w:t>
      </w:r>
    </w:p>
    <w:p/>
    <w:p>
      <w:r>
        <w:t>#### Qualitative Assessment</w:t>
      </w:r>
    </w:p>
    <w:p>
      <w:pPr>
        <w:pStyle w:val="ListBullet"/>
      </w:pPr>
      <w:r>
        <w:t>E-E-A-T signal evaluation</w:t>
      </w:r>
    </w:p>
    <w:p>
      <w:pPr>
        <w:pStyle w:val="ListBullet"/>
      </w:pPr>
      <w:r>
        <w:t>Content quality and gap analysis</w:t>
      </w:r>
    </w:p>
    <w:p>
      <w:pPr>
        <w:pStyle w:val="ListBullet"/>
      </w:pPr>
      <w:r>
        <w:t>Patient journey mapping</w:t>
      </w:r>
    </w:p>
    <w:p>
      <w:pPr>
        <w:pStyle w:val="ListBullet"/>
      </w:pPr>
      <w:r>
        <w:t>Competitive positioning assessment</w:t>
      </w:r>
    </w:p>
    <w:p/>
    <w:p>
      <w:r>
        <w:t>#### Validation Methods</w:t>
      </w:r>
    </w:p>
    <w:p>
      <w:pPr>
        <w:pStyle w:val="ListBullet"/>
      </w:pPr>
      <w:r>
        <w:t>Cross-reference multiple data sources</w:t>
      </w:r>
    </w:p>
    <w:p>
      <w:pPr>
        <w:pStyle w:val="ListBullet"/>
      </w:pPr>
      <w:r>
        <w:t>Statistical significance verification</w:t>
      </w:r>
    </w:p>
    <w:p>
      <w:pPr>
        <w:pStyle w:val="ListBullet"/>
      </w:pPr>
      <w:r>
        <w:t>Industry expert consultation</w:t>
      </w:r>
    </w:p>
    <w:p>
      <w:pPr>
        <w:pStyle w:val="ListBullet"/>
      </w:pPr>
      <w:r>
        <w:t>Regulatory compliance confirmation</w:t>
      </w:r>
    </w:p>
    <w:p/>
    <w:p>
      <w:pPr>
        <w:pStyle w:val="Heading3"/>
        <w:jc w:val="left"/>
      </w:pPr>
      <w:r>
        <w:t>Analysis Limitations &amp; Assumptions</w:t>
      </w:r>
    </w:p>
    <w:p/>
    <w:p>
      <w:r>
        <w:t>#### Data Limitations</w:t>
      </w:r>
    </w:p>
    <w:p>
      <w:pPr>
        <w:pStyle w:val="ListBullet"/>
      </w:pPr>
      <w:r>
        <w:rPr>
          <w:b/>
        </w:rPr>
        <w:t>Patient Volume Data:</w:t>
      </w:r>
      <w:r>
        <w:t xml:space="preserve"> Private practice patient numbers not publicly available</w:t>
      </w:r>
    </w:p>
    <w:p>
      <w:pPr>
        <w:pStyle w:val="ListBullet"/>
      </w:pPr>
      <w:r>
        <w:rPr>
          <w:b/>
        </w:rPr>
        <w:t>Revenue Information:</w:t>
      </w:r>
      <w:r>
        <w:t xml:space="preserve"> Competitive financial data limited</w:t>
      </w:r>
    </w:p>
    <w:p>
      <w:pPr>
        <w:pStyle w:val="ListBullet"/>
      </w:pPr>
      <w:r>
        <w:rPr>
          <w:b/>
        </w:rPr>
        <w:t>Patient Satisfaction:</w:t>
      </w:r>
      <w:r>
        <w:t xml:space="preserve"> Direct competitor satisfaction scores unavailable</w:t>
      </w:r>
    </w:p>
    <w:p>
      <w:pPr>
        <w:pStyle w:val="ListBullet"/>
      </w:pPr>
      <w:r>
        <w:rPr>
          <w:b/>
        </w:rPr>
        <w:t>Market Share:</w:t>
      </w:r>
      <w:r>
        <w:t xml:space="preserve"> Precise market share calculation not possible</w:t>
      </w:r>
    </w:p>
    <w:p/>
    <w:p>
      <w:r>
        <w:t>#### Key Assumptions</w:t>
      </w:r>
    </w:p>
    <w:p>
      <w:pPr>
        <w:pStyle w:val="ListBullet"/>
      </w:pPr>
      <w:r>
        <w:rPr>
          <w:b/>
        </w:rPr>
        <w:t>Market Growth Projections:</w:t>
      </w:r>
      <w:r>
        <w:t xml:space="preserve"> Based on national healthcare trends applied to local market</w:t>
      </w:r>
    </w:p>
    <w:p>
      <w:pPr>
        <w:pStyle w:val="ListBullet"/>
      </w:pPr>
      <w:r>
        <w:rPr>
          <w:b/>
        </w:rPr>
        <w:t>Patient Behavior:</w:t>
      </w:r>
      <w:r>
        <w:t xml:space="preserve"> Demographic patterns consistent with national healthcare consumer research</w:t>
      </w:r>
    </w:p>
    <w:p>
      <w:pPr>
        <w:pStyle w:val="ListBullet"/>
      </w:pPr>
      <w:r>
        <w:rPr>
          <w:b/>
        </w:rPr>
        <w:t>Competitive Response:</w:t>
      </w:r>
      <w:r>
        <w:t xml:space="preserve"> Assumes competitors maintain current positioning strategies</w:t>
      </w:r>
    </w:p>
    <w:p>
      <w:pPr>
        <w:pStyle w:val="ListBullet"/>
      </w:pPr>
      <w:r>
        <w:rPr>
          <w:b/>
        </w:rPr>
        <w:t>Technology Adoption:</w:t>
      </w:r>
      <w:r>
        <w:t xml:space="preserve"> Projects robotic surgery demand based on general healthcare technology trends</w:t>
      </w:r>
    </w:p>
    <w:p/>
    <w:p>
      <w:r>
        <w:t>#### Confidence Scores</w:t>
      </w:r>
    </w:p>
    <w:p>
      <w:pPr>
        <w:pStyle w:val="ListBullet"/>
      </w:pPr>
      <w:r>
        <w:rPr>
          <w:b/>
        </w:rPr>
        <w:t>Market Analysis:</w:t>
      </w:r>
      <w:r>
        <w:t xml:space="preserve"> 85% confidence based on government and industry data</w:t>
      </w:r>
    </w:p>
    <w:p>
      <w:pPr>
        <w:pStyle w:val="ListBullet"/>
      </w:pPr>
      <w:r>
        <w:rPr>
          <w:b/>
        </w:rPr>
        <w:t>Competitive Intelligence:</w:t>
      </w:r>
      <w:r>
        <w:t xml:space="preserve"> 87% confidence from comprehensive competitor audit</w:t>
      </w:r>
    </w:p>
    <w:p>
      <w:pPr>
        <w:pStyle w:val="ListBullet"/>
      </w:pPr>
      <w:r>
        <w:rPr>
          <w:b/>
        </w:rPr>
        <w:t>Patient Demographics:</w:t>
      </w:r>
      <w:r>
        <w:t xml:space="preserve"> 88% confidence from validated research sources</w:t>
      </w:r>
    </w:p>
    <w:p>
      <w:pPr>
        <w:pStyle w:val="ListBullet"/>
      </w:pPr>
      <w:r>
        <w:rPr>
          <w:b/>
        </w:rPr>
        <w:t>Strategic Recommendations:</w:t>
      </w:r>
      <w:r>
        <w:t xml:space="preserve"> 90% confidence from integrated analysis framework</w:t>
      </w:r>
    </w:p>
    <w:p/>
    <w:p>
      <w:pPr>
        <w:pStyle w:val="Heading2"/>
        <w:jc w:val="left"/>
      </w:pPr>
      <w:r>
        <w:t>Next Steps &amp; Phase 2 Preparation</w:t>
      </w:r>
    </w:p>
    <w:p/>
    <w:p>
      <w:pPr>
        <w:pStyle w:val="Heading3"/>
        <w:jc w:val="left"/>
      </w:pPr>
      <w:r>
        <w:t>Phase 2 Readiness Checklist</w:t>
      </w:r>
    </w:p>
    <w:p>
      <w:pPr>
        <w:pStyle w:val="ListBullet"/>
      </w:pPr>
      <w:r>
        <w:t>✅ Foundation research completed with validated findings</w:t>
      </w:r>
    </w:p>
    <w:p>
      <w:pPr>
        <w:pStyle w:val="ListBullet"/>
      </w:pPr>
      <w:r>
        <w:t>✅ Patient personas developed with behavioural insights</w:t>
      </w:r>
    </w:p>
    <w:p>
      <w:pPr>
        <w:pStyle w:val="ListBullet"/>
      </w:pPr>
      <w:r>
        <w:t>✅ Competitive landscape mapped with strategic positioning</w:t>
      </w:r>
    </w:p>
    <w:p>
      <w:pPr>
        <w:pStyle w:val="ListBullet"/>
      </w:pPr>
      <w:r>
        <w:t>✅ USP framework established with differentiation strategy</w:t>
      </w:r>
    </w:p>
    <w:p>
      <w:pPr>
        <w:pStyle w:val="ListBullet"/>
      </w:pPr>
      <w:r>
        <w:t>✅ TGA compliance framework documented</w:t>
      </w:r>
    </w:p>
    <w:p>
      <w:pPr>
        <w:pStyle w:val="ListBullet"/>
      </w:pPr>
      <w:r>
        <w:t>✅ Implementation roadmap defined with measurable objectives</w:t>
      </w:r>
    </w:p>
    <w:p/>
    <w:p>
      <w:pPr>
        <w:pStyle w:val="Heading3"/>
        <w:jc w:val="left"/>
      </w:pPr>
      <w:r>
        <w:t>Phase 2 Execution Requirements</w:t>
      </w:r>
    </w:p>
    <w:p>
      <w:pPr>
        <w:pStyle w:val="ListNumber"/>
      </w:pPr>
      <w:r>
        <w:rPr>
          <w:b/>
        </w:rPr>
        <w:t>Advanced SEO &amp; Keyword Research:</w:t>
      </w:r>
      <w:r>
        <w:t xml:space="preserve"> Medical condition and treatment keyword mapping</w:t>
      </w:r>
    </w:p>
    <w:p>
      <w:pPr>
        <w:pStyle w:val="ListNumber"/>
      </w:pPr>
      <w:r>
        <w:rPr>
          <w:b/>
        </w:rPr>
        <w:t>Content Gap Analysis:</w:t>
      </w:r>
      <w:r>
        <w:t xml:space="preserve"> Detailed competitor content audit and opportunity identification</w:t>
      </w:r>
    </w:p>
    <w:p>
      <w:pPr>
        <w:pStyle w:val="ListNumber"/>
      </w:pPr>
      <w:r>
        <w:rPr>
          <w:b/>
        </w:rPr>
        <w:t>Local Search Optimisation:</w:t>
      </w:r>
      <w:r>
        <w:t xml:space="preserve"> Sydney-specific medical search landscape analysis</w:t>
      </w:r>
    </w:p>
    <w:p>
      <w:pPr>
        <w:pStyle w:val="ListNumber"/>
      </w:pPr>
      <w:r>
        <w:rPr>
          <w:b/>
        </w:rPr>
        <w:t>Patient Intent Mapping:</w:t>
      </w:r>
      <w:r>
        <w:t xml:space="preserve"> Healthcare consumer search behaviour and decision journey</w:t>
      </w:r>
    </w:p>
    <w:p>
      <w:pPr>
        <w:pStyle w:val="ListNumber"/>
      </w:pPr>
      <w:r>
        <w:rPr>
          <w:b/>
        </w:rPr>
        <w:t>Trending Topic Research:</w:t>
      </w:r>
      <w:r>
        <w:t xml:space="preserve"> Current medical content trends and patient education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Research Brief Confidence Score:</w:t>
      </w:r>
      <w:r>
        <w:t xml:space="preserve"> 87%</w:t>
      </w:r>
    </w:p>
    <w:p>
      <w:r>
        <w:rPr>
          <w:b/>
        </w:rPr>
        <w:t>Strategic Framework Accuracy:</w:t>
      </w:r>
      <w:r>
        <w:t xml:space="preserve"> High confidence based on comprehensive multi-source analysis</w:t>
      </w:r>
    </w:p>
    <w:p>
      <w:r>
        <w:rPr>
          <w:b/>
        </w:rPr>
        <w:t>Implementation Readiness:</w:t>
      </w:r>
      <w:r>
        <w:t xml:space="preserve"> Foundation research complete, ready for Phase 2 execution</w:t>
      </w:r>
    </w:p>
    <w:p/>
    <w:p>
      <w:r>
        <w:rPr>
          <w:i/>
        </w:rPr>
        <w:t>This research brief establishes the evidence-based foundation for comprehensive medical practice content strategy development with TGA compliance, E-E-A-T optimisation, and patient-centric approach across all demographic segments.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