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Familyfocuslegal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familyfocuslegal.com.au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