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Brand Voice Consistency Framework</w:t>
      </w:r>
    </w:p>
    <w:p>
      <w:pPr>
        <w:pStyle w:val="Heading2"/>
        <w:jc w:val="left"/>
      </w:pPr>
      <w:r>
        <w:t>Unified Communication Standards Across All Pillar Pages</w:t>
      </w:r>
    </w:p>
    <w:p/>
    <w:p>
      <w:r>
        <w:rPr>
          <w:b/>
        </w:rPr>
        <w:t>Document Type</w:t>
      </w:r>
      <w:r>
        <w:t>: Foundation Framework (TASK-002)</w:t>
      </w:r>
    </w:p>
    <w:p>
      <w:r>
        <w:rPr>
          <w:b/>
        </w:rPr>
        <w:t>Implementation Phase</w:t>
      </w:r>
      <w:r>
        <w:t>: Phase 1 (Days 1-2)</w:t>
      </w:r>
    </w:p>
    <w:p>
      <w:r>
        <w:rPr>
          <w:b/>
        </w:rPr>
        <w:t>Responsible Agents</w:t>
      </w:r>
      <w:r>
        <w:t>: Lead Content Orchestrator + Quality Controller</w:t>
      </w:r>
    </w:p>
    <w:p>
      <w:r>
        <w:rPr>
          <w:b/>
        </w:rPr>
        <w:t>Date Created</w:t>
      </w:r>
      <w:r>
        <w:t>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VOICE FOUNDATION</w:t>
      </w:r>
    </w:p>
    <w:p/>
    <w:p>
      <w:r>
        <w:t>Green Power Solutions maintains a professional, authoritative voice that demonstrates technical expertise while remaining accessible to diverse Australian business audiences from mining operations to event management companies.</w:t>
      </w:r>
    </w:p>
    <w:p/>
    <w:p>
      <w:pPr>
        <w:pStyle w:val="Heading3"/>
        <w:jc w:val="left"/>
      </w:pPr>
      <w:r>
        <w:t>Core Voice Characteristics</w:t>
      </w:r>
    </w:p>
    <w:p>
      <w:pPr>
        <w:pStyle w:val="ListNumber"/>
      </w:pPr>
      <w:r>
        <w:rPr>
          <w:b/>
        </w:rPr>
        <w:t>Professional Authority</w:t>
      </w:r>
      <w:r>
        <w:t>: Industry expertise demonstrated through technical precision</w:t>
      </w:r>
    </w:p>
    <w:p>
      <w:pPr>
        <w:pStyle w:val="ListNumber"/>
      </w:pPr>
      <w:r>
        <w:rPr>
          <w:b/>
        </w:rPr>
        <w:t>Australian Context</w:t>
      </w:r>
      <w:r>
        <w:t>: Local compliance, standards, and market understanding</w:t>
      </w:r>
    </w:p>
    <w:p>
      <w:pPr>
        <w:pStyle w:val="ListNumber"/>
      </w:pPr>
      <w:r>
        <w:rPr>
          <w:b/>
        </w:rPr>
        <w:t>Solution-Focused</w:t>
      </w:r>
      <w:r>
        <w:t>: Practical problem-solving approach for real business challenges</w:t>
      </w:r>
    </w:p>
    <w:p>
      <w:pPr>
        <w:pStyle w:val="ListNumber"/>
      </w:pPr>
      <w:r>
        <w:rPr>
          <w:b/>
        </w:rPr>
        <w:t>Environmental Responsibility</w:t>
      </w:r>
      <w:r>
        <w:t>: Sustainability leadership without compromising performance</w:t>
      </w:r>
    </w:p>
    <w:p>
      <w:pPr>
        <w:pStyle w:val="ListNumber"/>
      </w:pPr>
      <w:r>
        <w:rPr>
          <w:b/>
        </w:rPr>
        <w:t>Customer-Centric</w:t>
      </w:r>
      <w:r>
        <w:t>: Understanding diverse industry needs and operational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TONE GUIDELINES BY CONTENT TYPE</w:t>
      </w:r>
    </w:p>
    <w:p/>
    <w:p>
      <w:pPr>
        <w:pStyle w:val="Heading3"/>
        <w:jc w:val="left"/>
      </w:pPr>
      <w:r>
        <w:t>Technical Specifications (High Technical Authority)</w:t>
      </w:r>
    </w:p>
    <w:p>
      <w:r>
        <w:rPr>
          <w:b/>
        </w:rPr>
        <w:t>Voice Tone</w:t>
      </w:r>
      <w:r>
        <w:t>: Precise, detailed, factual</w:t>
      </w:r>
    </w:p>
    <w:p>
      <w:r>
        <w:rPr>
          <w:b/>
        </w:rPr>
        <w:t>Language Level</w:t>
      </w:r>
      <w:r>
        <w:t>: Professional/Technical (assumes basic industry knowledge)</w:t>
      </w:r>
    </w:p>
    <w:p>
      <w:r>
        <w:rPr>
          <w:b/>
        </w:rPr>
        <w:t>Sentence Structure</w:t>
      </w:r>
      <w:r>
        <w:t>: Clear, direct statements with specific metrics</w:t>
      </w:r>
    </w:p>
    <w:p/>
    <w:p>
      <w:r>
        <w:rPr>
          <w:b/>
        </w:rPr>
        <w:t>Example Approach:</w:t>
      </w:r>
    </w:p>
    <w:p>
      <w:r>
        <w:t>"The 150kVA diesel generator delivers consistent power output with fuel consumption of 28.5 L/hr at 75% load, meeting Tier 4 Final emission standards whilst maintaining operational efficiency in ambient temperatures up to 50°C."</w:t>
      </w:r>
    </w:p>
    <w:p/>
    <w:p>
      <w:pPr>
        <w:pStyle w:val="Heading3"/>
        <w:jc w:val="left"/>
      </w:pPr>
      <w:r>
        <w:t>Solution Benefits (Consultative Authority)</w:t>
      </w:r>
    </w:p>
    <w:p>
      <w:r>
        <w:rPr>
          <w:b/>
        </w:rPr>
        <w:t>Voice Tone</w:t>
      </w:r>
      <w:r>
        <w:t>: Confident, knowledgeable, consultative</w:t>
      </w:r>
    </w:p>
    <w:p>
      <w:r>
        <w:rPr>
          <w:b/>
        </w:rPr>
        <w:t>Language Level</w:t>
      </w:r>
      <w:r>
        <w:t>: Professional (accessible to decision-makers)</w:t>
      </w:r>
    </w:p>
    <w:p>
      <w:r>
        <w:rPr>
          <w:b/>
        </w:rPr>
        <w:t>Sentence Structure</w:t>
      </w:r>
      <w:r>
        <w:t>: Benefit-focused with supporting technical evidence</w:t>
      </w:r>
    </w:p>
    <w:p/>
    <w:p>
      <w:r>
        <w:rPr>
          <w:b/>
        </w:rPr>
        <w:t>Example Approach:</w:t>
      </w:r>
    </w:p>
    <w:p>
      <w:r>
        <w:t>"Reduce operational costs by up to 35% through intelligent hybrid power management whilst maintaining 100% power reliability for critical mining operations."</w:t>
      </w:r>
    </w:p>
    <w:p/>
    <w:p>
      <w:pPr>
        <w:pStyle w:val="Heading3"/>
        <w:jc w:val="left"/>
      </w:pPr>
      <w:r>
        <w:t>Application Scenarios (Practical Authority)</w:t>
      </w:r>
    </w:p>
    <w:p>
      <w:r>
        <w:rPr>
          <w:b/>
        </w:rPr>
        <w:t>Voice Tone</w:t>
      </w:r>
      <w:r>
        <w:t>: Practical, experienced, understanding</w:t>
      </w:r>
    </w:p>
    <w:p>
      <w:r>
        <w:rPr>
          <w:b/>
        </w:rPr>
        <w:t>Language Level</w:t>
      </w:r>
      <w:r>
        <w:t>: Professional/Accessible (relatable to operations managers)</w:t>
      </w:r>
    </w:p>
    <w:p>
      <w:r>
        <w:rPr>
          <w:b/>
        </w:rPr>
        <w:t>Sentence Structure</w:t>
      </w:r>
      <w:r>
        <w:t>: Scenario-based with practical outcomes</w:t>
      </w:r>
    </w:p>
    <w:p/>
    <w:p>
      <w:r>
        <w:rPr>
          <w:b/>
        </w:rPr>
        <w:t>Example Approach:</w:t>
      </w:r>
    </w:p>
    <w:p>
      <w:r>
        <w:t>"Remote construction sites require reliable power solutions that withstand harsh Australian conditions whilst meeting strict environmental compliance requirements."</w:t>
      </w:r>
    </w:p>
    <w:p/>
    <w:p>
      <w:pPr>
        <w:pStyle w:val="Heading3"/>
        <w:jc w:val="left"/>
      </w:pPr>
      <w:r>
        <w:t>Call-to-Action (Confident Partnership)</w:t>
      </w:r>
    </w:p>
    <w:p>
      <w:r>
        <w:rPr>
          <w:b/>
        </w:rPr>
        <w:t>Voice Tone</w:t>
      </w:r>
      <w:r>
        <w:t>: Professional, approachable, action-oriented</w:t>
      </w:r>
    </w:p>
    <w:p>
      <w:r>
        <w:rPr>
          <w:b/>
        </w:rPr>
        <w:t>Language Level</w:t>
      </w:r>
      <w:r>
        <w:t>: Direct and clear</w:t>
      </w:r>
    </w:p>
    <w:p>
      <w:r>
        <w:rPr>
          <w:b/>
        </w:rPr>
        <w:t>Sentence Structure</w:t>
      </w:r>
      <w:r>
        <w:t>: Action-focused with clear next steps</w:t>
      </w:r>
    </w:p>
    <w:p/>
    <w:p>
      <w:r>
        <w:rPr>
          <w:b/>
        </w:rPr>
        <w:t>Example Approach:</w:t>
      </w:r>
    </w:p>
    <w:p>
      <w:r>
        <w:t>"Contact our power solutions specialists for a comprehensive assessment of your operational requirements and customised system design."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MARKET POSITIONING</w:t>
      </w:r>
    </w:p>
    <w:p/>
    <w:p>
      <w:pPr>
        <w:pStyle w:val="Heading3"/>
        <w:jc w:val="left"/>
      </w:pPr>
      <w:r>
        <w:t>Local Expertise Demonstration</w:t>
      </w:r>
    </w:p>
    <w:p>
      <w:pPr>
        <w:pStyle w:val="ListBullet"/>
      </w:pPr>
      <w:r>
        <w:rPr>
          <w:b/>
        </w:rPr>
        <w:t>Regulatory Knowledge</w:t>
      </w:r>
      <w:r>
        <w:t>: Deep understanding of Australian standards and compliance requirements</w:t>
      </w:r>
    </w:p>
    <w:p>
      <w:pPr>
        <w:pStyle w:val="ListBullet"/>
      </w:pPr>
      <w:r>
        <w:rPr>
          <w:b/>
        </w:rPr>
        <w:t>Climate Awareness</w:t>
      </w:r>
      <w:r>
        <w:t>: Recognition of diverse Australian environmental conditions</w:t>
      </w:r>
    </w:p>
    <w:p>
      <w:pPr>
        <w:pStyle w:val="ListBullet"/>
      </w:pPr>
      <w:r>
        <w:rPr>
          <w:b/>
        </w:rPr>
        <w:t>Industry Context</w:t>
      </w:r>
      <w:r>
        <w:t>: Understanding of Australian mining, construction, and event industries</w:t>
      </w:r>
    </w:p>
    <w:p>
      <w:pPr>
        <w:pStyle w:val="ListBullet"/>
      </w:pPr>
      <w:r>
        <w:rPr>
          <w:b/>
        </w:rPr>
        <w:t>Economic Reality</w:t>
      </w:r>
      <w:r>
        <w:t>: Awareness of operational cost pressures and efficiency requirements</w:t>
      </w:r>
    </w:p>
    <w:p/>
    <w:p>
      <w:pPr>
        <w:pStyle w:val="Heading3"/>
        <w:jc w:val="left"/>
      </w:pPr>
      <w:r>
        <w:t>Cultural Communication Approach</w:t>
      </w:r>
    </w:p>
    <w:p>
      <w:pPr>
        <w:pStyle w:val="ListBullet"/>
      </w:pPr>
      <w:r>
        <w:rPr>
          <w:b/>
        </w:rPr>
        <w:t>Direct Communication</w:t>
      </w:r>
      <w:r>
        <w:t>: Clear, straightforward information delivery</w:t>
      </w:r>
    </w:p>
    <w:p>
      <w:pPr>
        <w:pStyle w:val="ListBullet"/>
      </w:pPr>
      <w:r>
        <w:rPr>
          <w:b/>
        </w:rPr>
        <w:t>Practical Focus</w:t>
      </w:r>
      <w:r>
        <w:t>: Real-world application emphasis over theoretical benefits</w:t>
      </w:r>
    </w:p>
    <w:p>
      <w:pPr>
        <w:pStyle w:val="ListBullet"/>
      </w:pPr>
      <w:r>
        <w:rPr>
          <w:b/>
        </w:rPr>
        <w:t>Reliability Emphasis</w:t>
      </w:r>
      <w:r>
        <w:t>: Dependability as core value proposition</w:t>
      </w:r>
    </w:p>
    <w:p>
      <w:pPr>
        <w:pStyle w:val="ListBullet"/>
      </w:pPr>
      <w:r>
        <w:rPr>
          <w:b/>
        </w:rPr>
        <w:t>Value Consciousness</w:t>
      </w:r>
      <w:r>
        <w:t>: Cost-effectiveness balanced with quality and performance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COMMUNICATION STANDARDS</w:t>
      </w:r>
    </w:p>
    <w:p/>
    <w:p>
      <w:pPr>
        <w:pStyle w:val="Heading3"/>
        <w:jc w:val="left"/>
      </w:pPr>
      <w:r>
        <w:t>Technical Accuracy Requirements</w:t>
      </w:r>
    </w:p>
    <w:p>
      <w:pPr>
        <w:pStyle w:val="ListNumber"/>
      </w:pPr>
      <w:r>
        <w:rPr>
          <w:b/>
        </w:rPr>
        <w:t>Specification Precision</w:t>
      </w:r>
      <w:r>
        <w:t>: All technical data verified against manufacturer specifications</w:t>
      </w:r>
    </w:p>
    <w:p>
      <w:pPr>
        <w:pStyle w:val="ListNumber"/>
      </w:pPr>
      <w:r>
        <w:rPr>
          <w:b/>
        </w:rPr>
        <w:t>Standards Compliance</w:t>
      </w:r>
      <w:r>
        <w:t>: Accurate citation of Australian standards and regulations</w:t>
      </w:r>
    </w:p>
    <w:p>
      <w:pPr>
        <w:pStyle w:val="ListNumber"/>
      </w:pPr>
      <w:r>
        <w:rPr>
          <w:b/>
        </w:rPr>
        <w:t>Performance Metrics</w:t>
      </w:r>
      <w:r>
        <w:t>: Quantified benefits with credible supporting data</w:t>
      </w:r>
    </w:p>
    <w:p>
      <w:pPr>
        <w:pStyle w:val="ListNumber"/>
      </w:pPr>
      <w:r>
        <w:rPr>
          <w:b/>
        </w:rPr>
        <w:t>Safety Standards</w:t>
      </w:r>
      <w:r>
        <w:t>: Comprehensive safety and compliance information</w:t>
      </w:r>
    </w:p>
    <w:p>
      <w:pPr>
        <w:pStyle w:val="ListNumber"/>
      </w:pPr>
      <w:r>
        <w:rPr>
          <w:b/>
        </w:rPr>
        <w:t>Environmental Data</w:t>
      </w:r>
      <w:r>
        <w:t>: Verified environmental impact and efficiency measurements</w:t>
      </w:r>
    </w:p>
    <w:p/>
    <w:p>
      <w:pPr>
        <w:pStyle w:val="Heading3"/>
        <w:jc w:val="left"/>
      </w:pPr>
      <w:r>
        <w:t>Technical Explanation Approach</w:t>
      </w:r>
    </w:p>
    <w:p>
      <w:pPr>
        <w:pStyle w:val="ListBullet"/>
      </w:pPr>
      <w:r>
        <w:rPr>
          <w:b/>
        </w:rPr>
        <w:t>Assumed Knowledge Level</w:t>
      </w:r>
      <w:r>
        <w:t>: Basic familiarity with power systems and industrial equipment</w:t>
      </w:r>
    </w:p>
    <w:p>
      <w:pPr>
        <w:pStyle w:val="ListBullet"/>
      </w:pPr>
      <w:r>
        <w:rPr>
          <w:b/>
        </w:rPr>
        <w:t>Complexity Balance</w:t>
      </w:r>
      <w:r>
        <w:t>: Technical depth without overwhelming non-specialists</w:t>
      </w:r>
    </w:p>
    <w:p>
      <w:pPr>
        <w:pStyle w:val="ListBullet"/>
      </w:pPr>
      <w:r>
        <w:rPr>
          <w:b/>
        </w:rPr>
        <w:t>Practical Context</w:t>
      </w:r>
      <w:r>
        <w:t>: Technical specifications connected to operational benefits</w:t>
      </w:r>
    </w:p>
    <w:p>
      <w:pPr>
        <w:pStyle w:val="ListBullet"/>
      </w:pPr>
      <w:r>
        <w:rPr>
          <w:b/>
        </w:rPr>
        <w:t>Evidence-Based</w:t>
      </w:r>
      <w:r>
        <w:t>: Claims supported by specific data and industry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INDUSTRY-SPECIFIC VOICE ADAPTATION</w:t>
      </w:r>
    </w:p>
    <w:p/>
    <w:p>
      <w:pPr>
        <w:pStyle w:val="Heading3"/>
        <w:jc w:val="left"/>
      </w:pPr>
      <w:r>
        <w:t>Mining &amp; Heavy Industry</w:t>
      </w:r>
    </w:p>
    <w:p>
      <w:r>
        <w:rPr>
          <w:b/>
        </w:rPr>
        <w:t>Voice Characteristics</w:t>
      </w:r>
      <w:r>
        <w:t>: Robust, safety-focused, compliance-oriented</w:t>
      </w:r>
    </w:p>
    <w:p>
      <w:r>
        <w:rPr>
          <w:b/>
        </w:rPr>
        <w:t>Key Themes</w:t>
      </w:r>
      <w:r>
        <w:t>: Reliability, safety, regulatory compliance, operational efficiency</w:t>
      </w:r>
    </w:p>
    <w:p>
      <w:r>
        <w:rPr>
          <w:b/>
        </w:rPr>
        <w:t>Language Style</w:t>
      </w:r>
      <w:r>
        <w:t>: Professional, authoritative, technically precise</w:t>
      </w:r>
    </w:p>
    <w:p/>
    <w:p>
      <w:r>
        <w:rPr>
          <w:b/>
        </w:rPr>
        <w:t>Example Messaging:</w:t>
      </w:r>
    </w:p>
    <w:p>
      <w:r>
        <w:t>"Critical mining operations demand power solutions that exceed industry safety standards whilst delivering consistent performance in challenging operational environments."</w:t>
      </w:r>
    </w:p>
    <w:p/>
    <w:p>
      <w:pPr>
        <w:pStyle w:val="Heading3"/>
        <w:jc w:val="left"/>
      </w:pPr>
      <w:r>
        <w:t>Construction &amp; Infrastructure</w:t>
      </w:r>
    </w:p>
    <w:p>
      <w:r>
        <w:rPr>
          <w:b/>
        </w:rPr>
        <w:t>Voice Characteristics</w:t>
      </w:r>
      <w:r>
        <w:t>: Practical, flexible, project-focused</w:t>
      </w:r>
    </w:p>
    <w:p>
      <w:r>
        <w:rPr>
          <w:b/>
        </w:rPr>
        <w:t>Key Themes</w:t>
      </w:r>
      <w:r>
        <w:t>: Adaptability, mobility, project efficiency, environmental compliance</w:t>
      </w:r>
    </w:p>
    <w:p>
      <w:r>
        <w:rPr>
          <w:b/>
        </w:rPr>
        <w:t>Language Style</w:t>
      </w:r>
      <w:r>
        <w:t>: Direct, solution-oriented, results-focused</w:t>
      </w:r>
    </w:p>
    <w:p/>
    <w:p>
      <w:r>
        <w:rPr>
          <w:b/>
        </w:rPr>
        <w:t>Example Messaging:</w:t>
      </w:r>
    </w:p>
    <w:p>
      <w:r>
        <w:t>"Construction projects require flexible power solutions that adapt to changing site requirements whilst maintaining environmental compliance and operational efficiency."</w:t>
      </w:r>
    </w:p>
    <w:p/>
    <w:p>
      <w:pPr>
        <w:pStyle w:val="Heading3"/>
        <w:jc w:val="left"/>
      </w:pPr>
      <w:r>
        <w:t>Events &amp; Entertainment</w:t>
      </w:r>
    </w:p>
    <w:p>
      <w:r>
        <w:rPr>
          <w:b/>
        </w:rPr>
        <w:t>Voice Characteristics</w:t>
      </w:r>
      <w:r>
        <w:t>: Professional, reliable, customer-service oriented</w:t>
      </w:r>
    </w:p>
    <w:p>
      <w:r>
        <w:rPr>
          <w:b/>
        </w:rPr>
        <w:t>Key Themes</w:t>
      </w:r>
      <w:r>
        <w:t>: Reliability, quiet operation, professional presentation, service support</w:t>
      </w:r>
    </w:p>
    <w:p>
      <w:r>
        <w:rPr>
          <w:b/>
        </w:rPr>
        <w:t>Language Style</w:t>
      </w:r>
      <w:r>
        <w:t>: Professional yet approachable, service-focused</w:t>
      </w:r>
    </w:p>
    <w:p/>
    <w:p>
      <w:r>
        <w:rPr>
          <w:b/>
        </w:rPr>
        <w:t>Example Messaging:</w:t>
      </w:r>
    </w:p>
    <w:p>
      <w:r>
        <w:t>"Professional events demand reliable power solutions with quiet operation and expert technical support to ensure seamless event execution."</w:t>
      </w:r>
    </w:p>
    <w:p/>
    <w:p>
      <w:pPr>
        <w:pStyle w:val="Heading3"/>
        <w:jc w:val="left"/>
      </w:pPr>
      <w:r>
        <w:t>Commercial &amp; Retail</w:t>
      </w:r>
    </w:p>
    <w:p>
      <w:r>
        <w:rPr>
          <w:b/>
        </w:rPr>
        <w:t>Voice Characteristics</w:t>
      </w:r>
      <w:r>
        <w:t>: Business-focused, efficiency-oriented, cost-conscious</w:t>
      </w:r>
    </w:p>
    <w:p>
      <w:r>
        <w:rPr>
          <w:b/>
        </w:rPr>
        <w:t>Key Themes</w:t>
      </w:r>
      <w:r>
        <w:t>: Cost-effectiveness, reliability, minimal disruption, service quality</w:t>
      </w:r>
    </w:p>
    <w:p>
      <w:r>
        <w:rPr>
          <w:b/>
        </w:rPr>
        <w:t>Language Style</w:t>
      </w:r>
      <w:r>
        <w:t>: Professional, business-focused, value-oriented</w:t>
      </w:r>
    </w:p>
    <w:p/>
    <w:p>
      <w:r>
        <w:rPr>
          <w:b/>
        </w:rPr>
        <w:t>Example Messaging:</w:t>
      </w:r>
    </w:p>
    <w:p>
      <w:r>
        <w:t>"Commercial operations require cost-effective backup power solutions that protect business continuity whilst minimising operational disruption."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CONSISTENCY ELEMENTS ACROSS PILLARS</w:t>
      </w:r>
    </w:p>
    <w:p/>
    <w:p>
      <w:pPr>
        <w:pStyle w:val="Heading3"/>
        <w:jc w:val="left"/>
      </w:pPr>
      <w:r>
        <w:t>Unified Value Propositions</w:t>
      </w:r>
    </w:p>
    <w:p>
      <w:pPr>
        <w:pStyle w:val="ListNumber"/>
      </w:pPr>
      <w:r>
        <w:rPr>
          <w:b/>
        </w:rPr>
        <w:t>Reliability</w:t>
      </w:r>
      <w:r>
        <w:t>: Consistent power delivery under all operational conditions</w:t>
      </w:r>
    </w:p>
    <w:p>
      <w:pPr>
        <w:pStyle w:val="ListNumber"/>
      </w:pPr>
      <w:r>
        <w:rPr>
          <w:b/>
        </w:rPr>
        <w:t>Compliance</w:t>
      </w:r>
      <w:r>
        <w:t>: Full adherence to Australian standards and regulations</w:t>
      </w:r>
    </w:p>
    <w:p>
      <w:pPr>
        <w:pStyle w:val="ListNumber"/>
      </w:pPr>
      <w:r>
        <w:rPr>
          <w:b/>
        </w:rPr>
        <w:t>Efficiency</w:t>
      </w:r>
      <w:r>
        <w:t>: Optimised performance with minimal environmental impact</w:t>
      </w:r>
    </w:p>
    <w:p>
      <w:pPr>
        <w:pStyle w:val="ListNumber"/>
      </w:pPr>
      <w:r>
        <w:rPr>
          <w:b/>
        </w:rPr>
        <w:t>Expertise</w:t>
      </w:r>
      <w:r>
        <w:t>: Professional knowledge and technical support</w:t>
      </w:r>
    </w:p>
    <w:p>
      <w:pPr>
        <w:pStyle w:val="ListNumber"/>
      </w:pPr>
      <w:r>
        <w:rPr>
          <w:b/>
        </w:rPr>
        <w:t>Service</w:t>
      </w:r>
      <w:r>
        <w:t>: Comprehensive support throughout equipment lifecycle</w:t>
      </w:r>
    </w:p>
    <w:p/>
    <w:p>
      <w:pPr>
        <w:pStyle w:val="Heading3"/>
        <w:jc w:val="left"/>
      </w:pPr>
      <w:r>
        <w:t>Standard Messaging Framework</w:t>
      </w:r>
    </w:p>
    <w:p>
      <w:r>
        <w:rPr>
          <w:b/>
        </w:rPr>
        <w:t>Problem Recognition</w:t>
      </w:r>
      <w:r>
        <w:t xml:space="preserve"> → </w:t>
      </w:r>
      <w:r>
        <w:rPr>
          <w:b/>
        </w:rPr>
        <w:t>Solution Capabilities</w:t>
      </w:r>
      <w:r>
        <w:t xml:space="preserve"> → </w:t>
      </w:r>
      <w:r>
        <w:rPr>
          <w:b/>
        </w:rPr>
        <w:t>Technical Evidence</w:t>
      </w:r>
      <w:r>
        <w:t xml:space="preserve"> → </w:t>
      </w:r>
      <w:r>
        <w:rPr>
          <w:b/>
        </w:rPr>
        <w:t>Industry Applications</w:t>
      </w:r>
      <w:r>
        <w:t xml:space="preserve"> → </w:t>
      </w:r>
      <w:r>
        <w:rPr>
          <w:b/>
        </w:rPr>
        <w:t>Professional Support</w:t>
      </w:r>
    </w:p>
    <w:p/>
    <w:p>
      <w:pPr>
        <w:pStyle w:val="Heading3"/>
        <w:jc w:val="left"/>
      </w:pPr>
      <w:r>
        <w:t>Cross-Pillar Language Consistency</w:t>
      </w:r>
    </w:p>
    <w:p>
      <w:pPr>
        <w:pStyle w:val="ListBullet"/>
      </w:pPr>
      <w:r>
        <w:rPr>
          <w:b/>
        </w:rPr>
        <w:t>Power Solutions</w:t>
      </w:r>
      <w:r>
        <w:t xml:space="preserve"> (not power equipment or generators alone)</w:t>
      </w:r>
    </w:p>
    <w:p>
      <w:pPr>
        <w:pStyle w:val="ListBullet"/>
      </w:pPr>
      <w:r>
        <w:rPr>
          <w:b/>
        </w:rPr>
        <w:t>Australian Standards Compliance</w:t>
      </w:r>
      <w:r>
        <w:t xml:space="preserve"> (not just compliance)</w:t>
      </w:r>
    </w:p>
    <w:p>
      <w:pPr>
        <w:pStyle w:val="ListBullet"/>
      </w:pPr>
      <w:r>
        <w:rPr>
          <w:b/>
        </w:rPr>
        <w:t>Operational Efficiency</w:t>
      </w:r>
      <w:r>
        <w:t xml:space="preserve"> (not just efficiency)</w:t>
      </w:r>
    </w:p>
    <w:p>
      <w:pPr>
        <w:pStyle w:val="ListBullet"/>
      </w:pPr>
      <w:r>
        <w:rPr>
          <w:b/>
        </w:rPr>
        <w:t>Professional Installation</w:t>
      </w:r>
      <w:r>
        <w:t xml:space="preserve"> (not just installation)</w:t>
      </w:r>
    </w:p>
    <w:p>
      <w:pPr>
        <w:pStyle w:val="ListBullet"/>
      </w:pPr>
      <w:r>
        <w:rPr>
          <w:b/>
        </w:rPr>
        <w:t>Comprehensive Support</w:t>
      </w:r>
      <w:r>
        <w:t xml:space="preserve"> (not just service or support)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STRUCTURE STANDARDS</w:t>
      </w:r>
    </w:p>
    <w:p/>
    <w:p>
      <w:pPr>
        <w:pStyle w:val="Heading3"/>
        <w:jc w:val="left"/>
      </w:pPr>
      <w:r>
        <w:t>Page Introduction Framework</w:t>
      </w:r>
    </w:p>
    <w:p>
      <w:pPr>
        <w:pStyle w:val="ListNumber"/>
      </w:pPr>
      <w:r>
        <w:rPr>
          <w:b/>
        </w:rPr>
        <w:t>Industry Challenge Recognition</w:t>
      </w:r>
      <w:r>
        <w:t>: Understanding specific operational challenges</w:t>
      </w:r>
    </w:p>
    <w:p>
      <w:pPr>
        <w:pStyle w:val="ListNumber"/>
      </w:pPr>
      <w:r>
        <w:rPr>
          <w:b/>
        </w:rPr>
        <w:t>Solution Authority Statement</w:t>
      </w:r>
      <w:r>
        <w:t>: Professional capability and expertise demonstration</w:t>
      </w:r>
    </w:p>
    <w:p>
      <w:pPr>
        <w:pStyle w:val="ListNumber"/>
      </w:pPr>
      <w:r>
        <w:rPr>
          <w:b/>
        </w:rPr>
        <w:t>Technical Credibility Establishment</w:t>
      </w:r>
      <w:r>
        <w:t>: Standards, certifications, and technical precision</w:t>
      </w:r>
    </w:p>
    <w:p>
      <w:pPr>
        <w:pStyle w:val="ListNumber"/>
      </w:pPr>
      <w:r>
        <w:rPr>
          <w:b/>
        </w:rPr>
        <w:t>Practical Application Focus</w:t>
      </w:r>
      <w:r>
        <w:t>: Real-world operational benefits</w:t>
      </w:r>
    </w:p>
    <w:p/>
    <w:p>
      <w:pPr>
        <w:pStyle w:val="Heading3"/>
        <w:jc w:val="left"/>
      </w:pPr>
      <w:r>
        <w:t>Technical Section Framework</w:t>
      </w:r>
    </w:p>
    <w:p>
      <w:pPr>
        <w:pStyle w:val="ListNumber"/>
      </w:pPr>
      <w:r>
        <w:rPr>
          <w:b/>
        </w:rPr>
        <w:t>Specification Presentation</w:t>
      </w:r>
      <w:r>
        <w:t>: Clear, detailed technical information</w:t>
      </w:r>
    </w:p>
    <w:p>
      <w:pPr>
        <w:pStyle w:val="ListNumber"/>
      </w:pPr>
      <w:r>
        <w:rPr>
          <w:b/>
        </w:rPr>
        <w:t>Performance Evidence</w:t>
      </w:r>
      <w:r>
        <w:t>: Verified data and industry-standard metrics</w:t>
      </w:r>
    </w:p>
    <w:p>
      <w:pPr>
        <w:pStyle w:val="ListNumber"/>
      </w:pPr>
      <w:r>
        <w:rPr>
          <w:b/>
        </w:rPr>
        <w:t>Compliance Verification</w:t>
      </w:r>
      <w:r>
        <w:t>: Australian standards and regulatory adherence</w:t>
      </w:r>
    </w:p>
    <w:p>
      <w:pPr>
        <w:pStyle w:val="ListNumber"/>
      </w:pPr>
      <w:r>
        <w:rPr>
          <w:b/>
        </w:rPr>
        <w:t>Integration Capabilities</w:t>
      </w:r>
      <w:r>
        <w:t>: System compatibility and expansion options</w:t>
      </w:r>
    </w:p>
    <w:p/>
    <w:p>
      <w:pPr>
        <w:pStyle w:val="Heading3"/>
        <w:jc w:val="left"/>
      </w:pPr>
      <w:r>
        <w:t>Application Section Framework</w:t>
      </w:r>
    </w:p>
    <w:p>
      <w:pPr>
        <w:pStyle w:val="ListNumber"/>
      </w:pPr>
      <w:r>
        <w:rPr>
          <w:b/>
        </w:rPr>
        <w:t>Industry-Specific Applications</w:t>
      </w:r>
      <w:r>
        <w:t>: Relevant use cases and operational scenarios</w:t>
      </w:r>
    </w:p>
    <w:p>
      <w:pPr>
        <w:pStyle w:val="ListNumber"/>
      </w:pPr>
      <w:r>
        <w:rPr>
          <w:b/>
        </w:rPr>
        <w:t>Challenge-Solution Mapping</w:t>
      </w:r>
      <w:r>
        <w:t>: Specific problems matched to technical solutions</w:t>
      </w:r>
    </w:p>
    <w:p>
      <w:pPr>
        <w:pStyle w:val="ListNumber"/>
      </w:pPr>
      <w:r>
        <w:rPr>
          <w:b/>
        </w:rPr>
        <w:t>Case Study Integration</w:t>
      </w:r>
      <w:r>
        <w:t>: Real-world performance evidence</w:t>
      </w:r>
    </w:p>
    <w:p>
      <w:pPr>
        <w:pStyle w:val="ListNumber"/>
      </w:pPr>
      <w:r>
        <w:rPr>
          <w:b/>
        </w:rPr>
        <w:t>Operational Benefits</w:t>
      </w:r>
      <w:r>
        <w:t>: Quantified improvements and efficiency gains</w:t>
      </w:r>
    </w:p>
    <w:p/>
    <w:p>
      <w:pPr>
        <w:pStyle w:val="Heading3"/>
        <w:jc w:val="left"/>
      </w:pPr>
      <w:r>
        <w:t>Call-to-Action Framework</w:t>
      </w:r>
    </w:p>
    <w:p>
      <w:pPr>
        <w:pStyle w:val="ListNumber"/>
      </w:pPr>
      <w:r>
        <w:rPr>
          <w:b/>
        </w:rPr>
        <w:t>Professional Consultation Offer</w:t>
      </w:r>
      <w:r>
        <w:t>: Expert assessment and solution design</w:t>
      </w:r>
    </w:p>
    <w:p>
      <w:pPr>
        <w:pStyle w:val="ListNumber"/>
      </w:pPr>
      <w:r>
        <w:rPr>
          <w:b/>
        </w:rPr>
        <w:t>Technical Support Availability</w:t>
      </w:r>
      <w:r>
        <w:t>: Ongoing professional service and support</w:t>
      </w:r>
    </w:p>
    <w:p>
      <w:pPr>
        <w:pStyle w:val="ListNumber"/>
      </w:pPr>
      <w:r>
        <w:rPr>
          <w:b/>
        </w:rPr>
        <w:t>Contact Information</w:t>
      </w:r>
      <w:r>
        <w:t>: Clear, professional contact methods</w:t>
      </w:r>
    </w:p>
    <w:p>
      <w:pPr>
        <w:pStyle w:val="ListNumber"/>
      </w:pPr>
      <w:r>
        <w:rPr>
          <w:b/>
        </w:rPr>
        <w:t>Next Steps Clarification</w:t>
      </w:r>
      <w:r>
        <w:t>: Practical progression from inquiry to installation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CONTROL CHECKPOINTS</w:t>
      </w:r>
    </w:p>
    <w:p/>
    <w:p>
      <w:pPr>
        <w:pStyle w:val="Heading3"/>
        <w:jc w:val="left"/>
      </w:pPr>
      <w:r>
        <w:t>Voice Consistency Verification</w:t>
      </w:r>
    </w:p>
    <w:p>
      <w:pPr>
        <w:pStyle w:val="ListBullet"/>
      </w:pPr>
      <w:r>
        <w:t>[ ] Technical authority maintained throughout content</w:t>
      </w:r>
    </w:p>
    <w:p>
      <w:pPr>
        <w:pStyle w:val="ListBullet"/>
      </w:pPr>
      <w:r>
        <w:t>[ ] Australian market context appropriately integrated</w:t>
      </w:r>
    </w:p>
    <w:p>
      <w:pPr>
        <w:pStyle w:val="ListBullet"/>
      </w:pPr>
      <w:r>
        <w:t>[ ] Industry-specific language appropriately adapted</w:t>
      </w:r>
    </w:p>
    <w:p>
      <w:pPr>
        <w:pStyle w:val="ListBullet"/>
      </w:pPr>
      <w:r>
        <w:t>[ ] Professional tone consistent across all sections</w:t>
      </w:r>
    </w:p>
    <w:p>
      <w:pPr>
        <w:pStyle w:val="ListBullet"/>
      </w:pPr>
      <w:r>
        <w:t>[ ] Solution-focused messaging maintained</w:t>
      </w:r>
    </w:p>
    <w:p/>
    <w:p>
      <w:pPr>
        <w:pStyle w:val="Heading3"/>
        <w:jc w:val="left"/>
      </w:pPr>
      <w:r>
        <w:t>Cross-Pillar Consistency Review</w:t>
      </w:r>
    </w:p>
    <w:p>
      <w:pPr>
        <w:pStyle w:val="ListBullet"/>
      </w:pPr>
      <w:r>
        <w:t>[ ] Value propositions aligned across all pillars</w:t>
      </w:r>
    </w:p>
    <w:p>
      <w:pPr>
        <w:pStyle w:val="ListBullet"/>
      </w:pPr>
      <w:r>
        <w:t>[ ] Technical terminology standardised (per glossary)</w:t>
      </w:r>
    </w:p>
    <w:p>
      <w:pPr>
        <w:pStyle w:val="ListBullet"/>
      </w:pPr>
      <w:r>
        <w:t>[ ] Call-to-action messaging consistent</w:t>
      </w:r>
    </w:p>
    <w:p>
      <w:pPr>
        <w:pStyle w:val="ListBullet"/>
      </w:pPr>
      <w:r>
        <w:t>[ ] Brand authority positioning unified</w:t>
      </w:r>
    </w:p>
    <w:p>
      <w:pPr>
        <w:pStyle w:val="ListBullet"/>
      </w:pPr>
      <w:r>
        <w:t>[ ] Customer journey language aligned</w:t>
      </w:r>
    </w:p>
    <w:p/>
    <w:p>
      <w:pPr>
        <w:pStyle w:val="Heading3"/>
        <w:jc w:val="left"/>
      </w:pPr>
      <w:r>
        <w:t>Content Quality Verification</w:t>
      </w:r>
    </w:p>
    <w:p>
      <w:pPr>
        <w:pStyle w:val="ListBullet"/>
      </w:pPr>
      <w:r>
        <w:t>[ ] All claims supported by credible evidence</w:t>
      </w:r>
    </w:p>
    <w:p>
      <w:pPr>
        <w:pStyle w:val="ListBullet"/>
      </w:pPr>
      <w:r>
        <w:t>[ ] Technical accuracy verified against industry standards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Professional presentation standards maintained</w:t>
      </w:r>
    </w:p>
    <w:p>
      <w:pPr>
        <w:pStyle w:val="ListBullet"/>
      </w:pPr>
      <w:r>
        <w:t>[ ] Integration elements properly positioned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VERIFICATION PROTOCOL</w:t>
      </w:r>
    </w:p>
    <w:p/>
    <w:p>
      <w:pPr>
        <w:pStyle w:val="Heading3"/>
        <w:jc w:val="left"/>
      </w:pPr>
      <w:r>
        <w:t>Daily Voice Consistency Review (Content Creation Phase)</w:t>
      </w:r>
    </w:p>
    <w:p>
      <w:pPr>
        <w:pStyle w:val="ListNumber"/>
      </w:pPr>
      <w:r>
        <w:rPr>
          <w:b/>
        </w:rPr>
        <w:t>Morning Standard</w:t>
      </w:r>
      <w:r>
        <w:t>: Review previous day's content for voice consistency</w:t>
      </w:r>
    </w:p>
    <w:p>
      <w:pPr>
        <w:pStyle w:val="ListNumber"/>
      </w:pPr>
      <w:r>
        <w:rPr>
          <w:b/>
        </w:rPr>
        <w:t>Midday Checkpoint</w:t>
      </w:r>
      <w:r>
        <w:t>: Verify ongoing content maintains established voice</w:t>
      </w:r>
    </w:p>
    <w:p>
      <w:pPr>
        <w:pStyle w:val="ListNumber"/>
      </w:pPr>
      <w:r>
        <w:rPr>
          <w:b/>
        </w:rPr>
        <w:t>End-of-Day Quality Check</w:t>
      </w:r>
      <w:r>
        <w:t>: Confirm daily content aligns with framework standards</w:t>
      </w:r>
    </w:p>
    <w:p/>
    <w:p>
      <w:pPr>
        <w:pStyle w:val="Heading3"/>
        <w:jc w:val="left"/>
      </w:pPr>
      <w:r>
        <w:t>Cross-Pillar Voice Integration Review (Integration Phase)</w:t>
      </w:r>
    </w:p>
    <w:p>
      <w:pPr>
        <w:pStyle w:val="ListNumber"/>
      </w:pPr>
      <w:r>
        <w:rPr>
          <w:b/>
        </w:rPr>
        <w:t>Cross-Reference Verification</w:t>
      </w:r>
      <w:r>
        <w:t>: Ensure consistent voice across pillar references</w:t>
      </w:r>
    </w:p>
    <w:p>
      <w:pPr>
        <w:pStyle w:val="ListNumber"/>
      </w:pPr>
      <w:r>
        <w:rPr>
          <w:b/>
        </w:rPr>
        <w:t>Integration Element Review</w:t>
      </w:r>
      <w:r>
        <w:t>: Verify unified voice in integration elements</w:t>
      </w:r>
    </w:p>
    <w:p>
      <w:pPr>
        <w:pStyle w:val="ListNumber"/>
      </w:pPr>
      <w:r>
        <w:rPr>
          <w:b/>
        </w:rPr>
        <w:t>Customer Journey Consistency</w:t>
      </w:r>
      <w:r>
        <w:t>: Confirm voice consistency throughout customer journey flow</w:t>
      </w:r>
    </w:p>
    <w:p/>
    <w:p>
      <w:pPr>
        <w:pStyle w:val="Heading3"/>
        <w:jc w:val="left"/>
      </w:pPr>
      <w:r>
        <w:t>Final Voice Consistency Assessment (Publication Phase)</w:t>
      </w:r>
    </w:p>
    <w:p>
      <w:pPr>
        <w:pStyle w:val="ListNumber"/>
      </w:pPr>
      <w:r>
        <w:rPr>
          <w:b/>
        </w:rPr>
        <w:t>Complete Voice Audit</w:t>
      </w:r>
      <w:r>
        <w:t>: Comprehensive review of all content for voice consistency</w:t>
      </w:r>
    </w:p>
    <w:p>
      <w:pPr>
        <w:pStyle w:val="ListNumber"/>
      </w:pPr>
      <w:r>
        <w:rPr>
          <w:b/>
        </w:rPr>
        <w:t>Cross-Pillar Integration Review</w:t>
      </w:r>
      <w:r>
        <w:t>: Final verification of unified brand voice</w:t>
      </w:r>
    </w:p>
    <w:p>
      <w:pPr>
        <w:pStyle w:val="ListNumber"/>
      </w:pPr>
      <w:r>
        <w:rPr>
          <w:b/>
        </w:rPr>
        <w:t>Professional Presentation Standards</w:t>
      </w:r>
      <w:r>
        <w:t>: Confirm publication-ready voice quality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Brand Voice Framework Complete</w:t>
      </w:r>
    </w:p>
    <w:p>
      <w:r>
        <w:rPr>
          <w:b/>
        </w:rPr>
        <w:t>Next Phase</w:t>
      </w:r>
      <w:r>
        <w:t>: Quality Control Template Creation</w:t>
      </w:r>
    </w:p>
    <w:p>
      <w:r>
        <w:rPr>
          <w:b/>
        </w:rPr>
        <w:t>Quality Gate</w:t>
      </w:r>
      <w:r>
        <w:t>: Brand voice consistency approved by all specialists</w:t>
      </w:r>
    </w:p>
    <w:p>
      <w:r>
        <w:rPr>
          <w:b/>
        </w:rPr>
        <w:t>Approval</w:t>
      </w:r>
      <w:r>
        <w:t>: Lead Content Orchestrator + Quality Controller + All Technical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