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SOP Compliance Check - Green Power Solutions</w:t>
      </w:r>
    </w:p>
    <w:p/>
    <w:p>
      <w:r>
        <w:rPr>
          <w:b/>
        </w:rPr>
        <w:t>Project:</w:t>
      </w:r>
      <w:r>
        <w:t xml:space="preserve"> Green Power Solutions Research Foundation Completion</w:t>
      </w:r>
    </w:p>
    <w:p>
      <w:r>
        <w:rPr>
          <w:b/>
        </w:rPr>
        <w:t>Generated:</w:t>
      </w:r>
      <w:r>
        <w:t xml:space="preserve"> 2025-09-30</w:t>
      </w:r>
    </w:p>
    <w:p>
      <w:r>
        <w:rPr>
          <w:b/>
        </w:rPr>
        <w:t>Focus:</w:t>
      </w:r>
      <w:r>
        <w:t xml:space="preserve"> Brand and Content Standards Verification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[Existing Brand Standards Analysis](#existing-brand-standards-analysis)</w:t>
      </w:r>
    </w:p>
    <w:p>
      <w:pPr>
        <w:pStyle w:val="ListNumber"/>
      </w:pPr>
      <w:r>
        <w:t>[Content Guidelines Audit](#content-guidelines-audit)</w:t>
      </w:r>
    </w:p>
    <w:p>
      <w:pPr>
        <w:pStyle w:val="ListNumber"/>
      </w:pPr>
      <w:r>
        <w:t>[Compliance Framework](#compliance-framework)</w:t>
      </w:r>
    </w:p>
    <w:p>
      <w:pPr>
        <w:pStyle w:val="ListNumber"/>
      </w:pPr>
      <w:r>
        <w:t>[Gap Analysis and Recommendations](#gap-analysis-and-recommendations)</w:t>
      </w:r>
    </w:p>
    <w:p>
      <w:pPr>
        <w:pStyle w:val="ListNumber"/>
      </w:pPr>
      <w:r>
        <w:t>[Implementation Requirements](#implementation-requirements)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Compliance Status Overview</w:t>
      </w:r>
    </w:p>
    <w:p>
      <w:r>
        <w:t>Based on analysis of existing Green Power Solutions research and content materials, the following SOP compliance assessment has been conducted:</w:t>
      </w:r>
    </w:p>
    <w:p/>
    <w:p>
      <w:r>
        <w:rPr>
          <w:b/>
        </w:rPr>
        <w:t>Overall Compliance Score: 7.5/10</w:t>
      </w:r>
    </w:p>
    <w:p>
      <w:pPr>
        <w:pStyle w:val="ListBullet"/>
      </w:pPr>
      <w:r>
        <w:rPr>
          <w:b/>
        </w:rPr>
        <w:t>Brand Voice Consistency</w:t>
      </w:r>
      <w:r>
        <w:t>: 8/10 - Well-established technical authority tone</w:t>
      </w:r>
    </w:p>
    <w:p>
      <w:pPr>
        <w:pStyle w:val="ListBullet"/>
      </w:pPr>
      <w:r>
        <w:rPr>
          <w:b/>
        </w:rPr>
        <w:t>Australian English Compliance</w:t>
      </w:r>
      <w:r>
        <w:t>: 9/10 - Consistent British English usage throughout</w:t>
      </w:r>
    </w:p>
    <w:p>
      <w:pPr>
        <w:pStyle w:val="ListBullet"/>
      </w:pPr>
      <w:r>
        <w:rPr>
          <w:b/>
        </w:rPr>
        <w:t>Content Structure Standards</w:t>
      </w:r>
      <w:r>
        <w:t>: 7/10 - Good organisation but needs systematic templating</w:t>
      </w:r>
    </w:p>
    <w:p>
      <w:pPr>
        <w:pStyle w:val="ListBullet"/>
      </w:pPr>
      <w:r>
        <w:rPr>
          <w:b/>
        </w:rPr>
        <w:t>Citation Requirements</w:t>
      </w:r>
      <w:r>
        <w:t>: 6/10 - Some sources cited but needs comprehensive attribution</w:t>
      </w:r>
    </w:p>
    <w:p>
      <w:pPr>
        <w:pStyle w:val="ListBullet"/>
      </w:pPr>
      <w:r>
        <w:rPr>
          <w:b/>
        </w:rPr>
        <w:t>Industry Authority</w:t>
      </w:r>
      <w:r>
        <w:t>: 8/10 - Strong technical expertise demonstrated</w:t>
      </w:r>
    </w:p>
    <w:p/>
    <w:p>
      <w:pPr>
        <w:pStyle w:val="Heading2"/>
        <w:jc w:val="left"/>
      </w:pPr>
      <w:r>
        <w:t>Existing Brand Standards Analysis</w:t>
      </w:r>
    </w:p>
    <w:p/>
    <w:p>
      <w:pPr>
        <w:pStyle w:val="Heading3"/>
        <w:jc w:val="left"/>
      </w:pPr>
      <w:r>
        <w:t>Brand Voice Framework (Established)</w:t>
      </w:r>
    </w:p>
    <w:p>
      <w:r>
        <w:rPr>
          <w:b/>
        </w:rPr>
        <w:t>Primary Brand Attributes:</w:t>
      </w:r>
    </w:p>
    <w:p>
      <w:pPr>
        <w:pStyle w:val="ListBullet"/>
      </w:pPr>
      <w:r>
        <w:rPr>
          <w:b/>
        </w:rPr>
        <w:t>Technical Authority</w:t>
      </w:r>
      <w:r>
        <w:t>: Demonstrated expertise in power generation solutions</w:t>
      </w:r>
    </w:p>
    <w:p>
      <w:pPr>
        <w:pStyle w:val="ListBullet"/>
      </w:pPr>
      <w:r>
        <w:rPr>
          <w:b/>
        </w:rPr>
        <w:t>Australian Focus</w:t>
      </w:r>
      <w:r>
        <w:t>: Strong emphasis on local conditions and compliance requirements</w:t>
      </w:r>
    </w:p>
    <w:p>
      <w:pPr>
        <w:pStyle w:val="ListBullet"/>
      </w:pPr>
      <w:r>
        <w:rPr>
          <w:b/>
        </w:rPr>
        <w:t>Reliability-Centered</w:t>
      </w:r>
      <w:r>
        <w:t>: Consistent messaging around dependable equipment performance</w:t>
      </w:r>
    </w:p>
    <w:p>
      <w:pPr>
        <w:pStyle w:val="ListBullet"/>
      </w:pPr>
      <w:r>
        <w:rPr>
          <w:b/>
        </w:rPr>
        <w:t>Industry-Specific</w:t>
      </w:r>
      <w:r>
        <w:t>: Tailored messaging for construction, mining, data centre, events sectors</w:t>
      </w:r>
    </w:p>
    <w:p/>
    <w:p>
      <w:r>
        <w:rPr>
          <w:b/>
        </w:rPr>
        <w:t>Tone Guidelines:</w:t>
      </w:r>
    </w:p>
    <w:p>
      <w:pPr>
        <w:pStyle w:val="ListBullet"/>
      </w:pPr>
      <w:r>
        <w:rPr>
          <w:b/>
        </w:rPr>
        <w:t>Professional but Approachable</w:t>
      </w:r>
      <w:r>
        <w:t>: Technical accuracy balanced with accessible explanations</w:t>
      </w:r>
    </w:p>
    <w:p>
      <w:pPr>
        <w:pStyle w:val="ListBullet"/>
      </w:pPr>
      <w:r>
        <w:rPr>
          <w:b/>
        </w:rPr>
        <w:t>Solution-Oriented</w:t>
      </w:r>
      <w:r>
        <w:t>: Focus on problem-solving rather than product features</w:t>
      </w:r>
    </w:p>
    <w:p>
      <w:pPr>
        <w:pStyle w:val="ListBullet"/>
      </w:pPr>
      <w:r>
        <w:rPr>
          <w:b/>
        </w:rPr>
        <w:t>Safety-Conscious</w:t>
      </w:r>
      <w:r>
        <w:t>: Emphasises compliance and risk mitigation</w:t>
      </w:r>
    </w:p>
    <w:p>
      <w:pPr>
        <w:pStyle w:val="ListBullet"/>
      </w:pPr>
      <w:r>
        <w:rPr>
          <w:b/>
        </w:rPr>
        <w:t>Environmentally Aware</w:t>
      </w:r>
      <w:r>
        <w:t>: Sustainability considerations integrated into messaging</w:t>
      </w:r>
    </w:p>
    <w:p/>
    <w:p>
      <w:pPr>
        <w:pStyle w:val="Heading3"/>
        <w:jc w:val="left"/>
      </w:pPr>
      <w:r>
        <w:t>Content Architecture Standards</w:t>
      </w:r>
    </w:p>
    <w:p/>
    <w:p>
      <w:r>
        <w:rPr>
          <w:b/>
        </w:rPr>
        <w:t>Established Content Pillars:</w:t>
      </w:r>
    </w:p>
    <w:p>
      <w:pPr>
        <w:pStyle w:val="ListNumber"/>
      </w:pPr>
      <w:r>
        <w:rPr>
          <w:b/>
        </w:rPr>
        <w:t>Biodiesel Generators</w:t>
      </w:r>
      <w:r>
        <w:t xml:space="preserve"> - Primary revenue driver with comprehensive market positioning</w:t>
      </w:r>
    </w:p>
    <w:p>
      <w:pPr>
        <w:pStyle w:val="ListNumber"/>
      </w:pPr>
      <w:r>
        <w:rPr>
          <w:b/>
        </w:rPr>
        <w:t>Hybrid Lighting Systems</w:t>
      </w:r>
      <w:r>
        <w:t xml:space="preserve"> - Innovative positioning with energy efficiency focus</w:t>
      </w:r>
    </w:p>
    <w:p>
      <w:pPr>
        <w:pStyle w:val="ListNumber"/>
      </w:pPr>
      <w:r>
        <w:rPr>
          <w:b/>
        </w:rPr>
        <w:t>Tank Storage Solutions</w:t>
      </w:r>
      <w:r>
        <w:t xml:space="preserve"> - Utility service with safety and compliance emphasis</w:t>
      </w:r>
    </w:p>
    <w:p>
      <w:pPr>
        <w:pStyle w:val="ListNumber"/>
      </w:pPr>
      <w:r>
        <w:rPr>
          <w:b/>
        </w:rPr>
        <w:t>Load Bank Testing</w:t>
      </w:r>
      <w:r>
        <w:t xml:space="preserve"> - Specialised technical service for critical infrastructure</w:t>
      </w:r>
    </w:p>
    <w:p/>
    <w:p>
      <w:r>
        <w:rPr>
          <w:b/>
        </w:rPr>
        <w:t>Content Hierarchy Standards:</w:t>
      </w:r>
    </w:p>
    <w:p>
      <w:pPr>
        <w:pStyle w:val="ListBullet"/>
      </w:pPr>
      <w:r>
        <w:t>Executive summaries for decision-makers</w:t>
      </w:r>
    </w:p>
    <w:p>
      <w:pPr>
        <w:pStyle w:val="ListBullet"/>
      </w:pPr>
      <w:r>
        <w:t>Technical specifications for implementers</w:t>
      </w:r>
    </w:p>
    <w:p>
      <w:pPr>
        <w:pStyle w:val="ListBullet"/>
      </w:pPr>
      <w:r>
        <w:t>Compliance documentation for regulatory requirements</w:t>
      </w:r>
    </w:p>
    <w:p>
      <w:pPr>
        <w:pStyle w:val="ListBullet"/>
      </w:pPr>
      <w:r>
        <w:t>Implementation guides for operational teams</w:t>
      </w:r>
    </w:p>
    <w:p/>
    <w:p>
      <w:pPr>
        <w:pStyle w:val="Heading2"/>
        <w:jc w:val="left"/>
      </w:pPr>
      <w:r>
        <w:t>Content Guidelines Audit</w:t>
      </w:r>
    </w:p>
    <w:p/>
    <w:p>
      <w:pPr>
        <w:pStyle w:val="Heading3"/>
        <w:jc w:val="left"/>
      </w:pPr>
      <w:r>
        <w:t>Australian English Compliance ✅</w:t>
      </w:r>
    </w:p>
    <w:p>
      <w:r>
        <w:rPr>
          <w:b/>
        </w:rPr>
        <w:t>Verified Compliance Areas:</w:t>
      </w:r>
    </w:p>
    <w:p>
      <w:pPr>
        <w:pStyle w:val="ListBullet"/>
      </w:pPr>
      <w:r>
        <w:t>Consistent use of "optimise" instead of "optimize"</w:t>
      </w:r>
    </w:p>
    <w:p>
      <w:pPr>
        <w:pStyle w:val="ListBullet"/>
      </w:pPr>
      <w:r>
        <w:t>"Centre" spelling in "data centre" references</w:t>
      </w:r>
    </w:p>
    <w:p>
      <w:pPr>
        <w:pStyle w:val="ListBullet"/>
      </w:pPr>
      <w:r>
        <w:t>"Colour" in technical documentation</w:t>
      </w:r>
    </w:p>
    <w:p>
      <w:pPr>
        <w:pStyle w:val="ListBullet"/>
      </w:pPr>
      <w:r>
        <w:t>"Realise" in strategic planning documents</w:t>
      </w:r>
    </w:p>
    <w:p>
      <w:pPr>
        <w:pStyle w:val="ListBullet"/>
      </w:pPr>
      <w:r>
        <w:t>"Organisations" in business context references</w:t>
      </w:r>
    </w:p>
    <w:p/>
    <w:p>
      <w:pPr>
        <w:pStyle w:val="Heading3"/>
        <w:jc w:val="left"/>
      </w:pPr>
      <w:r>
        <w:t>Technical Terminology Standards ✅</w:t>
      </w:r>
    </w:p>
    <w:p>
      <w:r>
        <w:rPr>
          <w:b/>
        </w:rPr>
        <w:t>Established Glossary Elements:</w:t>
      </w:r>
    </w:p>
    <w:p>
      <w:pPr>
        <w:pStyle w:val="ListBullet"/>
      </w:pPr>
      <w:r>
        <w:t>Generator specifications in kVA ratings</w:t>
      </w:r>
    </w:p>
    <w:p>
      <w:pPr>
        <w:pStyle w:val="ListBullet"/>
      </w:pPr>
      <w:r>
        <w:t>Australian electrical standards references (AS/NZS)</w:t>
      </w:r>
    </w:p>
    <w:p>
      <w:pPr>
        <w:pStyle w:val="ListBullet"/>
      </w:pPr>
      <w:r>
        <w:t>Mining industry compliance terminology</w:t>
      </w:r>
    </w:p>
    <w:p>
      <w:pPr>
        <w:pStyle w:val="ListBullet"/>
      </w:pPr>
      <w:r>
        <w:t>Construction safety regulation language</w:t>
      </w:r>
    </w:p>
    <w:p>
      <w:pPr>
        <w:pStyle w:val="ListBullet"/>
      </w:pPr>
      <w:r>
        <w:t>Data centre uptime terminology</w:t>
      </w:r>
    </w:p>
    <w:p/>
    <w:p>
      <w:pPr>
        <w:pStyle w:val="Heading3"/>
        <w:jc w:val="left"/>
      </w:pPr>
      <w:r>
        <w:t>Persona-Based Messaging Framework ✅</w:t>
      </w:r>
    </w:p>
    <w:p>
      <w:r>
        <w:rPr>
          <w:b/>
        </w:rPr>
        <w:t>Verified Persona Alignment:</w:t>
      </w:r>
    </w:p>
    <w:p>
      <w:pPr>
        <w:pStyle w:val="ListBullet"/>
      </w:pPr>
      <w:r>
        <w:rPr>
          <w:b/>
        </w:rPr>
        <w:t>Construction Colin</w:t>
      </w:r>
      <w:r>
        <w:t>: Practical, schedule-focused messaging</w:t>
      </w:r>
    </w:p>
    <w:p>
      <w:pPr>
        <w:pStyle w:val="ListBullet"/>
      </w:pPr>
      <w:r>
        <w:rPr>
          <w:b/>
        </w:rPr>
        <w:t>Mining Margaret</w:t>
      </w:r>
      <w:r>
        <w:t>: Compliance-heavy, safety-oriented content</w:t>
      </w:r>
    </w:p>
    <w:p>
      <w:pPr>
        <w:pStyle w:val="ListBullet"/>
      </w:pPr>
      <w:r>
        <w:rPr>
          <w:b/>
        </w:rPr>
        <w:t>Data Centre David</w:t>
      </w:r>
      <w:r>
        <w:t>: Technical precision, uptime-critical language</w:t>
      </w:r>
    </w:p>
    <w:p>
      <w:pPr>
        <w:pStyle w:val="ListBullet"/>
      </w:pPr>
      <w:r>
        <w:rPr>
          <w:b/>
        </w:rPr>
        <w:t>Events Emma</w:t>
      </w:r>
      <w:r>
        <w:t>: Flexibility and reliability emphasis</w:t>
      </w:r>
    </w:p>
    <w:p>
      <w:pPr>
        <w:pStyle w:val="ListBullet"/>
      </w:pPr>
      <w:r>
        <w:rPr>
          <w:b/>
        </w:rPr>
        <w:t>Procurement Paul</w:t>
      </w:r>
      <w:r>
        <w:t>: Cost-benefit and value proposition focus</w:t>
      </w:r>
    </w:p>
    <w:p/>
    <w:p>
      <w:pPr>
        <w:pStyle w:val="Heading2"/>
        <w:jc w:val="left"/>
      </w:pPr>
      <w:r>
        <w:t>Compliance Framework</w:t>
      </w:r>
    </w:p>
    <w:p/>
    <w:p>
      <w:pPr>
        <w:pStyle w:val="Heading3"/>
        <w:jc w:val="left"/>
      </w:pPr>
      <w:r>
        <w:t>Document Structure Standards</w:t>
      </w:r>
    </w:p>
    <w:p>
      <w:r>
        <w:rPr>
          <w:b/>
        </w:rPr>
        <w:t>Required Elements for All Content:</w:t>
      </w:r>
    </w:p>
    <w:p>
      <w:pPr>
        <w:pStyle w:val="ListNumber"/>
      </w:pPr>
      <w:r>
        <w:rPr>
          <w:b/>
        </w:rPr>
        <w:t>Table of Contents</w:t>
      </w:r>
      <w:r>
        <w:t xml:space="preserve"> - Navigation structure</w:t>
      </w:r>
    </w:p>
    <w:p>
      <w:pPr>
        <w:pStyle w:val="ListNumber"/>
      </w:pPr>
      <w:r>
        <w:rPr>
          <w:b/>
        </w:rPr>
        <w:t>Executive Summary</w:t>
      </w:r>
      <w:r>
        <w:t xml:space="preserve"> - Key findings upfront</w:t>
      </w:r>
    </w:p>
    <w:p>
      <w:pPr>
        <w:pStyle w:val="ListNumber"/>
      </w:pPr>
      <w:r>
        <w:rPr>
          <w:b/>
        </w:rPr>
        <w:t>Methodology Section</w:t>
      </w:r>
      <w:r>
        <w:t xml:space="preserve"> - Data source transparency</w:t>
      </w:r>
    </w:p>
    <w:p>
      <w:pPr>
        <w:pStyle w:val="ListNumber"/>
      </w:pPr>
      <w:r>
        <w:rPr>
          <w:b/>
        </w:rPr>
        <w:t>Source Citations</w:t>
      </w:r>
      <w:r>
        <w:t xml:space="preserve"> - Credible reference attribution</w:t>
      </w:r>
    </w:p>
    <w:p>
      <w:pPr>
        <w:pStyle w:val="ListNumber"/>
      </w:pPr>
      <w:r>
        <w:rPr>
          <w:b/>
        </w:rPr>
        <w:t>Australian Context</w:t>
      </w:r>
      <w:r>
        <w:t xml:space="preserve"> - Local market conditions emphasis</w:t>
      </w:r>
    </w:p>
    <w:p>
      <w:pPr>
        <w:pStyle w:val="ListNumber"/>
      </w:pPr>
      <w:r>
        <w:rPr>
          <w:b/>
        </w:rPr>
        <w:t>Implementation Focus</w:t>
      </w:r>
      <w:r>
        <w:t xml:space="preserve"> - Actionable recommendations</w:t>
      </w:r>
    </w:p>
    <w:p/>
    <w:p>
      <w:pPr>
        <w:pStyle w:val="Heading3"/>
        <w:jc w:val="left"/>
      </w:pPr>
      <w:r>
        <w:t>Quality Assurance Checkpoints</w:t>
      </w:r>
    </w:p>
    <w:p>
      <w:r>
        <w:rPr>
          <w:b/>
        </w:rPr>
        <w:t>Content Review Criteria:</w:t>
      </w:r>
    </w:p>
    <w:p>
      <w:pPr>
        <w:pStyle w:val="ListBullet"/>
      </w:pPr>
      <w:r>
        <w:t>[ ] Australian English spelling verified</w:t>
      </w:r>
    </w:p>
    <w:p>
      <w:pPr>
        <w:pStyle w:val="ListBullet"/>
      </w:pPr>
      <w:r>
        <w:t>[ ] Technical accuracy validated</w:t>
      </w:r>
    </w:p>
    <w:p>
      <w:pPr>
        <w:pStyle w:val="ListBullet"/>
      </w:pPr>
      <w:r>
        <w:t>[ ] Source citations included</w:t>
      </w:r>
    </w:p>
    <w:p>
      <w:pPr>
        <w:pStyle w:val="ListBullet"/>
      </w:pPr>
      <w:r>
        <w:t>[ ] Persona alignment confirmed</w:t>
      </w:r>
    </w:p>
    <w:p>
      <w:pPr>
        <w:pStyle w:val="ListBullet"/>
      </w:pPr>
      <w:r>
        <w:t>[ ] Implementation steps provided</w:t>
      </w:r>
    </w:p>
    <w:p>
      <w:pPr>
        <w:pStyle w:val="ListBullet"/>
      </w:pPr>
      <w:r>
        <w:t>[ ] Compliance requirements addressed</w:t>
      </w:r>
    </w:p>
    <w:p/>
    <w:p>
      <w:pPr>
        <w:pStyle w:val="Heading3"/>
        <w:jc w:val="left"/>
      </w:pPr>
      <w:r>
        <w:t>Brand Consistency Requirements</w:t>
      </w:r>
    </w:p>
    <w:p>
      <w:r>
        <w:rPr>
          <w:b/>
        </w:rPr>
        <w:t>Visual and Tone Standards:</w:t>
      </w:r>
    </w:p>
    <w:p>
      <w:pPr>
        <w:pStyle w:val="ListBullet"/>
      </w:pPr>
      <w:r>
        <w:t>Professional colour scheme references</w:t>
      </w:r>
    </w:p>
    <w:p>
      <w:pPr>
        <w:pStyle w:val="ListBullet"/>
      </w:pPr>
      <w:r>
        <w:t>Technical diagram standards</w:t>
      </w:r>
    </w:p>
    <w:p>
      <w:pPr>
        <w:pStyle w:val="ListBullet"/>
      </w:pPr>
      <w:r>
        <w:t>Consistent heading hierarchy</w:t>
      </w:r>
    </w:p>
    <w:p>
      <w:pPr>
        <w:pStyle w:val="ListBullet"/>
      </w:pPr>
      <w:r>
        <w:t>Call-to-action phrasing standards</w:t>
      </w:r>
    </w:p>
    <w:p>
      <w:pPr>
        <w:pStyle w:val="ListBullet"/>
      </w:pPr>
      <w:r>
        <w:t>Contact information formatting</w:t>
      </w:r>
    </w:p>
    <w:p/>
    <w:p>
      <w:pPr>
        <w:pStyle w:val="Heading2"/>
        <w:jc w:val="left"/>
      </w:pPr>
      <w:r>
        <w:t>Gap Analysis and Recommendations</w:t>
      </w:r>
    </w:p>
    <w:p/>
    <w:p>
      <w:pPr>
        <w:pStyle w:val="Heading3"/>
        <w:jc w:val="left"/>
      </w:pPr>
      <w:r>
        <w:t>Critical Compliance Gaps Identified</w:t>
      </w:r>
    </w:p>
    <w:p/>
    <w:p>
      <w:r>
        <w:rPr>
          <w:b/>
        </w:rPr>
        <w:t>1. Citation Standards Enhancement Required</w:t>
      </w:r>
    </w:p>
    <w:p>
      <w:pPr>
        <w:pStyle w:val="ListBullet"/>
      </w:pPr>
      <w:r>
        <w:rPr>
          <w:b/>
        </w:rPr>
        <w:t>Current State</w:t>
      </w:r>
      <w:r>
        <w:t>: Some sources cited but inconsistent formatting</w:t>
      </w:r>
    </w:p>
    <w:p>
      <w:pPr>
        <w:pStyle w:val="ListBullet"/>
      </w:pPr>
      <w:r>
        <w:rPr>
          <w:b/>
        </w:rPr>
        <w:t>Required Standard</w:t>
      </w:r>
      <w:r>
        <w:t>: Comprehensive source attribution for all claims</w:t>
      </w:r>
    </w:p>
    <w:p>
      <w:pPr>
        <w:pStyle w:val="ListBullet"/>
      </w:pPr>
      <w:r>
        <w:rPr>
          <w:b/>
        </w:rPr>
        <w:t>Implementation</w:t>
      </w:r>
      <w:r>
        <w:t>: Standardise citation format: [Organisation - Report](URL) - Date</w:t>
      </w:r>
    </w:p>
    <w:p/>
    <w:p>
      <w:r>
        <w:rPr>
          <w:b/>
        </w:rPr>
        <w:t>2. Content Template Standardisation</w:t>
      </w:r>
    </w:p>
    <w:p>
      <w:pPr>
        <w:pStyle w:val="ListBullet"/>
      </w:pPr>
      <w:r>
        <w:rPr>
          <w:b/>
        </w:rPr>
        <w:t>Current State</w:t>
      </w:r>
      <w:r>
        <w:t>: Good content but varied formatting approaches</w:t>
      </w:r>
    </w:p>
    <w:p>
      <w:pPr>
        <w:pStyle w:val="ListBullet"/>
      </w:pPr>
      <w:r>
        <w:rPr>
          <w:b/>
        </w:rPr>
        <w:t>Required Standard</w:t>
      </w:r>
      <w:r>
        <w:t>: Consistent document templates across all content types</w:t>
      </w:r>
    </w:p>
    <w:p>
      <w:pPr>
        <w:pStyle w:val="ListBullet"/>
      </w:pPr>
      <w:r>
        <w:rPr>
          <w:b/>
        </w:rPr>
        <w:t>Implementation</w:t>
      </w:r>
      <w:r>
        <w:t>: Develop standardised templates for technical docs, case studies, guides</w:t>
      </w:r>
    </w:p>
    <w:p/>
    <w:p>
      <w:r>
        <w:rPr>
          <w:b/>
        </w:rPr>
        <w:t>3. Industry-Specific Compliance Documentation</w:t>
      </w:r>
    </w:p>
    <w:p>
      <w:pPr>
        <w:pStyle w:val="ListBullet"/>
      </w:pPr>
      <w:r>
        <w:rPr>
          <w:b/>
        </w:rPr>
        <w:t>Current State</w:t>
      </w:r>
      <w:r>
        <w:t>: General compliance awareness demonstrated</w:t>
      </w:r>
    </w:p>
    <w:p>
      <w:pPr>
        <w:pStyle w:val="ListBullet"/>
      </w:pPr>
      <w:r>
        <w:rPr>
          <w:b/>
        </w:rPr>
        <w:t>Required Standard</w:t>
      </w:r>
      <w:r>
        <w:t>: Detailed industry-specific regulatory references</w:t>
      </w:r>
    </w:p>
    <w:p>
      <w:pPr>
        <w:pStyle w:val="ListBullet"/>
      </w:pPr>
      <w:r>
        <w:rPr>
          <w:b/>
        </w:rPr>
        <w:t>Implementation</w:t>
      </w:r>
      <w:r>
        <w:t>: Mining standards (AS 2381), construction compliance (WHS), data centre standards</w:t>
      </w:r>
    </w:p>
    <w:p/>
    <w:p>
      <w:pPr>
        <w:pStyle w:val="Heading3"/>
        <w:jc w:val="left"/>
      </w:pPr>
      <w:r>
        <w:t>Priority Recommendations</w:t>
      </w:r>
    </w:p>
    <w:p/>
    <w:p>
      <w:r>
        <w:rPr>
          <w:b/>
        </w:rPr>
        <w:t>Immediate Actions Required:</w:t>
      </w:r>
    </w:p>
    <w:p>
      <w:pPr>
        <w:pStyle w:val="ListNumber"/>
      </w:pPr>
      <w:r>
        <w:rPr>
          <w:b/>
        </w:rPr>
        <w:t>Standardise Citation Format</w:t>
      </w:r>
      <w:r>
        <w:t xml:space="preserve"> - Implement consistent source attribution across all existing content</w:t>
      </w:r>
    </w:p>
    <w:p>
      <w:pPr>
        <w:pStyle w:val="ListNumber"/>
      </w:pPr>
      <w:r>
        <w:rPr>
          <w:b/>
        </w:rPr>
        <w:t>Develop Content Templates</w:t>
      </w:r>
      <w:r>
        <w:t xml:space="preserve"> - Create standardised formats for technical documentation</w:t>
      </w:r>
    </w:p>
    <w:p>
      <w:pPr>
        <w:pStyle w:val="ListNumber"/>
      </w:pPr>
      <w:r>
        <w:rPr>
          <w:b/>
        </w:rPr>
        <w:t>Industry Compliance Mapping</w:t>
      </w:r>
      <w:r>
        <w:t xml:space="preserve"> - Document specific regulatory requirements per persona/industry</w:t>
      </w:r>
    </w:p>
    <w:p/>
    <w:p>
      <w:r>
        <w:rPr>
          <w:b/>
        </w:rPr>
        <w:t>Medium-Term Improvements:</w:t>
      </w:r>
    </w:p>
    <w:p>
      <w:pPr>
        <w:pStyle w:val="ListNumber"/>
      </w:pPr>
      <w:r>
        <w:rPr>
          <w:b/>
        </w:rPr>
        <w:t>Brand Voice Guide Enhancement</w:t>
      </w:r>
      <w:r>
        <w:t xml:space="preserve"> - Expand tone guidelines with specific industry adaptations</w:t>
      </w:r>
    </w:p>
    <w:p>
      <w:pPr>
        <w:pStyle w:val="ListNumber"/>
      </w:pPr>
      <w:r>
        <w:rPr>
          <w:b/>
        </w:rPr>
        <w:t>Technical Glossary Expansion</w:t>
      </w:r>
      <w:r>
        <w:t xml:space="preserve"> - Comprehensive terminology standards for all four pillars</w:t>
      </w:r>
    </w:p>
    <w:p>
      <w:pPr>
        <w:pStyle w:val="ListNumber"/>
      </w:pPr>
      <w:r>
        <w:rPr>
          <w:b/>
        </w:rPr>
        <w:t>Quality Assurance Framework</w:t>
      </w:r>
      <w:r>
        <w:t xml:space="preserve"> - Systematic content review process implementation</w:t>
      </w:r>
    </w:p>
    <w:p/>
    <w:p>
      <w:pPr>
        <w:pStyle w:val="Heading2"/>
        <w:jc w:val="left"/>
      </w:pPr>
      <w:r>
        <w:t>Implementation Requirements</w:t>
      </w:r>
    </w:p>
    <w:p/>
    <w:p>
      <w:pPr>
        <w:pStyle w:val="Heading3"/>
        <w:jc w:val="left"/>
      </w:pPr>
      <w:r>
        <w:t>Phase 1: Immediate Compliance Updates</w:t>
      </w:r>
    </w:p>
    <w:p>
      <w:r>
        <w:rPr>
          <w:b/>
        </w:rPr>
        <w:t>Timeline: 1 week</w:t>
      </w:r>
    </w:p>
    <w:p>
      <w:pPr>
        <w:pStyle w:val="ListBullet"/>
      </w:pPr>
      <w:r>
        <w:t>Update existing research documents with standardised citations</w:t>
      </w:r>
    </w:p>
    <w:p>
      <w:pPr>
        <w:pStyle w:val="ListBullet"/>
      </w:pPr>
      <w:r>
        <w:t>Implement consistent Australian English verification process</w:t>
      </w:r>
    </w:p>
    <w:p>
      <w:pPr>
        <w:pStyle w:val="ListBullet"/>
      </w:pPr>
      <w:r>
        <w:t>Apply standardised document structure to all current materials</w:t>
      </w:r>
    </w:p>
    <w:p/>
    <w:p>
      <w:pPr>
        <w:pStyle w:val="Heading3"/>
        <w:jc w:val="left"/>
      </w:pPr>
      <w:r>
        <w:t>Phase 2: Template Development</w:t>
      </w:r>
    </w:p>
    <w:p>
      <w:r>
        <w:rPr>
          <w:b/>
        </w:rPr>
        <w:t>Timeline: 2 weeks</w:t>
      </w:r>
    </w:p>
    <w:p>
      <w:pPr>
        <w:pStyle w:val="ListBullet"/>
      </w:pPr>
      <w:r>
        <w:t>Develop content templates for each persona type</w:t>
      </w:r>
    </w:p>
    <w:p>
      <w:pPr>
        <w:pStyle w:val="ListBullet"/>
      </w:pPr>
      <w:r>
        <w:t>Create industry-specific compliance checklists</w:t>
      </w:r>
    </w:p>
    <w:p>
      <w:pPr>
        <w:pStyle w:val="ListBullet"/>
      </w:pPr>
      <w:r>
        <w:t>Establish technical documentation standards</w:t>
      </w:r>
    </w:p>
    <w:p/>
    <w:p>
      <w:pPr>
        <w:pStyle w:val="Heading3"/>
        <w:jc w:val="left"/>
      </w:pPr>
      <w:r>
        <w:t>Phase 3: Process Integration</w:t>
      </w:r>
    </w:p>
    <w:p>
      <w:r>
        <w:rPr>
          <w:b/>
        </w:rPr>
        <w:t>Timeline: 1 week</w:t>
      </w:r>
    </w:p>
    <w:p>
      <w:pPr>
        <w:pStyle w:val="ListBullet"/>
      </w:pPr>
      <w:r>
        <w:t>Integrate compliance checks into content creation workflow</w:t>
      </w:r>
    </w:p>
    <w:p>
      <w:pPr>
        <w:pStyle w:val="ListBullet"/>
      </w:pPr>
      <w:r>
        <w:t>Train content teams on new standards and templates</w:t>
      </w:r>
    </w:p>
    <w:p>
      <w:pPr>
        <w:pStyle w:val="ListBullet"/>
      </w:pPr>
      <w:r>
        <w:t>Establish ongoing quality assurance monitoring</w:t>
      </w:r>
    </w:p>
    <w:p/>
    <w:p>
      <w:pPr>
        <w:pStyle w:val="Heading3"/>
        <w:jc w:val="left"/>
      </w:pPr>
      <w:r>
        <w:t>Success Metrics</w:t>
      </w:r>
    </w:p>
    <w:p>
      <w:r>
        <w:rPr>
          <w:b/>
        </w:rPr>
        <w:t>Compliance Monitoring KPIs:</w:t>
      </w:r>
    </w:p>
    <w:p>
      <w:pPr>
        <w:pStyle w:val="ListBullet"/>
      </w:pPr>
      <w:r>
        <w:t>100% Australian English compliance across all content</w:t>
      </w:r>
    </w:p>
    <w:p>
      <w:pPr>
        <w:pStyle w:val="ListBullet"/>
      </w:pPr>
      <w:r>
        <w:t>Complete source attribution for statistical claims</w:t>
      </w:r>
    </w:p>
    <w:p>
      <w:pPr>
        <w:pStyle w:val="ListBullet"/>
      </w:pPr>
      <w:r>
        <w:t>Consistent document structure across all materials</w:t>
      </w:r>
    </w:p>
    <w:p>
      <w:pPr>
        <w:pStyle w:val="ListBullet"/>
      </w:pPr>
      <w:r>
        <w:t>Industry-specific compliance requirements addressed</w:t>
      </w:r>
    </w:p>
    <w:p>
      <w:pPr>
        <w:pStyle w:val="ListBullet"/>
      </w:pPr>
      <w:r>
        <w:t>Brand voice consistency maintained across all content types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Methodology and Source Documentation</w:t>
      </w:r>
    </w:p>
    <w:p/>
    <w:p>
      <w:r>
        <w:rPr>
          <w:b/>
        </w:rPr>
        <w:t>Analysis Methodology:</w:t>
      </w:r>
    </w:p>
    <w:p>
      <w:pPr>
        <w:pStyle w:val="ListBullet"/>
      </w:pPr>
      <w:r>
        <w:t>Comprehensive review of 67 existing research and content documents</w:t>
      </w:r>
    </w:p>
    <w:p>
      <w:pPr>
        <w:pStyle w:val="ListBullet"/>
      </w:pPr>
      <w:r>
        <w:t>Brand voice consistency analysis across different content types</w:t>
      </w:r>
    </w:p>
    <w:p>
      <w:pPr>
        <w:pStyle w:val="ListBullet"/>
      </w:pPr>
      <w:r>
        <w:t>Australian English compliance verification using British English standards</w:t>
      </w:r>
    </w:p>
    <w:p>
      <w:pPr>
        <w:pStyle w:val="ListBullet"/>
      </w:pPr>
      <w:r>
        <w:t>Citation and source attribution audit across research materials</w:t>
      </w:r>
    </w:p>
    <w:p>
      <w:pPr>
        <w:pStyle w:val="ListBullet"/>
      </w:pPr>
      <w:r>
        <w:t>Industry-specific compliance requirement mapping</w:t>
      </w:r>
    </w:p>
    <w:p/>
    <w:p>
      <w:r>
        <w:rPr>
          <w:b/>
        </w:rPr>
        <w:t>Key Sources Reviewed:</w:t>
      </w:r>
    </w:p>
    <w:p>
      <w:pPr>
        <w:pStyle w:val="ListBullet"/>
      </w:pPr>
      <w:r>
        <w:t>Existing audience personas documentation</w:t>
      </w:r>
    </w:p>
    <w:p>
      <w:pPr>
        <w:pStyle w:val="ListBullet"/>
      </w:pPr>
      <w:r>
        <w:t>Technical audit and implementation materials</w:t>
      </w:r>
    </w:p>
    <w:p>
      <w:pPr>
        <w:pStyle w:val="ListBullet"/>
      </w:pPr>
      <w:r>
        <w:t>Market research summaries across all four pillars</w:t>
      </w:r>
    </w:p>
    <w:p>
      <w:pPr>
        <w:pStyle w:val="ListBullet"/>
      </w:pPr>
      <w:r>
        <w:t>Content strategy and implementation guides</w:t>
      </w:r>
    </w:p>
    <w:p>
      <w:pPr>
        <w:pStyle w:val="ListBullet"/>
      </w:pPr>
      <w:r>
        <w:t>Quality assessment and feedback loop documentation</w:t>
      </w:r>
    </w:p>
    <w:p/>
    <w:p>
      <w:r>
        <w:rPr>
          <w:b/>
        </w:rPr>
        <w:t>Validation Framework:</w:t>
      </w:r>
    </w:p>
    <w:p>
      <w:pPr>
        <w:pStyle w:val="ListBullet"/>
      </w:pPr>
      <w:r>
        <w:t>Cross-referenced brand voice elements across multiple documents</w:t>
      </w:r>
    </w:p>
    <w:p>
      <w:pPr>
        <w:pStyle w:val="ListBullet"/>
      </w:pPr>
      <w:r>
        <w:t>Verified Australian English compliance against British English standards</w:t>
      </w:r>
    </w:p>
    <w:p>
      <w:pPr>
        <w:pStyle w:val="ListBullet"/>
      </w:pPr>
      <w:r>
        <w:t>Assessed technical accuracy against industry standard requirements</w:t>
      </w:r>
    </w:p>
    <w:p>
      <w:pPr>
        <w:pStyle w:val="ListBullet"/>
      </w:pPr>
      <w:r>
        <w:t>Confirmed persona alignment through messaging analysis</w:t>
      </w:r>
    </w:p>
    <w:p>
      <w:pPr>
        <w:pStyle w:val="ListBullet"/>
      </w:pPr>
      <w:r>
        <w:t>Evaluated implementation focus through actionable content review</w:t>
      </w:r>
    </w:p>
    <w:p/>
    <w:p>
      <w:r>
        <w:rPr>
          <w:b/>
        </w:rPr>
        <w:t>Limitations:</w:t>
      </w:r>
    </w:p>
    <w:p>
      <w:pPr>
        <w:pStyle w:val="ListBullet"/>
      </w:pPr>
      <w:r>
        <w:t>Assessment based on existing documentation rather than live content audit</w:t>
      </w:r>
    </w:p>
    <w:p>
      <w:pPr>
        <w:pStyle w:val="ListBullet"/>
      </w:pPr>
      <w:r>
        <w:t>Brand standards inferred from existing content rather than formal brand guidelines</w:t>
      </w:r>
    </w:p>
    <w:p>
      <w:pPr>
        <w:pStyle w:val="ListBullet"/>
      </w:pPr>
      <w:r>
        <w:t>Industry compliance requirements generalised across broad sector categories</w:t>
      </w:r>
    </w:p>
    <w:p>
      <w:pPr>
        <w:pStyle w:val="ListBullet"/>
      </w:pPr>
      <w:r>
        <w:t>Template standards developed based on best practices rather than client-specific requirements</w:t>
      </w:r>
    </w:p>
    <w:p/>
    <w:p>
      <w:r>
        <w:t>This SOP compliance assessment provides the foundation for ensuring all future content creation adheres to established Green Power Solutions brand and quality standards while meeting mandatory research workflow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