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Competitive Content Analysis - Green Power Solutions</w:t>
      </w:r>
    </w:p>
    <w:p/>
    <w:p>
      <w:r>
        <w:rPr>
          <w:b/>
        </w:rPr>
        <w:t>Project:</w:t>
      </w:r>
      <w:r>
        <w:t xml:space="preserve"> Green Power Solutions Foundational Research</w:t>
      </w:r>
    </w:p>
    <w:p>
      <w:r>
        <w:rPr>
          <w:b/>
        </w:rPr>
        <w:t>Generated:</w:t>
      </w:r>
      <w:r>
        <w:t xml:space="preserve"> 2025-09-06</w:t>
      </w:r>
    </w:p>
    <w:p>
      <w:r>
        <w:rPr>
          <w:b/>
        </w:rPr>
        <w:t>Focus:</w:t>
      </w:r>
      <w:r>
        <w:t xml:space="preserve"> Four Pillar Services Content Analysis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[Competitive Landscape Overview](#competitive-landscape-overview)</w:t>
      </w:r>
    </w:p>
    <w:p>
      <w:pPr>
        <w:pStyle w:val="ListNumber"/>
      </w:pPr>
      <w:r>
        <w:t>[Generator Services Analysis](#generator-services-analysis)</w:t>
      </w:r>
    </w:p>
    <w:p>
      <w:pPr>
        <w:pStyle w:val="ListNumber"/>
      </w:pPr>
      <w:r>
        <w:t>[Hybrid Lighting Analysis](#hybrid-lighting-analysis)</w:t>
      </w:r>
    </w:p>
    <w:p>
      <w:pPr>
        <w:pStyle w:val="ListNumber"/>
      </w:pPr>
      <w:r>
        <w:t>[Tank Storage Analysis](#tank-storage-analysis)</w:t>
      </w:r>
    </w:p>
    <w:p>
      <w:pPr>
        <w:pStyle w:val="ListNumber"/>
      </w:pPr>
      <w:r>
        <w:t>[Load Bank Testing Analysis](#load-bank-testing-analysis)</w:t>
      </w:r>
    </w:p>
    <w:p>
      <w:pPr>
        <w:pStyle w:val="ListNumber"/>
      </w:pPr>
      <w:r>
        <w:t>[Content Theme Analysis](#content-theme-analysis)</w:t>
      </w:r>
    </w:p>
    <w:p>
      <w:pPr>
        <w:pStyle w:val="ListNumber"/>
      </w:pPr>
      <w:r>
        <w:t>[Differentiation Opportunities](#differentiation-opportunities)</w:t>
      </w:r>
    </w:p>
    <w:p>
      <w:pPr>
        <w:pStyle w:val="ListNumber"/>
      </w:pPr>
      <w:r>
        <w:t>[Competitive Content Quality Assessment](#competitive-content-quality-assessment)</w:t>
      </w:r>
    </w:p>
    <w:p>
      <w:r>
        <w:t>10. [Strategic Recommendations](#strategic-recommendations)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Key Findings</w:t>
      </w:r>
    </w:p>
    <w:p>
      <w:pPr>
        <w:pStyle w:val="ListBullet"/>
      </w:pPr>
      <w:r>
        <w:rPr>
          <w:b/>
        </w:rPr>
        <w:t>Market Maturity</w:t>
      </w:r>
      <w:r>
        <w:t>: Established players with comprehensive service offerings across all four pillars</w:t>
      </w:r>
    </w:p>
    <w:p>
      <w:pPr>
        <w:pStyle w:val="ListBullet"/>
      </w:pPr>
      <w:r>
        <w:rPr>
          <w:b/>
        </w:rPr>
        <w:t>Sustainability Focus</w:t>
      </w:r>
      <w:r>
        <w:t>: Growing emphasis on hybrid, solar, and green energy solutions</w:t>
      </w:r>
    </w:p>
    <w:p>
      <w:pPr>
        <w:pStyle w:val="ListBullet"/>
      </w:pPr>
      <w:r>
        <w:rPr>
          <w:b/>
        </w:rPr>
        <w:t>Content Approach</w:t>
      </w:r>
      <w:r>
        <w:t>: Technical specification focus with limited storytelling and value proposition differentiation</w:t>
      </w:r>
    </w:p>
    <w:p>
      <w:pPr>
        <w:pStyle w:val="ListBullet"/>
      </w:pPr>
      <w:r>
        <w:rPr>
          <w:b/>
        </w:rPr>
        <w:t>Target Markets</w:t>
      </w:r>
      <w:r>
        <w:t>: Construction, mining, data centres, events, and industrial sectors consistently targeted</w:t>
      </w:r>
    </w:p>
    <w:p/>
    <w:p>
      <w:pPr>
        <w:pStyle w:val="Heading3"/>
        <w:jc w:val="left"/>
      </w:pPr>
      <w:r>
        <w:t>Primary Competitors Identified</w:t>
      </w:r>
    </w:p>
    <w:p>
      <w:pPr>
        <w:pStyle w:val="ListNumber"/>
      </w:pPr>
      <w:r>
        <w:rPr>
          <w:b/>
        </w:rPr>
        <w:t>Coates</w:t>
      </w:r>
      <w:r>
        <w:t xml:space="preserve"> - Australia's largest equipment rental provider</w:t>
      </w:r>
    </w:p>
    <w:p>
      <w:pPr>
        <w:pStyle w:val="ListNumber"/>
      </w:pPr>
      <w:r>
        <w:rPr>
          <w:b/>
        </w:rPr>
        <w:t>Kennards Hire</w:t>
      </w:r>
      <w:r>
        <w:t xml:space="preserve"> - Major family-owned rental company with innovation focus</w:t>
      </w:r>
    </w:p>
    <w:p>
      <w:pPr>
        <w:pStyle w:val="ListNumber"/>
      </w:pPr>
      <w:r>
        <w:rPr>
          <w:b/>
        </w:rPr>
        <w:t>Aggreko</w:t>
      </w:r>
      <w:r>
        <w:t xml:space="preserve"> - International player with strong technical positioning</w:t>
      </w:r>
    </w:p>
    <w:p>
      <w:pPr>
        <w:pStyle w:val="ListNumber"/>
      </w:pPr>
      <w:r>
        <w:rPr>
          <w:b/>
        </w:rPr>
        <w:t>Generator Power</w:t>
      </w:r>
      <w:r>
        <w:t xml:space="preserve"> - Specialist in load banks and power solutions</w:t>
      </w:r>
    </w:p>
    <w:p>
      <w:pPr>
        <w:pStyle w:val="ListNumber"/>
      </w:pPr>
      <w:r>
        <w:rPr>
          <w:b/>
        </w:rPr>
        <w:t>Fuelfix/Durotank</w:t>
      </w:r>
      <w:r>
        <w:t xml:space="preserve"> - Tank storage and fuel management specialists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Structure</w:t>
      </w:r>
    </w:p>
    <w:p>
      <w:r>
        <w:rPr>
          <w:b/>
        </w:rPr>
        <w:t>Large National Players:</w:t>
      </w:r>
    </w:p>
    <w:p>
      <w:pPr>
        <w:pStyle w:val="ListBullet"/>
      </w:pPr>
      <w:r>
        <w:t>Coates: Positioned as Australia's most comprehensive equipment rental solution</w:t>
      </w:r>
    </w:p>
    <w:p>
      <w:pPr>
        <w:pStyle w:val="ListBullet"/>
      </w:pPr>
      <w:r>
        <w:t>Kennards Hire: Family-owned with 190+ locations, emphasising innovation</w:t>
      </w:r>
    </w:p>
    <w:p>
      <w:pPr>
        <w:pStyle w:val="ListBullet"/>
      </w:pPr>
      <w:r>
        <w:t>Aggreko: International presence with NetZero sustainability positioning</w:t>
      </w:r>
    </w:p>
    <w:p/>
    <w:p>
      <w:r>
        <w:rPr>
          <w:b/>
        </w:rPr>
        <w:t>Specialist Providers:</w:t>
      </w:r>
    </w:p>
    <w:p>
      <w:pPr>
        <w:pStyle w:val="ListBullet"/>
      </w:pPr>
      <w:r>
        <w:t>Generator Power: Technical expertise in load banks (8.4kW – 2,500kW range)</w:t>
      </w:r>
    </w:p>
    <w:p>
      <w:pPr>
        <w:pStyle w:val="ListBullet"/>
      </w:pPr>
      <w:r>
        <w:t>Leading Power Solutions: Sydney-based load bank rental specialist</w:t>
      </w:r>
    </w:p>
    <w:p>
      <w:pPr>
        <w:pStyle w:val="ListBullet"/>
      </w:pPr>
      <w:r>
        <w:t>Fuelfix: Fuel storage and management systems specialist</w:t>
      </w:r>
    </w:p>
    <w:p/>
    <w:p>
      <w:pPr>
        <w:pStyle w:val="Heading3"/>
        <w:jc w:val="left"/>
      </w:pPr>
      <w:r>
        <w:t>Service Breadth Comparison</w:t>
      </w:r>
    </w:p>
    <w:p>
      <w:r>
        <w:t>| Company | Generators | Lighting | Tank Storage | Load Banks |</w:t>
      </w:r>
    </w:p>
    <w:p>
      <w:r>
        <w:t>|---------|------------|----------|--------------|------------|</w:t>
      </w:r>
    </w:p>
    <w:p>
      <w:r>
        <w:t xml:space="preserve">| </w:t>
      </w:r>
      <w:r>
        <w:rPr>
          <w:b/>
        </w:rPr>
        <w:t>Green Power Solutions</w:t>
      </w:r>
      <w:r>
        <w:t xml:space="preserve"> | ✅ Biodiesel Focus | ✅ Hybrid 8.2m | ✅ Fuel/Water | ❓ Implied |</w:t>
      </w:r>
    </w:p>
    <w:p>
      <w:r>
        <w:t xml:space="preserve">| </w:t>
      </w:r>
      <w:r>
        <w:rPr>
          <w:b/>
        </w:rPr>
        <w:t>Coates</w:t>
      </w:r>
      <w:r>
        <w:t xml:space="preserve"> | ✅ Full Range | ✅ LED/Hybrid | ✅ Limited | ✅ Basic |</w:t>
      </w:r>
    </w:p>
    <w:p>
      <w:r>
        <w:t xml:space="preserve">| </w:t>
      </w:r>
      <w:r>
        <w:rPr>
          <w:b/>
        </w:rPr>
        <w:t>Aggreko</w:t>
      </w:r>
      <w:r>
        <w:t xml:space="preserve"> | ✅ Diesel/Gas | ✅ Standard | ❌ None | ✅ Data Centre |</w:t>
      </w:r>
    </w:p>
    <w:p>
      <w:r>
        <w:t xml:space="preserve">| </w:t>
      </w:r>
      <w:r>
        <w:rPr>
          <w:b/>
        </w:rPr>
        <w:t>Generator Power</w:t>
      </w:r>
      <w:r>
        <w:t xml:space="preserve"> | ✅ Commercial | ❌ None | ❌ None | ✅ Specialist |</w:t>
      </w:r>
    </w:p>
    <w:p/>
    <w:p>
      <w:pPr>
        <w:pStyle w:val="Heading2"/>
        <w:jc w:val="left"/>
      </w:pPr>
      <w:r>
        <w:t>Generator Services Analysis</w:t>
      </w:r>
    </w:p>
    <w:p/>
    <w:p>
      <w:pPr>
        <w:pStyle w:val="Heading3"/>
        <w:jc w:val="left"/>
      </w:pPr>
      <w:r>
        <w:t>Coates Content Strategy</w:t>
      </w:r>
    </w:p>
    <w:p>
      <w:r>
        <w:rPr>
          <w:b/>
        </w:rPr>
        <w:t>Positioning:</w:t>
      </w:r>
      <w:r>
        <w:t xml:space="preserve"> Comprehensive equipment categories with 20+ equipment types</w:t>
      </w:r>
    </w:p>
    <w:p>
      <w:r>
        <w:rPr>
          <w:b/>
        </w:rPr>
        <w:t>Content Themes:</w:t>
      </w:r>
    </w:p>
    <w:p>
      <w:pPr>
        <w:pStyle w:val="ListBullet"/>
      </w:pPr>
      <w:r>
        <w:t>Technical specifications (power output categorisation)</w:t>
      </w:r>
    </w:p>
    <w:p>
      <w:pPr>
        <w:pStyle w:val="ListBullet"/>
      </w:pPr>
      <w:r>
        <w:t>Diverse generator types (diesel, petrol, solar/hybrid)</w:t>
      </w:r>
    </w:p>
    <w:p>
      <w:pPr>
        <w:pStyle w:val="ListBullet"/>
      </w:pPr>
      <w:r>
        <w:t>Battery Energy Storage Systems integration</w:t>
      </w:r>
    </w:p>
    <w:p>
      <w:pPr>
        <w:pStyle w:val="ListBullet"/>
      </w:pPr>
      <w:r>
        <w:t>Industrial and construction focus</w:t>
      </w:r>
    </w:p>
    <w:p/>
    <w:p>
      <w:r>
        <w:rPr>
          <w:b/>
        </w:rPr>
        <w:t>Unique Elements:</w:t>
      </w:r>
    </w:p>
    <w:p>
      <w:pPr>
        <w:pStyle w:val="ListBullet"/>
      </w:pPr>
      <w:r>
        <w:t>Hierarchical product categorisation (&lt;50kVA, &gt;=50kVA)</w:t>
      </w:r>
    </w:p>
    <w:p>
      <w:pPr>
        <w:pStyle w:val="ListBullet"/>
      </w:pPr>
      <w:r>
        <w:t>Complementary power distribution products</w:t>
      </w:r>
    </w:p>
    <w:p>
      <w:pPr>
        <w:pStyle w:val="ListBullet"/>
      </w:pPr>
      <w:r>
        <w:t>User-friendly navigation structure</w:t>
      </w:r>
    </w:p>
    <w:p/>
    <w:p>
      <w:pPr>
        <w:pStyle w:val="Heading3"/>
        <w:jc w:val="left"/>
      </w:pPr>
      <w:r>
        <w:t>Aggreko Content Strategy</w:t>
      </w:r>
    </w:p>
    <w:p>
      <w:r>
        <w:rPr>
          <w:b/>
        </w:rPr>
        <w:t>Positioning:</w:t>
      </w:r>
      <w:r>
        <w:t xml:space="preserve"> "World-leading provider of mobile modular power"</w:t>
      </w:r>
    </w:p>
    <w:p>
      <w:r>
        <w:rPr>
          <w:b/>
        </w:rPr>
        <w:t>Content Themes:</w:t>
      </w:r>
    </w:p>
    <w:p>
      <w:pPr>
        <w:pStyle w:val="ListBullet"/>
      </w:pPr>
      <w:r>
        <w:t>Flexibility emphasis ("scale up and down as demand requires")</w:t>
      </w:r>
    </w:p>
    <w:p>
      <w:pPr>
        <w:pStyle w:val="ListBullet"/>
      </w:pPr>
      <w:r>
        <w:t>NetZero sustainability commitment by 2030</w:t>
      </w:r>
    </w:p>
    <w:p>
      <w:pPr>
        <w:pStyle w:val="ListBullet"/>
      </w:pPr>
      <w:r>
        <w:t>Technical competence messaging</w:t>
      </w:r>
    </w:p>
    <w:p>
      <w:pPr>
        <w:pStyle w:val="ListBullet"/>
      </w:pPr>
      <w:r>
        <w:t>Multiple industry sector targeting</w:t>
      </w:r>
    </w:p>
    <w:p/>
    <w:p>
      <w:r>
        <w:rPr>
          <w:b/>
        </w:rPr>
        <w:t>Unique Elements:</w:t>
      </w:r>
    </w:p>
    <w:p>
      <w:pPr>
        <w:pStyle w:val="ListBullet"/>
      </w:pPr>
      <w:r>
        <w:t>Strong sustainability messaging</w:t>
      </w:r>
    </w:p>
    <w:p>
      <w:pPr>
        <w:pStyle w:val="ListBullet"/>
      </w:pPr>
      <w:r>
        <w:t>International credibility positioning</w:t>
      </w:r>
    </w:p>
    <w:p>
      <w:pPr>
        <w:pStyle w:val="ListBullet"/>
      </w:pPr>
      <w:r>
        <w:t>Complex challenge solving focus</w:t>
      </w:r>
    </w:p>
    <w:p/>
    <w:p>
      <w:pPr>
        <w:pStyle w:val="Heading3"/>
        <w:jc w:val="left"/>
      </w:pPr>
      <w:r>
        <w:t>Content Gap Identification</w:t>
      </w:r>
    </w:p>
    <w:p>
      <w:r>
        <w:rPr>
          <w:b/>
        </w:rPr>
        <w:t>Missing Content Themes:</w:t>
      </w:r>
    </w:p>
    <w:p>
      <w:pPr>
        <w:pStyle w:val="ListBullet"/>
      </w:pPr>
      <w:r>
        <w:t>Limited biodiesel expertise positioning</w:t>
      </w:r>
    </w:p>
    <w:p>
      <w:pPr>
        <w:pStyle w:val="ListBullet"/>
      </w:pPr>
      <w:r>
        <w:t>Minimal environmental impact quantification</w:t>
      </w:r>
    </w:p>
    <w:p>
      <w:pPr>
        <w:pStyle w:val="ListBullet"/>
      </w:pPr>
      <w:r>
        <w:t>Basic customer education content</w:t>
      </w:r>
    </w:p>
    <w:p>
      <w:pPr>
        <w:pStyle w:val="ListBullet"/>
      </w:pPr>
      <w:r>
        <w:t>Limited case studies and success stories</w:t>
      </w:r>
    </w:p>
    <w:p/>
    <w:p>
      <w:pPr>
        <w:pStyle w:val="Heading2"/>
        <w:jc w:val="left"/>
      </w:pPr>
      <w:r>
        <w:t>Hybrid Lighting Analysis</w:t>
      </w:r>
    </w:p>
    <w:p/>
    <w:p>
      <w:pPr>
        <w:pStyle w:val="Heading3"/>
        <w:jc w:val="left"/>
      </w:pPr>
      <w:r>
        <w:t>Market Innovation Trends</w:t>
      </w:r>
    </w:p>
    <w:p>
      <w:r>
        <w:rPr>
          <w:b/>
        </w:rPr>
        <w:t>Technology Integration:</w:t>
      </w:r>
    </w:p>
    <w:p>
      <w:pPr>
        <w:pStyle w:val="ListBullet"/>
      </w:pPr>
      <w:r>
        <w:t>Hybrid systems: Battery + small engine charging capability</w:t>
      </w:r>
    </w:p>
    <w:p>
      <w:pPr>
        <w:pStyle w:val="ListBullet"/>
      </w:pPr>
      <w:r>
        <w:t>Solar integration with lithium-ion battery technology</w:t>
      </w:r>
    </w:p>
    <w:p>
      <w:pPr>
        <w:pStyle w:val="ListBullet"/>
      </w:pPr>
      <w:r>
        <w:t>LED technology standard across all providers</w:t>
      </w:r>
    </w:p>
    <w:p>
      <w:pPr>
        <w:pStyle w:val="ListBullet"/>
      </w:pPr>
      <w:r>
        <w:t>Mine specification compliance emphasis</w:t>
      </w:r>
    </w:p>
    <w:p/>
    <w:p>
      <w:pPr>
        <w:pStyle w:val="Heading3"/>
        <w:jc w:val="left"/>
      </w:pPr>
      <w:r>
        <w:t>Competitive Positioning Analysis</w:t>
      </w:r>
    </w:p>
    <w:p/>
    <w:p>
      <w:r>
        <w:rPr>
          <w:b/>
        </w:rPr>
        <w:t>Access Hire Australia:</w:t>
      </w:r>
    </w:p>
    <w:p>
      <w:pPr>
        <w:pStyle w:val="ListBullet"/>
      </w:pPr>
      <w:r>
        <w:t>"One of Australia's largest fleets" of Globe Power Solar Lighting Towers</w:t>
      </w:r>
    </w:p>
    <w:p>
      <w:pPr>
        <w:pStyle w:val="ListBullet"/>
      </w:pPr>
      <w:r>
        <w:t>Variety positioning: LED, Solar, Diesel, Mine Spec, Bi Energy</w:t>
      </w:r>
    </w:p>
    <w:p>
      <w:pPr>
        <w:pStyle w:val="ListBullet"/>
      </w:pPr>
      <w:r>
        <w:t>Application focus: construction, metro, mine sites, industrial, road/civil works</w:t>
      </w:r>
    </w:p>
    <w:p/>
    <w:p>
      <w:r>
        <w:rPr>
          <w:b/>
        </w:rPr>
        <w:t>Blue Diamond:</w:t>
      </w:r>
    </w:p>
    <w:p>
      <w:pPr>
        <w:pStyle w:val="ListBullet"/>
      </w:pPr>
      <w:r>
        <w:t>Advanced technology positioning</w:t>
      </w:r>
    </w:p>
    <w:p>
      <w:pPr>
        <w:pStyle w:val="ListBullet"/>
      </w:pPr>
      <w:r>
        <w:t>Sustainable power options emphasis</w:t>
      </w:r>
    </w:p>
    <w:p>
      <w:pPr>
        <w:pStyle w:val="ListBullet"/>
      </w:pPr>
      <w:r>
        <w:t>Zero emissions capability when battery powered</w:t>
      </w:r>
    </w:p>
    <w:p>
      <w:pPr>
        <w:pStyle w:val="ListBullet"/>
      </w:pPr>
      <w:r>
        <w:t>Hybrid lighting towers with silent operation</w:t>
      </w:r>
    </w:p>
    <w:p/>
    <w:p>
      <w:r>
        <w:rPr>
          <w:b/>
        </w:rPr>
        <w:t>PR Power:</w:t>
      </w:r>
    </w:p>
    <w:p>
      <w:pPr>
        <w:pStyle w:val="ListBullet"/>
      </w:pPr>
      <w:r>
        <w:t>"Cutting-edge LED technology" positioning</w:t>
      </w:r>
    </w:p>
    <w:p>
      <w:pPr>
        <w:pStyle w:val="ListBullet"/>
      </w:pPr>
      <w:r>
        <w:t>Comprehensive range: solar, hybrid, diesel towers</w:t>
      </w:r>
    </w:p>
    <w:p>
      <w:pPr>
        <w:pStyle w:val="ListBullet"/>
      </w:pPr>
      <w:r>
        <w:t>Application breadth: mining, construction, civil works, events</w:t>
      </w:r>
    </w:p>
    <w:p/>
    <w:p>
      <w:pPr>
        <w:pStyle w:val="Heading3"/>
        <w:jc w:val="left"/>
      </w:pPr>
      <w:r>
        <w:t>Content Differentiation Opportunities</w:t>
      </w:r>
    </w:p>
    <w:p>
      <w:r>
        <w:rPr>
          <w:b/>
        </w:rPr>
        <w:t>Underexplored Themes:</w:t>
      </w:r>
    </w:p>
    <w:p>
      <w:pPr>
        <w:pStyle w:val="ListBullet"/>
      </w:pPr>
      <w:r>
        <w:t>8.2m tower height technical advantage</w:t>
      </w:r>
    </w:p>
    <w:p>
      <w:pPr>
        <w:pStyle w:val="ListBullet"/>
      </w:pPr>
      <w:r>
        <w:t>8-hour battery operation specifics</w:t>
      </w:r>
    </w:p>
    <w:p>
      <w:pPr>
        <w:pStyle w:val="ListBullet"/>
      </w:pPr>
      <w:r>
        <w:t>Hybrid technology cost-benefit analysis</w:t>
      </w:r>
    </w:p>
    <w:p>
      <w:pPr>
        <w:pStyle w:val="ListBullet"/>
      </w:pPr>
      <w:r>
        <w:t>Environmental impact quantification</w:t>
      </w:r>
    </w:p>
    <w:p/>
    <w:p>
      <w:pPr>
        <w:pStyle w:val="Heading2"/>
        <w:jc w:val="left"/>
      </w:pPr>
      <w:r>
        <w:t>Tank Storage Analysis</w:t>
      </w:r>
    </w:p>
    <w:p/>
    <w:p>
      <w:pPr>
        <w:pStyle w:val="Heading3"/>
        <w:jc w:val="left"/>
      </w:pPr>
      <w:r>
        <w:t>Market Specialisation Levels</w:t>
      </w:r>
    </w:p>
    <w:p/>
    <w:p>
      <w:r>
        <w:rPr>
          <w:b/>
        </w:rPr>
        <w:t>Fuelfix/Tanks2Go:</w:t>
      </w:r>
    </w:p>
    <w:p>
      <w:pPr>
        <w:pStyle w:val="ListBullet"/>
      </w:pPr>
      <w:r>
        <w:t>"Fuel Management System technology" differentiation</w:t>
      </w:r>
    </w:p>
    <w:p>
      <w:pPr>
        <w:pStyle w:val="ListBullet"/>
      </w:pPr>
      <w:r>
        <w:t>Range: 1000L to 110,000L capacity</w:t>
      </w:r>
    </w:p>
    <w:p>
      <w:pPr>
        <w:pStyle w:val="ListBullet"/>
      </w:pPr>
      <w:r>
        <w:t>Self-bunded tank specialisation</w:t>
      </w:r>
    </w:p>
    <w:p>
      <w:pPr>
        <w:pStyle w:val="ListBullet"/>
      </w:pPr>
      <w:r>
        <w:t>Traditional hydrocarbon products focus</w:t>
      </w:r>
    </w:p>
    <w:p/>
    <w:p>
      <w:r>
        <w:rPr>
          <w:b/>
        </w:rPr>
        <w:t>Durotank:</w:t>
      </w:r>
    </w:p>
    <w:p>
      <w:pPr>
        <w:pStyle w:val="ListBullet"/>
      </w:pPr>
      <w:r>
        <w:t>"Australia's leading manufacturer" positioning</w:t>
      </w:r>
    </w:p>
    <w:p>
      <w:pPr>
        <w:pStyle w:val="ListBullet"/>
      </w:pPr>
      <w:r>
        <w:t>100% Australian made certification</w:t>
      </w:r>
    </w:p>
    <w:p>
      <w:pPr>
        <w:pStyle w:val="ListBullet"/>
      </w:pPr>
      <w:r>
        <w:t>Premium quality emphasis</w:t>
      </w:r>
    </w:p>
    <w:p>
      <w:pPr>
        <w:pStyle w:val="ListBullet"/>
      </w:pPr>
      <w:r>
        <w:t>Fire-fighting and dust suppression integration</w:t>
      </w:r>
    </w:p>
    <w:p/>
    <w:p>
      <w:r>
        <w:rPr>
          <w:b/>
        </w:rPr>
        <w:t>International Tank Hire:</w:t>
      </w:r>
    </w:p>
    <w:p>
      <w:pPr>
        <w:pStyle w:val="ListBullet"/>
      </w:pPr>
      <w:r>
        <w:t>"Ready to Hire" availability messaging</w:t>
      </w:r>
    </w:p>
    <w:p>
      <w:pPr>
        <w:pStyle w:val="ListBullet"/>
      </w:pPr>
      <w:r>
        <w:t>Size range: 1000L to 110,000L</w:t>
      </w:r>
    </w:p>
    <w:p>
      <w:pPr>
        <w:pStyle w:val="ListBullet"/>
      </w:pPr>
      <w:r>
        <w:t>Multi-industry service: construction, mining, agriculture, transport</w:t>
      </w:r>
    </w:p>
    <w:p/>
    <w:p>
      <w:pPr>
        <w:pStyle w:val="Heading3"/>
        <w:jc w:val="left"/>
      </w:pPr>
      <w:r>
        <w:t>Content Strategy Analysis</w:t>
      </w:r>
    </w:p>
    <w:p>
      <w:r>
        <w:rPr>
          <w:b/>
        </w:rPr>
        <w:t>Common Themes:</w:t>
      </w:r>
    </w:p>
    <w:p>
      <w:pPr>
        <w:pStyle w:val="ListBullet"/>
      </w:pPr>
      <w:r>
        <w:t>Technical specification focus (tank sizes, compliance)</w:t>
      </w:r>
    </w:p>
    <w:p>
      <w:pPr>
        <w:pStyle w:val="ListBullet"/>
      </w:pPr>
      <w:r>
        <w:t>Safety emphasis (self-bunded design)</w:t>
      </w:r>
    </w:p>
    <w:p>
      <w:pPr>
        <w:pStyle w:val="ListBullet"/>
      </w:pPr>
      <w:r>
        <w:t>Industry application breadth</w:t>
      </w:r>
    </w:p>
    <w:p>
      <w:pPr>
        <w:pStyle w:val="ListBullet"/>
      </w:pPr>
      <w:r>
        <w:t>Australian standards compliance</w:t>
      </w:r>
    </w:p>
    <w:p/>
    <w:p>
      <w:r>
        <w:rPr>
          <w:b/>
        </w:rPr>
        <w:t>Differentiation Opportunities:</w:t>
      </w:r>
    </w:p>
    <w:p>
      <w:pPr>
        <w:pStyle w:val="ListBullet"/>
      </w:pPr>
      <w:r>
        <w:t>Biodiesel storage specialisation underexplored</w:t>
      </w:r>
    </w:p>
    <w:p>
      <w:pPr>
        <w:pStyle w:val="ListBullet"/>
      </w:pPr>
      <w:r>
        <w:t>Environmental benefits of biodiesel storage</w:t>
      </w:r>
    </w:p>
    <w:p>
      <w:pPr>
        <w:pStyle w:val="ListBullet"/>
      </w:pPr>
      <w:r>
        <w:t>Integrated fuel management services</w:t>
      </w:r>
    </w:p>
    <w:p>
      <w:pPr>
        <w:pStyle w:val="ListBullet"/>
      </w:pPr>
      <w:r>
        <w:t>Sustainability metrics and reporting</w:t>
      </w:r>
    </w:p>
    <w:p/>
    <w:p>
      <w:pPr>
        <w:pStyle w:val="Heading2"/>
        <w:jc w:val="left"/>
      </w:pPr>
      <w:r>
        <w:t>Load Bank Testing Analysis</w:t>
      </w:r>
    </w:p>
    <w:p/>
    <w:p>
      <w:pPr>
        <w:pStyle w:val="Heading3"/>
        <w:jc w:val="left"/>
      </w:pPr>
      <w:r>
        <w:t>Technical Capability Positioning</w:t>
      </w:r>
    </w:p>
    <w:p/>
    <w:p>
      <w:r>
        <w:rPr>
          <w:b/>
        </w:rPr>
        <w:t>Generator Power:</w:t>
      </w:r>
    </w:p>
    <w:p>
      <w:pPr>
        <w:pStyle w:val="ListBullet"/>
      </w:pPr>
      <w:r>
        <w:t>"VIKING load banks" branded products</w:t>
      </w:r>
    </w:p>
    <w:p>
      <w:pPr>
        <w:pStyle w:val="ListBullet"/>
      </w:pPr>
      <w:r>
        <w:t>Demanding environment durability</w:t>
      </w:r>
    </w:p>
    <w:p>
      <w:pPr>
        <w:pStyle w:val="ListBullet"/>
      </w:pPr>
      <w:r>
        <w:t>Range: 8.4kW – 2,500kW</w:t>
      </w:r>
    </w:p>
    <w:p>
      <w:pPr>
        <w:pStyle w:val="ListBullet"/>
      </w:pPr>
      <w:r>
        <w:t>Commercial, data centre, industrial, mining applications</w:t>
      </w:r>
    </w:p>
    <w:p/>
    <w:p>
      <w:r>
        <w:rPr>
          <w:b/>
        </w:rPr>
        <w:t>CAPS Australia:</w:t>
      </w:r>
    </w:p>
    <w:p>
      <w:pPr>
        <w:pStyle w:val="ListBullet"/>
      </w:pPr>
      <w:r>
        <w:t>Up to 1,000kW testing capability</w:t>
      </w:r>
    </w:p>
    <w:p>
      <w:pPr>
        <w:pStyle w:val="ListBullet"/>
      </w:pPr>
      <w:r>
        <w:t>Comprehensive power source testing</w:t>
      </w:r>
    </w:p>
    <w:p>
      <w:pPr>
        <w:pStyle w:val="ListBullet"/>
      </w:pPr>
      <w:r>
        <w:t>Generator and battery testing focus</w:t>
      </w:r>
    </w:p>
    <w:p/>
    <w:p>
      <w:r>
        <w:rPr>
          <w:b/>
        </w:rPr>
        <w:t>Aggreko:</w:t>
      </w:r>
    </w:p>
    <w:p>
      <w:pPr>
        <w:pStyle w:val="ListBullet"/>
      </w:pPr>
      <w:r>
        <w:t>Data centre specialisation</w:t>
      </w:r>
    </w:p>
    <w:p>
      <w:pPr>
        <w:pStyle w:val="ListBullet"/>
      </w:pPr>
      <w:r>
        <w:t>"Electrical and heat loads simulation"</w:t>
      </w:r>
    </w:p>
    <w:p>
      <w:pPr>
        <w:pStyle w:val="ListBullet"/>
      </w:pPr>
      <w:r>
        <w:t>Commissioning, maintenance, capacity planning</w:t>
      </w:r>
    </w:p>
    <w:p>
      <w:pPr>
        <w:pStyle w:val="ListBullet"/>
      </w:pPr>
      <w:r>
        <w:t>Nationwide depot network</w:t>
      </w:r>
    </w:p>
    <w:p/>
    <w:p>
      <w:pPr>
        <w:pStyle w:val="Heading3"/>
        <w:jc w:val="left"/>
      </w:pPr>
      <w:r>
        <w:t>Market Application Analysis</w:t>
      </w:r>
    </w:p>
    <w:p>
      <w:r>
        <w:rPr>
          <w:b/>
        </w:rPr>
        <w:t>Primary Applications Identified:</w:t>
      </w:r>
    </w:p>
    <w:p>
      <w:pPr>
        <w:pStyle w:val="ListBullet"/>
      </w:pPr>
      <w:r>
        <w:t>Data centre commissioning (most common market)</w:t>
      </w:r>
    </w:p>
    <w:p>
      <w:pPr>
        <w:pStyle w:val="ListBullet"/>
      </w:pPr>
      <w:r>
        <w:t>Hospital backup power testing</w:t>
      </w:r>
    </w:p>
    <w:p>
      <w:pPr>
        <w:pStyle w:val="ListBullet"/>
      </w:pPr>
      <w:r>
        <w:t>Generator validation and performance testing</w:t>
      </w:r>
    </w:p>
    <w:p>
      <w:pPr>
        <w:pStyle w:val="ListBullet"/>
      </w:pPr>
      <w:r>
        <w:t>UPS system testing</w:t>
      </w:r>
    </w:p>
    <w:p>
      <w:pPr>
        <w:pStyle w:val="ListBullet"/>
      </w:pPr>
      <w:r>
        <w:t>Mining and industrial applications</w:t>
      </w:r>
    </w:p>
    <w:p/>
    <w:p>
      <w:r>
        <w:rPr>
          <w:b/>
        </w:rPr>
        <w:t>Content Themes:</w:t>
      </w:r>
    </w:p>
    <w:p>
      <w:pPr>
        <w:pStyle w:val="ListBullet"/>
      </w:pPr>
      <w:r>
        <w:t>Mission-critical reliability emphasis</w:t>
      </w:r>
    </w:p>
    <w:p>
      <w:pPr>
        <w:pStyle w:val="ListBullet"/>
      </w:pPr>
      <w:r>
        <w:t>Technical specification focus</w:t>
      </w:r>
    </w:p>
    <w:p>
      <w:pPr>
        <w:pStyle w:val="ListBullet"/>
      </w:pPr>
      <w:r>
        <w:t>Compliance and operational readiness</w:t>
      </w:r>
    </w:p>
    <w:p>
      <w:pPr>
        <w:pStyle w:val="ListBullet"/>
      </w:pPr>
      <w:r>
        <w:t>Custom engineering capabilities</w:t>
      </w:r>
    </w:p>
    <w:p/>
    <w:p>
      <w:pPr>
        <w:pStyle w:val="Heading3"/>
        <w:jc w:val="left"/>
      </w:pPr>
      <w:r>
        <w:t>Competitive Content Gaps</w:t>
      </w:r>
    </w:p>
    <w:p>
      <w:r>
        <w:rPr>
          <w:b/>
        </w:rPr>
        <w:t>Underexplored Content Areas:</w:t>
      </w:r>
    </w:p>
    <w:p>
      <w:pPr>
        <w:pStyle w:val="ListBullet"/>
      </w:pPr>
      <w:r>
        <w:t>Load bank testing educational content</w:t>
      </w:r>
    </w:p>
    <w:p>
      <w:pPr>
        <w:pStyle w:val="ListBullet"/>
      </w:pPr>
      <w:r>
        <w:t>Data centre commissioning process explanation</w:t>
      </w:r>
    </w:p>
    <w:p>
      <w:pPr>
        <w:pStyle w:val="ListBullet"/>
      </w:pPr>
      <w:r>
        <w:t>ROI and risk mitigation benefits</w:t>
      </w:r>
    </w:p>
    <w:p>
      <w:pPr>
        <w:pStyle w:val="ListBullet"/>
      </w:pPr>
      <w:r>
        <w:t>Regulatory compliance requirements</w:t>
      </w:r>
    </w:p>
    <w:p/>
    <w:p>
      <w:pPr>
        <w:pStyle w:val="Heading2"/>
        <w:jc w:val="left"/>
      </w:pPr>
      <w:r>
        <w:t>Content Theme Analysis</w:t>
      </w:r>
    </w:p>
    <w:p/>
    <w:p>
      <w:pPr>
        <w:pStyle w:val="Heading3"/>
        <w:jc w:val="left"/>
      </w:pPr>
      <w:r>
        <w:t>Universal Content Themes Across Competitors</w:t>
      </w:r>
    </w:p>
    <w:p>
      <w:pPr>
        <w:pStyle w:val="ListNumber"/>
      </w:pPr>
      <w:r>
        <w:rPr>
          <w:b/>
        </w:rPr>
        <w:t>Technical Specifications</w:t>
      </w:r>
      <w:r>
        <w:t xml:space="preserve"> - Power ratings, sizes, capabilities</w:t>
      </w:r>
    </w:p>
    <w:p>
      <w:pPr>
        <w:pStyle w:val="ListNumber"/>
      </w:pPr>
      <w:r>
        <w:rPr>
          <w:b/>
        </w:rPr>
        <w:t>Industry Applications</w:t>
      </w:r>
      <w:r>
        <w:t xml:space="preserve"> - Construction, mining, events, data centres</w:t>
      </w:r>
    </w:p>
    <w:p>
      <w:pPr>
        <w:pStyle w:val="ListNumber"/>
      </w:pPr>
      <w:r>
        <w:rPr>
          <w:b/>
        </w:rPr>
        <w:t>Reliability &amp; Durability</w:t>
      </w:r>
      <w:r>
        <w:t xml:space="preserve"> - Australian conditions, harsh environments</w:t>
      </w:r>
    </w:p>
    <w:p>
      <w:pPr>
        <w:pStyle w:val="ListNumber"/>
      </w:pPr>
      <w:r>
        <w:rPr>
          <w:b/>
        </w:rPr>
        <w:t>Safety &amp; Compliance</w:t>
      </w:r>
      <w:r>
        <w:t xml:space="preserve"> - Australian standards, environmental safety</w:t>
      </w:r>
    </w:p>
    <w:p>
      <w:pPr>
        <w:pStyle w:val="ListNumber"/>
      </w:pPr>
      <w:r>
        <w:rPr>
          <w:b/>
        </w:rPr>
        <w:t>Service Coverage</w:t>
      </w:r>
      <w:r>
        <w:t xml:space="preserve"> - Nationwide availability, depot networks</w:t>
      </w:r>
    </w:p>
    <w:p/>
    <w:p>
      <w:pPr>
        <w:pStyle w:val="Heading3"/>
        <w:jc w:val="left"/>
      </w:pPr>
      <w:r>
        <w:t>Emerging Content Themes</w:t>
      </w:r>
    </w:p>
    <w:p>
      <w:pPr>
        <w:pStyle w:val="ListNumber"/>
      </w:pPr>
      <w:r>
        <w:rPr>
          <w:b/>
        </w:rPr>
        <w:t>Sustainability Focus</w:t>
      </w:r>
      <w:r>
        <w:t xml:space="preserve"> - NetZero commitments, green energy options</w:t>
      </w:r>
    </w:p>
    <w:p>
      <w:pPr>
        <w:pStyle w:val="ListNumber"/>
      </w:pPr>
      <w:r>
        <w:rPr>
          <w:b/>
        </w:rPr>
        <w:t>Technology Innovation</w:t>
      </w:r>
      <w:r>
        <w:t xml:space="preserve"> - Hybrid systems, battery integration, IoT</w:t>
      </w:r>
    </w:p>
    <w:p>
      <w:pPr>
        <w:pStyle w:val="ListNumber"/>
      </w:pPr>
      <w:r>
        <w:rPr>
          <w:b/>
        </w:rPr>
        <w:t>Custom Solutions</w:t>
      </w:r>
      <w:r>
        <w:t xml:space="preserve"> - Engineered solutions for specific requirements</w:t>
      </w:r>
    </w:p>
    <w:p>
      <w:pPr>
        <w:pStyle w:val="ListNumber"/>
      </w:pPr>
      <w:r>
        <w:rPr>
          <w:b/>
        </w:rPr>
        <w:t>Cost Efficiency</w:t>
      </w:r>
      <w:r>
        <w:t xml:space="preserve"> - Operational cost reduction, fuel savings</w:t>
      </w:r>
    </w:p>
    <w:p/>
    <w:p>
      <w:pPr>
        <w:pStyle w:val="Heading3"/>
        <w:jc w:val="left"/>
      </w:pPr>
      <w:r>
        <w:t>Content Format Analysis</w:t>
      </w:r>
    </w:p>
    <w:p>
      <w:r>
        <w:rPr>
          <w:b/>
        </w:rPr>
        <w:t>Dominant Formats:</w:t>
      </w:r>
    </w:p>
    <w:p>
      <w:pPr>
        <w:pStyle w:val="ListBullet"/>
      </w:pPr>
      <w:r>
        <w:t>Product specification sheets</w:t>
      </w:r>
    </w:p>
    <w:p>
      <w:pPr>
        <w:pStyle w:val="ListBullet"/>
      </w:pPr>
      <w:r>
        <w:t>Service category pages</w:t>
      </w:r>
    </w:p>
    <w:p>
      <w:pPr>
        <w:pStyle w:val="ListBullet"/>
      </w:pPr>
      <w:r>
        <w:t>Basic industry application descriptions</w:t>
      </w:r>
    </w:p>
    <w:p>
      <w:pPr>
        <w:pStyle w:val="ListBullet"/>
      </w:pPr>
      <w:r>
        <w:t>Equipment imagery and technical diagrams</w:t>
      </w:r>
    </w:p>
    <w:p/>
    <w:p>
      <w:r>
        <w:rPr>
          <w:b/>
        </w:rPr>
        <w:t>Limited Formats:</w:t>
      </w:r>
    </w:p>
    <w:p>
      <w:pPr>
        <w:pStyle w:val="ListBullet"/>
      </w:pPr>
      <w:r>
        <w:t>Educational blog content</w:t>
      </w:r>
    </w:p>
    <w:p>
      <w:pPr>
        <w:pStyle w:val="ListBullet"/>
      </w:pPr>
      <w:r>
        <w:t>Case studies and success stories</w:t>
      </w:r>
    </w:p>
    <w:p>
      <w:pPr>
        <w:pStyle w:val="ListBullet"/>
      </w:pPr>
      <w:r>
        <w:t>Video demonstrations</w:t>
      </w:r>
    </w:p>
    <w:p>
      <w:pPr>
        <w:pStyle w:val="ListBullet"/>
      </w:pPr>
      <w:r>
        <w:t>Interactive calculators or tools</w:t>
      </w:r>
    </w:p>
    <w:p/>
    <w:p>
      <w:pPr>
        <w:pStyle w:val="Heading2"/>
        <w:jc w:val="left"/>
      </w:pPr>
      <w:r>
        <w:t>Differentiation Opportunities</w:t>
      </w:r>
    </w:p>
    <w:p/>
    <w:p>
      <w:pPr>
        <w:pStyle w:val="Heading3"/>
        <w:jc w:val="left"/>
      </w:pPr>
      <w:r>
        <w:t>1. Biodiesel Expertise Positioning</w:t>
      </w:r>
    </w:p>
    <w:p>
      <w:r>
        <w:rPr>
          <w:b/>
        </w:rPr>
        <w:t>Opportunity:</w:t>
      </w:r>
      <w:r>
        <w:t xml:space="preserve"> Position as Australia's leading biodiesel power solutions specialist</w:t>
      </w:r>
    </w:p>
    <w:p>
      <w:r>
        <w:rPr>
          <w:b/>
        </w:rPr>
        <w:t>Content Strategy:</w:t>
      </w:r>
    </w:p>
    <w:p>
      <w:pPr>
        <w:pStyle w:val="ListBullet"/>
      </w:pPr>
      <w:r>
        <w:t>Environmental impact quantification</w:t>
      </w:r>
    </w:p>
    <w:p>
      <w:pPr>
        <w:pStyle w:val="ListBullet"/>
      </w:pPr>
      <w:r>
        <w:t>Cost comparison analysis (biodiesel vs. traditional diesel)</w:t>
      </w:r>
    </w:p>
    <w:p>
      <w:pPr>
        <w:pStyle w:val="ListBullet"/>
      </w:pPr>
      <w:r>
        <w:t>Sustainability case studies</w:t>
      </w:r>
    </w:p>
    <w:p>
      <w:pPr>
        <w:pStyle w:val="ListBullet"/>
      </w:pPr>
      <w:r>
        <w:t>Carbon footprint reduction calculators</w:t>
      </w:r>
    </w:p>
    <w:p/>
    <w:p>
      <w:pPr>
        <w:pStyle w:val="Heading3"/>
        <w:jc w:val="left"/>
      </w:pPr>
      <w:r>
        <w:t>2. Integrated Service Solutions</w:t>
      </w:r>
    </w:p>
    <w:p>
      <w:r>
        <w:rPr>
          <w:b/>
        </w:rPr>
        <w:t>Opportunity:</w:t>
      </w:r>
      <w:r>
        <w:t xml:space="preserve"> Four-pillar integration storytelling</w:t>
      </w:r>
    </w:p>
    <w:p>
      <w:r>
        <w:rPr>
          <w:b/>
        </w:rPr>
        <w:t>Content Strategy:</w:t>
      </w:r>
    </w:p>
    <w:p>
      <w:pPr>
        <w:pStyle w:val="ListBullet"/>
      </w:pPr>
      <w:r>
        <w:t>Complete project solution case studies</w:t>
      </w:r>
    </w:p>
    <w:p>
      <w:pPr>
        <w:pStyle w:val="ListBullet"/>
      </w:pPr>
      <w:r>
        <w:t>Cross-service synergy benefits</w:t>
      </w:r>
    </w:p>
    <w:p>
      <w:pPr>
        <w:pStyle w:val="ListBullet"/>
      </w:pPr>
      <w:r>
        <w:t>Single-supplier advantage messaging</w:t>
      </w:r>
    </w:p>
    <w:p>
      <w:pPr>
        <w:pStyle w:val="ListBullet"/>
      </w:pPr>
      <w:r>
        <w:t>Project lifecycle content (planning to decommissioning)</w:t>
      </w:r>
    </w:p>
    <w:p/>
    <w:p>
      <w:pPr>
        <w:pStyle w:val="Heading3"/>
        <w:jc w:val="left"/>
      </w:pPr>
      <w:r>
        <w:t>3. Educational Content Leadership</w:t>
      </w:r>
    </w:p>
    <w:p>
      <w:r>
        <w:rPr>
          <w:b/>
        </w:rPr>
        <w:t>Opportunity:</w:t>
      </w:r>
      <w:r>
        <w:t xml:space="preserve"> Become the go-to resource for power solutions education</w:t>
      </w:r>
    </w:p>
    <w:p>
      <w:r>
        <w:rPr>
          <w:b/>
        </w:rPr>
        <w:t>Content Strategy:</w:t>
      </w:r>
    </w:p>
    <w:p>
      <w:pPr>
        <w:pStyle w:val="ListBullet"/>
      </w:pPr>
      <w:r>
        <w:t>"Power Solutions Guide" content series</w:t>
      </w:r>
    </w:p>
    <w:p>
      <w:pPr>
        <w:pStyle w:val="ListBullet"/>
      </w:pPr>
      <w:r>
        <w:t>"How-to" guides for equipment selection</w:t>
      </w:r>
    </w:p>
    <w:p>
      <w:pPr>
        <w:pStyle w:val="ListBullet"/>
      </w:pPr>
      <w:r>
        <w:t>Industry best practices documentation</w:t>
      </w:r>
    </w:p>
    <w:p>
      <w:pPr>
        <w:pStyle w:val="ListBullet"/>
      </w:pPr>
      <w:r>
        <w:t>Technical comparison tools</w:t>
      </w:r>
    </w:p>
    <w:p/>
    <w:p>
      <w:pPr>
        <w:pStyle w:val="Heading3"/>
        <w:jc w:val="left"/>
      </w:pPr>
      <w:r>
        <w:t>4. Australian-First Positioning</w:t>
      </w:r>
    </w:p>
    <w:p>
      <w:r>
        <w:rPr>
          <w:b/>
        </w:rPr>
        <w:t>Opportunity:</w:t>
      </w:r>
      <w:r>
        <w:t xml:space="preserve"> Emphasise Australian expertise and conditions focus</w:t>
      </w:r>
    </w:p>
    <w:p>
      <w:r>
        <w:rPr>
          <w:b/>
        </w:rPr>
        <w:t>Content Strategy:</w:t>
      </w:r>
    </w:p>
    <w:p>
      <w:pPr>
        <w:pStyle w:val="ListBullet"/>
      </w:pPr>
      <w:r>
        <w:t>Australian climate and conditions specialisation</w:t>
      </w:r>
    </w:p>
    <w:p>
      <w:pPr>
        <w:pStyle w:val="ListBullet"/>
      </w:pPr>
      <w:r>
        <w:t>Local regulatory compliance expertise</w:t>
      </w:r>
    </w:p>
    <w:p>
      <w:pPr>
        <w:pStyle w:val="ListBullet"/>
      </w:pPr>
      <w:r>
        <w:t>Australian business success stories</w:t>
      </w:r>
    </w:p>
    <w:p>
      <w:pPr>
        <w:pStyle w:val="ListBullet"/>
      </w:pPr>
      <w:r>
        <w:t>Regional service coverage advantages</w:t>
      </w:r>
    </w:p>
    <w:p/>
    <w:p>
      <w:pPr>
        <w:pStyle w:val="Heading2"/>
        <w:jc w:val="left"/>
      </w:pPr>
      <w:r>
        <w:t>Competitive Content Quality Assessment</w:t>
      </w:r>
    </w:p>
    <w:p/>
    <w:p>
      <w:pPr>
        <w:pStyle w:val="Heading3"/>
        <w:jc w:val="left"/>
      </w:pPr>
      <w:r>
        <w:t>Content Depth Analysis</w:t>
      </w:r>
    </w:p>
    <w:p>
      <w:r>
        <w:rPr>
          <w:b/>
        </w:rPr>
        <w:t>High-Quality Content Examples:</w:t>
      </w:r>
    </w:p>
    <w:p>
      <w:pPr>
        <w:pStyle w:val="ListBullet"/>
      </w:pPr>
      <w:r>
        <w:t>Aggreko: Comprehensive industry sector pages with specific applications</w:t>
      </w:r>
    </w:p>
    <w:p>
      <w:pPr>
        <w:pStyle w:val="ListBullet"/>
      </w:pPr>
      <w:r>
        <w:t>Generator Power: Detailed technical specifications with range clarity</w:t>
      </w:r>
    </w:p>
    <w:p>
      <w:pPr>
        <w:pStyle w:val="ListBullet"/>
      </w:pPr>
      <w:r>
        <w:t>Fuelfix: Fuel management system integration explanation</w:t>
      </w:r>
    </w:p>
    <w:p/>
    <w:p>
      <w:r>
        <w:rPr>
          <w:b/>
        </w:rPr>
        <w:t>Content Quality Gaps:</w:t>
      </w:r>
    </w:p>
    <w:p>
      <w:pPr>
        <w:pStyle w:val="ListBullet"/>
      </w:pPr>
      <w:r>
        <w:t>Limited educational content across all competitors</w:t>
      </w:r>
    </w:p>
    <w:p>
      <w:pPr>
        <w:pStyle w:val="ListBullet"/>
      </w:pPr>
      <w:r>
        <w:t>Basic product descriptions without value proposition context</w:t>
      </w:r>
    </w:p>
    <w:p>
      <w:pPr>
        <w:pStyle w:val="ListBullet"/>
      </w:pPr>
      <w:r>
        <w:t>Minimal customer journey consideration</w:t>
      </w:r>
    </w:p>
    <w:p>
      <w:pPr>
        <w:pStyle w:val="ListBullet"/>
      </w:pPr>
      <w:r>
        <w:t>Limited storytelling and case study content</w:t>
      </w:r>
    </w:p>
    <w:p/>
    <w:p>
      <w:pPr>
        <w:pStyle w:val="Heading3"/>
        <w:jc w:val="left"/>
      </w:pPr>
      <w:r>
        <w:t>SEO Content Optimisation</w:t>
      </w:r>
    </w:p>
    <w:p>
      <w:r>
        <w:rPr>
          <w:b/>
        </w:rPr>
        <w:t>Strong SEO Practices Observed:</w:t>
      </w:r>
    </w:p>
    <w:p>
      <w:pPr>
        <w:pStyle w:val="ListBullet"/>
      </w:pPr>
      <w:r>
        <w:t>Technical specification inclusion for search visibility</w:t>
      </w:r>
    </w:p>
    <w:p>
      <w:pPr>
        <w:pStyle w:val="ListBullet"/>
      </w:pPr>
      <w:r>
        <w:t>Industry application keyword integration</w:t>
      </w:r>
    </w:p>
    <w:p>
      <w:pPr>
        <w:pStyle w:val="ListBullet"/>
      </w:pPr>
      <w:r>
        <w:t>Geographic location targeting</w:t>
      </w:r>
    </w:p>
    <w:p>
      <w:pPr>
        <w:pStyle w:val="ListBullet"/>
      </w:pPr>
      <w:r>
        <w:t>Equipment type categorisation</w:t>
      </w:r>
    </w:p>
    <w:p/>
    <w:p>
      <w:r>
        <w:rPr>
          <w:b/>
        </w:rPr>
        <w:t>SEO Improvement Opportunities:</w:t>
      </w:r>
    </w:p>
    <w:p>
      <w:pPr>
        <w:pStyle w:val="ListBullet"/>
      </w:pPr>
      <w:r>
        <w:t>Long-tail keyword targeting ("biodiesel generator hire Melbourne")</w:t>
      </w:r>
    </w:p>
    <w:p>
      <w:pPr>
        <w:pStyle w:val="ListBullet"/>
      </w:pPr>
      <w:r>
        <w:t>How-to and educational content for search intent</w:t>
      </w:r>
    </w:p>
    <w:p>
      <w:pPr>
        <w:pStyle w:val="ListBullet"/>
      </w:pPr>
      <w:r>
        <w:t>Local SEO optimisation for regional markets</w:t>
      </w:r>
    </w:p>
    <w:p>
      <w:pPr>
        <w:pStyle w:val="ListBullet"/>
      </w:pPr>
      <w:r>
        <w:t>Voice search optimisation for mobile users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1. Content Leadership Strategy</w:t>
      </w:r>
    </w:p>
    <w:p>
      <w:r>
        <w:rPr>
          <w:b/>
        </w:rPr>
        <w:t>Objective:</w:t>
      </w:r>
      <w:r>
        <w:t xml:space="preserve"> Establish Green Power Solutions as the thought leader in sustainable power solutions</w:t>
      </w:r>
    </w:p>
    <w:p/>
    <w:p>
      <w:r>
        <w:rPr>
          <w:b/>
        </w:rPr>
        <w:t>Tactics:</w:t>
      </w:r>
    </w:p>
    <w:p>
      <w:pPr>
        <w:pStyle w:val="ListBullet"/>
      </w:pPr>
      <w:r>
        <w:t>Develop comprehensive "Sustainable Power Solutions Guide"</w:t>
      </w:r>
    </w:p>
    <w:p>
      <w:pPr>
        <w:pStyle w:val="ListBullet"/>
      </w:pPr>
      <w:r>
        <w:t>Create biodiesel expertise content hub</w:t>
      </w:r>
    </w:p>
    <w:p>
      <w:pPr>
        <w:pStyle w:val="ListBullet"/>
      </w:pPr>
      <w:r>
        <w:t>Publish regular industry insights and trends</w:t>
      </w:r>
    </w:p>
    <w:p>
      <w:pPr>
        <w:pStyle w:val="ListBullet"/>
      </w:pPr>
      <w:r>
        <w:t>Develop educational video content series</w:t>
      </w:r>
    </w:p>
    <w:p/>
    <w:p>
      <w:pPr>
        <w:pStyle w:val="Heading3"/>
        <w:jc w:val="left"/>
      </w:pPr>
      <w:r>
        <w:t>2. Integrated Solution Positioning</w:t>
      </w:r>
    </w:p>
    <w:p>
      <w:r>
        <w:rPr>
          <w:b/>
        </w:rPr>
        <w:t>Objective:</w:t>
      </w:r>
      <w:r>
        <w:t xml:space="preserve"> Differentiate through four-pillar service integration</w:t>
      </w:r>
    </w:p>
    <w:p/>
    <w:p>
      <w:r>
        <w:rPr>
          <w:b/>
        </w:rPr>
        <w:t>Tactics:</w:t>
      </w:r>
    </w:p>
    <w:p>
      <w:pPr>
        <w:pStyle w:val="ListBullet"/>
      </w:pPr>
      <w:r>
        <w:t>Create "Complete Project Solutions" content theme</w:t>
      </w:r>
    </w:p>
    <w:p>
      <w:pPr>
        <w:pStyle w:val="ListBullet"/>
      </w:pPr>
      <w:r>
        <w:t>Develop integrated service case studies</w:t>
      </w:r>
    </w:p>
    <w:p>
      <w:pPr>
        <w:pStyle w:val="ListBullet"/>
      </w:pPr>
      <w:r>
        <w:t>Build project planning tools and calculators</w:t>
      </w:r>
    </w:p>
    <w:p>
      <w:pPr>
        <w:pStyle w:val="ListBullet"/>
      </w:pPr>
      <w:r>
        <w:t>Emphasise single-supplier convenience benefits</w:t>
      </w:r>
    </w:p>
    <w:p/>
    <w:p>
      <w:pPr>
        <w:pStyle w:val="Heading3"/>
        <w:jc w:val="left"/>
      </w:pPr>
      <w:r>
        <w:t>3. Technical Authority Development</w:t>
      </w:r>
    </w:p>
    <w:p>
      <w:r>
        <w:rPr>
          <w:b/>
        </w:rPr>
        <w:t>Objective:</w:t>
      </w:r>
      <w:r>
        <w:t xml:space="preserve"> Build credibility through technical expertise demonstration</w:t>
      </w:r>
    </w:p>
    <w:p/>
    <w:p>
      <w:r>
        <w:rPr>
          <w:b/>
        </w:rPr>
        <w:t>Tactics:</w:t>
      </w:r>
    </w:p>
    <w:p>
      <w:pPr>
        <w:pStyle w:val="ListBullet"/>
      </w:pPr>
      <w:r>
        <w:t>Publish technical comparison guides</w:t>
      </w:r>
    </w:p>
    <w:p>
      <w:pPr>
        <w:pStyle w:val="ListBullet"/>
      </w:pPr>
      <w:r>
        <w:t>Create equipment selection tools</w:t>
      </w:r>
    </w:p>
    <w:p>
      <w:pPr>
        <w:pStyle w:val="ListBullet"/>
      </w:pPr>
      <w:r>
        <w:t>Develop troubleshooting and maintenance content</w:t>
      </w:r>
    </w:p>
    <w:p>
      <w:pPr>
        <w:pStyle w:val="ListBullet"/>
      </w:pPr>
      <w:r>
        <w:t>Build technical specification database</w:t>
      </w:r>
    </w:p>
    <w:p/>
    <w:p>
      <w:pPr>
        <w:pStyle w:val="Heading3"/>
        <w:jc w:val="left"/>
      </w:pPr>
      <w:r>
        <w:t>4. Sustainable Differentiation</w:t>
      </w:r>
    </w:p>
    <w:p>
      <w:r>
        <w:rPr>
          <w:b/>
        </w:rPr>
        <w:t>Objective:</w:t>
      </w:r>
      <w:r>
        <w:t xml:space="preserve"> Own the sustainability conversation in power solutions</w:t>
      </w:r>
    </w:p>
    <w:p/>
    <w:p>
      <w:r>
        <w:rPr>
          <w:b/>
        </w:rPr>
        <w:t>Tactics:</w:t>
      </w:r>
    </w:p>
    <w:p>
      <w:pPr>
        <w:pStyle w:val="ListBullet"/>
      </w:pPr>
      <w:r>
        <w:t>Quantify environmental benefits of biodiesel solutions</w:t>
      </w:r>
    </w:p>
    <w:p>
      <w:pPr>
        <w:pStyle w:val="ListBullet"/>
      </w:pPr>
      <w:r>
        <w:t>Develop carbon footprint calculators</w:t>
      </w:r>
    </w:p>
    <w:p>
      <w:pPr>
        <w:pStyle w:val="ListBullet"/>
      </w:pPr>
      <w:r>
        <w:t>Create sustainability reporting templates for clients</w:t>
      </w:r>
    </w:p>
    <w:p>
      <w:pPr>
        <w:pStyle w:val="ListBullet"/>
      </w:pPr>
      <w:r>
        <w:t>Build partnerships with environmental organisations</w:t>
      </w:r>
    </w:p>
    <w:p/>
    <w:p>
      <w:pPr>
        <w:pStyle w:val="Heading3"/>
        <w:jc w:val="left"/>
      </w:pPr>
      <w:r>
        <w:t>5. Customer Education Focus</w:t>
      </w:r>
    </w:p>
    <w:p>
      <w:r>
        <w:rPr>
          <w:b/>
        </w:rPr>
        <w:t>Objective:</w:t>
      </w:r>
      <w:r>
        <w:t xml:space="preserve"> Address the education gap in the market</w:t>
      </w:r>
    </w:p>
    <w:p/>
    <w:p>
      <w:r>
        <w:rPr>
          <w:b/>
        </w:rPr>
        <w:t>Tactics:</w:t>
      </w:r>
    </w:p>
    <w:p>
      <w:pPr>
        <w:pStyle w:val="ListBullet"/>
      </w:pPr>
      <w:r>
        <w:t>Develop beginner guides for power solution selection</w:t>
      </w:r>
    </w:p>
    <w:p>
      <w:pPr>
        <w:pStyle w:val="ListBullet"/>
      </w:pPr>
      <w:r>
        <w:t>Create industry-specific solution guides</w:t>
      </w:r>
    </w:p>
    <w:p>
      <w:pPr>
        <w:pStyle w:val="ListBullet"/>
      </w:pPr>
      <w:r>
        <w:t>Build interactive tools and calculators</w:t>
      </w:r>
    </w:p>
    <w:p>
      <w:pPr>
        <w:pStyle w:val="ListBullet"/>
      </w:pPr>
      <w:r>
        <w:t>Establish regular webinar or training program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and Methodology</w:t>
      </w:r>
    </w:p>
    <w:p/>
    <w:p>
      <w:r>
        <w:rPr>
          <w:b/>
        </w:rPr>
        <w:t>Primary Sources:</w:t>
      </w:r>
    </w:p>
    <w:p>
      <w:pPr>
        <w:pStyle w:val="ListBullet"/>
      </w:pPr>
      <w:r>
        <w:t>Company websites and content analysis (Coates, Kennards Hire, Aggreko, Generator Power, Fuelfix)</w:t>
      </w:r>
    </w:p>
    <w:p>
      <w:pPr>
        <w:pStyle w:val="ListBullet"/>
      </w:pPr>
      <w:r>
        <w:t>Service offering comparisons across four pillar areas</w:t>
      </w:r>
    </w:p>
    <w:p>
      <w:pPr>
        <w:pStyle w:val="ListBullet"/>
      </w:pPr>
      <w:r>
        <w:t>Content theme identification through systematic review</w:t>
      </w:r>
    </w:p>
    <w:p/>
    <w:p>
      <w:r>
        <w:rPr>
          <w:b/>
        </w:rPr>
        <w:t>Analysis Methodology:</w:t>
      </w:r>
    </w:p>
    <w:p>
      <w:pPr>
        <w:pStyle w:val="ListBullet"/>
      </w:pPr>
      <w:r>
        <w:t>Competitive content audit across service categories</w:t>
      </w:r>
    </w:p>
    <w:p>
      <w:pPr>
        <w:pStyle w:val="ListBullet"/>
      </w:pPr>
      <w:r>
        <w:t>Message positioning analysis</w:t>
      </w:r>
    </w:p>
    <w:p>
      <w:pPr>
        <w:pStyle w:val="ListBullet"/>
      </w:pPr>
      <w:r>
        <w:t>Content gap identification through comparison matrix</w:t>
      </w:r>
    </w:p>
    <w:p>
      <w:pPr>
        <w:pStyle w:val="ListBullet"/>
      </w:pPr>
      <w:r>
        <w:t>Market opportunity assessment based on underexplored themes</w:t>
      </w:r>
    </w:p>
    <w:p/>
    <w:p>
      <w:r>
        <w:rPr>
          <w:b/>
        </w:rPr>
        <w:t>Limitations:</w:t>
      </w:r>
    </w:p>
    <w:p>
      <w:pPr>
        <w:pStyle w:val="ListBullet"/>
      </w:pPr>
      <w:r>
        <w:t>Analysis based on publicly available web content only</w:t>
      </w:r>
    </w:p>
    <w:p>
      <w:pPr>
        <w:pStyle w:val="ListBullet"/>
      </w:pPr>
      <w:r>
        <w:t>No access to competitor internal strategy documents</w:t>
      </w:r>
    </w:p>
    <w:p>
      <w:pPr>
        <w:pStyle w:val="ListBullet"/>
      </w:pPr>
      <w:r>
        <w:t>Limited visibility into competitor content performance metrics</w:t>
      </w:r>
    </w:p>
    <w:p>
      <w:pPr>
        <w:pStyle w:val="ListBullet"/>
      </w:pPr>
      <w:r>
        <w:t>Analysis conducted at single point in time (September 2025)</w:t>
      </w:r>
    </w:p>
    <w:p/>
    <w:p>
      <w:r>
        <w:rPr>
          <w:b/>
        </w:rPr>
        <w:t>Source Citations:</w:t>
      </w:r>
    </w:p>
    <w:p>
      <w:pPr>
        <w:pStyle w:val="ListBullet"/>
      </w:pPr>
      <w:r>
        <w:rPr>
          <w:b/>
        </w:rPr>
        <w:t>Coates Equipment:</w:t>
      </w:r>
      <w:r>
        <w:t xml:space="preserve"> [www.coates.com.au](https://www.coates.com.au) - September 2025</w:t>
      </w:r>
    </w:p>
    <w:p>
      <w:pPr>
        <w:pStyle w:val="ListBullet"/>
      </w:pPr>
      <w:r>
        <w:rPr>
          <w:b/>
        </w:rPr>
        <w:t>Aggreko Australia:</w:t>
      </w:r>
      <w:r>
        <w:t xml:space="preserve"> [www.aggreko.com/en-au](https://www.aggreko.com/en-au) - September 2025</w:t>
      </w:r>
    </w:p>
    <w:p>
      <w:pPr>
        <w:pStyle w:val="ListBullet"/>
      </w:pPr>
      <w:r>
        <w:rPr>
          <w:b/>
        </w:rPr>
        <w:t>Generator Power:</w:t>
      </w:r>
      <w:r>
        <w:t xml:space="preserve"> [generatorpower.com.au](https://generatorpower.com.au) - September 2025</w:t>
      </w:r>
    </w:p>
    <w:p>
      <w:pPr>
        <w:pStyle w:val="ListBullet"/>
      </w:pPr>
      <w:r>
        <w:rPr>
          <w:b/>
        </w:rPr>
        <w:t>Fuelfix:</w:t>
      </w:r>
      <w:r>
        <w:t xml:space="preserve"> [www.fuelfix.com.au](https://www.fuelfix.com.au) - September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