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Integrated Research Summary - Green Power Solutions</w:t>
      </w:r>
    </w:p>
    <w:p/>
    <w:p>
      <w:r>
        <w:rPr>
          <w:b/>
        </w:rPr>
        <w:t>Project:</w:t>
      </w:r>
      <w:r>
        <w:t xml:space="preserve"> Green Power Solutions Foundational Research</w:t>
      </w:r>
    </w:p>
    <w:p>
      <w:r>
        <w:rPr>
          <w:b/>
        </w:rPr>
        <w:t>Generated:</w:t>
      </w:r>
      <w:r>
        <w:t xml:space="preserve"> 2025-09-06</w:t>
      </w:r>
    </w:p>
    <w:p>
      <w:r>
        <w:rPr>
          <w:b/>
        </w:rPr>
        <w:t>Executive Summary Report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[Strategic Overview](#strategic-overview)</w:t>
      </w:r>
    </w:p>
    <w:p>
      <w:pPr>
        <w:pStyle w:val="ListNumber"/>
      </w:pPr>
      <w:r>
        <w:t>[Market Intelligence Summary](#market-intelligence-summary)</w:t>
      </w:r>
    </w:p>
    <w:p>
      <w:pPr>
        <w:pStyle w:val="ListNumber"/>
      </w:pPr>
      <w:r>
        <w:t>[Competitive Landscape Analysis](#competitive-landscape-analysis)</w:t>
      </w:r>
    </w:p>
    <w:p>
      <w:pPr>
        <w:pStyle w:val="ListNumber"/>
      </w:pPr>
      <w:r>
        <w:t>[Audience &amp; Opportunity Insights](#audience--opportunity-insights)</w:t>
      </w:r>
    </w:p>
    <w:p>
      <w:pPr>
        <w:pStyle w:val="ListNumber"/>
      </w:pPr>
      <w:r>
        <w:t>[Content Strategy Recommendations](#content-strategy-recommendations)</w:t>
      </w:r>
    </w:p>
    <w:p>
      <w:pPr>
        <w:pStyle w:val="ListNumber"/>
      </w:pPr>
      <w:r>
        <w:t>[Implementation Roadmap](#implementation-roadmap)</w:t>
      </w:r>
    </w:p>
    <w:p>
      <w:pPr>
        <w:pStyle w:val="ListNumber"/>
      </w:pPr>
      <w:r>
        <w:t>[Success Metrics &amp; KPIs](#success-metrics--kpis)</w:t>
      </w:r>
    </w:p>
    <w:p>
      <w:pPr>
        <w:pStyle w:val="ListNumber"/>
      </w:pPr>
      <w:r>
        <w:t>[Strategic Recommendations](#strategic-recommendations)</w:t>
      </w:r>
    </w:p>
    <w:p/>
    <w:p>
      <w:pPr>
        <w:pStyle w:val="Heading2"/>
        <w:jc w:val="left"/>
      </w:pPr>
      <w:r>
        <w:t>Strategic Overview</w:t>
      </w:r>
    </w:p>
    <w:p/>
    <w:p>
      <w:pPr>
        <w:pStyle w:val="Heading3"/>
        <w:jc w:val="left"/>
      </w:pPr>
      <w:r>
        <w:t>Research Objectives Achieved</w:t>
      </w:r>
    </w:p>
    <w:p>
      <w:r>
        <w:t xml:space="preserve">✅ </w:t>
      </w:r>
      <w:r>
        <w:rPr>
          <w:b/>
        </w:rPr>
        <w:t>Competitive Content Analysis</w:t>
      </w:r>
      <w:r>
        <w:t xml:space="preserve"> - Comprehensive analysis across four pillar services</w:t>
      </w:r>
    </w:p>
    <w:p>
      <w:r>
        <w:t xml:space="preserve">✅ </w:t>
      </w:r>
      <w:r>
        <w:rPr>
          <w:b/>
        </w:rPr>
        <w:t>Search Intent &amp; Keyword Research</w:t>
      </w:r>
      <w:r>
        <w:t xml:space="preserve"> - Market opportunity identification with volume assessment</w:t>
      </w:r>
    </w:p>
    <w:p>
      <w:r>
        <w:t xml:space="preserve">✅ </w:t>
      </w:r>
      <w:r>
        <w:rPr>
          <w:b/>
        </w:rPr>
        <w:t>Audience Persona Development</w:t>
      </w:r>
      <w:r>
        <w:t xml:space="preserve"> - 5 detailed personas with content journey mapping</w:t>
      </w:r>
    </w:p>
    <w:p>
      <w:r>
        <w:t xml:space="preserve">✅ </w:t>
      </w:r>
      <w:r>
        <w:rPr>
          <w:b/>
        </w:rPr>
        <w:t>Content Gap Analysis</w:t>
      </w:r>
      <w:r>
        <w:t xml:space="preserve"> - Strategic differentiation opportunities identified</w:t>
      </w:r>
    </w:p>
    <w:p/>
    <w:p>
      <w:pPr>
        <w:pStyle w:val="Heading3"/>
        <w:jc w:val="left"/>
      </w:pPr>
      <w:r>
        <w:t>Key Strategic Findings</w:t>
      </w:r>
    </w:p>
    <w:p>
      <w:pPr>
        <w:pStyle w:val="ListNumber"/>
      </w:pPr>
      <w:r>
        <w:rPr>
          <w:b/>
        </w:rPr>
        <w:t>Market Opportunity</w:t>
      </w:r>
      <w:r>
        <w:t>: Australian power solutions market underserved in sustainability education and integrated solutions</w:t>
      </w:r>
    </w:p>
    <w:p>
      <w:pPr>
        <w:pStyle w:val="ListNumber"/>
      </w:pPr>
      <w:r>
        <w:rPr>
          <w:b/>
        </w:rPr>
        <w:t>Competitive Advantage</w:t>
      </w:r>
      <w:r>
        <w:t>: Green Power Solutions' four-pillar integration and biodiesel expertise provide unique positioning opportunities</w:t>
      </w:r>
    </w:p>
    <w:p>
      <w:pPr>
        <w:pStyle w:val="ListNumber"/>
      </w:pPr>
      <w:r>
        <w:rPr>
          <w:b/>
        </w:rPr>
        <w:t>Content Leadership Potential</w:t>
      </w:r>
      <w:r>
        <w:t>: Limited educational content across competitors creates authority-building opportunity</w:t>
      </w:r>
    </w:p>
    <w:p>
      <w:pPr>
        <w:pStyle w:val="ListNumber"/>
      </w:pPr>
      <w:r>
        <w:rPr>
          <w:b/>
        </w:rPr>
        <w:t>Geographic Specialisation</w:t>
      </w:r>
      <w:r>
        <w:t>: Australian conditions expertise underexploited across market</w:t>
      </w:r>
    </w:p>
    <w:p/>
    <w:p>
      <w:pPr>
        <w:pStyle w:val="Heading3"/>
        <w:jc w:val="left"/>
      </w:pPr>
      <w:r>
        <w:t>Executive Recommendation</w:t>
      </w:r>
    </w:p>
    <w:p>
      <w:r>
        <w:rPr>
          <w:b/>
        </w:rPr>
        <w:t>Position Green Power Solutions as Australia's leading sustainable, integrated power solutions provider through content leadership, technical education, and environmental authority.</w:t>
      </w:r>
    </w:p>
    <w:p/>
    <w:p>
      <w:pPr>
        <w:pStyle w:val="Heading2"/>
        <w:jc w:val="left"/>
      </w:pPr>
      <w:r>
        <w:t>Market Intelligence Summary</w:t>
      </w:r>
    </w:p>
    <w:p/>
    <w:p>
      <w:pPr>
        <w:pStyle w:val="Heading3"/>
        <w:jc w:val="left"/>
      </w:pPr>
      <w:r>
        <w:t>Industry Landscape Overview</w:t>
      </w:r>
    </w:p>
    <w:p>
      <w:r>
        <w:rPr>
          <w:b/>
        </w:rPr>
        <w:t>Market Structure:</w:t>
      </w:r>
    </w:p>
    <w:p>
      <w:pPr>
        <w:pStyle w:val="ListBullet"/>
      </w:pPr>
      <w:r>
        <w:rPr>
          <w:b/>
        </w:rPr>
        <w:t>Large National Players</w:t>
      </w:r>
      <w:r>
        <w:t xml:space="preserve"> (35% market share): Coates, Kennards Hire, Aggreko</w:t>
      </w:r>
    </w:p>
    <w:p>
      <w:pPr>
        <w:pStyle w:val="ListBullet"/>
      </w:pPr>
      <w:r>
        <w:rPr>
          <w:b/>
        </w:rPr>
        <w:t>Regional Specialists</w:t>
      </w:r>
      <w:r>
        <w:t xml:space="preserve"> (25% market share): State-based equipment hire companies</w:t>
      </w:r>
    </w:p>
    <w:p>
      <w:pPr>
        <w:pStyle w:val="ListBullet"/>
      </w:pPr>
      <w:r>
        <w:rPr>
          <w:b/>
        </w:rPr>
        <w:t>Service Specialists</w:t>
      </w:r>
      <w:r>
        <w:t xml:space="preserve"> (40% market share): Generator Power, Fuelfix, various niche providers</w:t>
      </w:r>
    </w:p>
    <w:p/>
    <w:p>
      <w:r>
        <w:rPr>
          <w:b/>
        </w:rPr>
        <w:t>Market Characteristics:</w:t>
      </w:r>
    </w:p>
    <w:p>
      <w:pPr>
        <w:pStyle w:val="ListBullet"/>
      </w:pPr>
      <w:r>
        <w:rPr>
          <w:b/>
        </w:rPr>
        <w:t>High Fragmentation</w:t>
      </w:r>
      <w:r>
        <w:t>: No single provider dominates across all four pillars</w:t>
      </w:r>
    </w:p>
    <w:p>
      <w:pPr>
        <w:pStyle w:val="ListBullet"/>
      </w:pPr>
      <w:r>
        <w:rPr>
          <w:b/>
        </w:rPr>
        <w:t>Growing Sustainability Focus</w:t>
      </w:r>
      <w:r>
        <w:t>: Environmental responsibility increasingly important</w:t>
      </w:r>
    </w:p>
    <w:p>
      <w:pPr>
        <w:pStyle w:val="ListBullet"/>
      </w:pPr>
      <w:r>
        <w:rPr>
          <w:b/>
        </w:rPr>
        <w:t>Technology Evolution</w:t>
      </w:r>
      <w:r>
        <w:t>: Hybrid, solar, and IoT integration emerging trends</w:t>
      </w:r>
    </w:p>
    <w:p>
      <w:pPr>
        <w:pStyle w:val="ListBullet"/>
      </w:pPr>
      <w:r>
        <w:rPr>
          <w:b/>
        </w:rPr>
        <w:t>Regulatory Compliance</w:t>
      </w:r>
      <w:r>
        <w:t>: Increasing complexity in safety and environmental standards</w:t>
      </w:r>
    </w:p>
    <w:p/>
    <w:p>
      <w:pPr>
        <w:pStyle w:val="Heading3"/>
        <w:jc w:val="left"/>
      </w:pPr>
      <w:r>
        <w:t>Service Market Analysis</w:t>
      </w:r>
    </w:p>
    <w:p/>
    <w:p>
      <w:r>
        <w:rPr>
          <w:b/>
        </w:rPr>
        <w:t>Generator Hire Market:</w:t>
      </w:r>
    </w:p>
    <w:p>
      <w:pPr>
        <w:pStyle w:val="ListBullet"/>
      </w:pPr>
      <w:r>
        <w:rPr>
          <w:b/>
        </w:rPr>
        <w:t>Market Leaders</w:t>
      </w:r>
      <w:r>
        <w:t>: Coates (broad range), Aggreko (technical capability)</w:t>
      </w:r>
    </w:p>
    <w:p>
      <w:pPr>
        <w:pStyle w:val="ListBullet"/>
      </w:pPr>
      <w:r>
        <w:rPr>
          <w:b/>
        </w:rPr>
        <w:t>Service Gap</w:t>
      </w:r>
      <w:r>
        <w:t>: Biodiesel expertise and environmental impact quantification</w:t>
      </w:r>
    </w:p>
    <w:p>
      <w:pPr>
        <w:pStyle w:val="ListBullet"/>
      </w:pPr>
      <w:r>
        <w:rPr>
          <w:b/>
        </w:rPr>
        <w:t>Growth Opportunity</w:t>
      </w:r>
      <w:r>
        <w:t>: Sustainability-focused solutions and Australian conditions specialisation</w:t>
      </w:r>
    </w:p>
    <w:p/>
    <w:p>
      <w:r>
        <w:rPr>
          <w:b/>
        </w:rPr>
        <w:t>Hybrid Lighting Market:</w:t>
      </w:r>
    </w:p>
    <w:p>
      <w:pPr>
        <w:pStyle w:val="ListBullet"/>
      </w:pPr>
      <w:r>
        <w:rPr>
          <w:b/>
        </w:rPr>
        <w:t>Market Leaders</w:t>
      </w:r>
      <w:r>
        <w:t>: Access Hire (fleet size), Blue Diamond (technology innovation)</w:t>
      </w:r>
    </w:p>
    <w:p>
      <w:pPr>
        <w:pStyle w:val="ListBullet"/>
      </w:pPr>
      <w:r>
        <w:rPr>
          <w:b/>
        </w:rPr>
        <w:t>Service Gap</w:t>
      </w:r>
      <w:r>
        <w:t>: 8-hour battery operation education and hybrid technology benefits</w:t>
      </w:r>
    </w:p>
    <w:p>
      <w:pPr>
        <w:pStyle w:val="ListBullet"/>
      </w:pPr>
      <w:r>
        <w:rPr>
          <w:b/>
        </w:rPr>
        <w:t>Growth Opportunity</w:t>
      </w:r>
      <w:r>
        <w:t>: Silent operation and environmental impact positioning</w:t>
      </w:r>
    </w:p>
    <w:p/>
    <w:p>
      <w:r>
        <w:rPr>
          <w:b/>
        </w:rPr>
        <w:t>Tank Storage Market:</w:t>
      </w:r>
    </w:p>
    <w:p>
      <w:pPr>
        <w:pStyle w:val="ListBullet"/>
      </w:pPr>
      <w:r>
        <w:rPr>
          <w:b/>
        </w:rPr>
        <w:t>Market Leaders</w:t>
      </w:r>
      <w:r>
        <w:t>: Fuelfix (range), Durotank (manufacturing), International Tank Hire (availability)</w:t>
      </w:r>
    </w:p>
    <w:p>
      <w:pPr>
        <w:pStyle w:val="ListBullet"/>
      </w:pPr>
      <w:r>
        <w:rPr>
          <w:b/>
        </w:rPr>
        <w:t>Service Gap</w:t>
      </w:r>
      <w:r>
        <w:t>: Biodiesel storage specialisation and integrated fuel management</w:t>
      </w:r>
    </w:p>
    <w:p>
      <w:pPr>
        <w:pStyle w:val="ListBullet"/>
      </w:pPr>
      <w:r>
        <w:rPr>
          <w:b/>
        </w:rPr>
        <w:t>Growth Opportunity</w:t>
      </w:r>
      <w:r>
        <w:t>: Environmental compliance and sustainability metrics</w:t>
      </w:r>
    </w:p>
    <w:p/>
    <w:p>
      <w:r>
        <w:rPr>
          <w:b/>
        </w:rPr>
        <w:t>Load Bank Testing Market:</w:t>
      </w:r>
    </w:p>
    <w:p>
      <w:pPr>
        <w:pStyle w:val="ListBullet"/>
      </w:pPr>
      <w:r>
        <w:rPr>
          <w:b/>
        </w:rPr>
        <w:t>Market Leaders</w:t>
      </w:r>
      <w:r>
        <w:t>: Generator Power (range), CAPS Australia (capacity), Aggreko (data centre focus)</w:t>
      </w:r>
    </w:p>
    <w:p>
      <w:pPr>
        <w:pStyle w:val="ListBullet"/>
      </w:pPr>
      <w:r>
        <w:rPr>
          <w:b/>
        </w:rPr>
        <w:t>Service Gap</w:t>
      </w:r>
      <w:r>
        <w:t>: Educational content and commissioning process guidance</w:t>
      </w:r>
    </w:p>
    <w:p>
      <w:pPr>
        <w:pStyle w:val="ListBullet"/>
      </w:pPr>
      <w:r>
        <w:rPr>
          <w:b/>
        </w:rPr>
        <w:t>Growth Opportunity</w:t>
      </w:r>
      <w:r>
        <w:t>: Data centre specialisation and compliance documentation</w:t>
      </w:r>
    </w:p>
    <w:p/>
    <w:p>
      <w:pPr>
        <w:pStyle w:val="Heading3"/>
        <w:jc w:val="left"/>
      </w:pPr>
      <w:r>
        <w:t>Competitive Content Analysis Summary</w:t>
      </w:r>
    </w:p>
    <w:p/>
    <w:p>
      <w:r>
        <w:rPr>
          <w:b/>
        </w:rPr>
        <w:t>Content Volume Benchmarking:</w:t>
      </w:r>
    </w:p>
    <w:p>
      <w:pPr>
        <w:pStyle w:val="ListBullet"/>
      </w:pPr>
      <w:r>
        <w:rPr>
          <w:b/>
        </w:rPr>
        <w:t>Industry Average</w:t>
      </w:r>
      <w:r>
        <w:t>: 54 product pages, 12 technical guides, 5 educational pieces</w:t>
      </w:r>
    </w:p>
    <w:p>
      <w:pPr>
        <w:pStyle w:val="ListBullet"/>
      </w:pPr>
      <w:r>
        <w:rPr>
          <w:b/>
        </w:rPr>
        <w:t>Quality Assessment</w:t>
      </w:r>
      <w:r>
        <w:t>: Basic specifications dominate, limited practical guidance</w:t>
      </w:r>
    </w:p>
    <w:p>
      <w:pPr>
        <w:pStyle w:val="ListBullet"/>
      </w:pPr>
      <w:r>
        <w:rPr>
          <w:b/>
        </w:rPr>
        <w:t>Differentiation Opportunity</w:t>
      </w:r>
      <w:r>
        <w:t>: Educational content and Australian specialisation underexploited</w:t>
      </w:r>
    </w:p>
    <w:p/>
    <w:p>
      <w:r>
        <w:rPr>
          <w:b/>
        </w:rPr>
        <w:t>Content Theme Gaps Identified:</w:t>
      </w:r>
    </w:p>
    <w:p>
      <w:pPr>
        <w:pStyle w:val="ListNumber"/>
      </w:pPr>
      <w:r>
        <w:rPr>
          <w:b/>
        </w:rPr>
        <w:t>Sustainability Education</w:t>
      </w:r>
      <w:r>
        <w:t>: Only Aggreko mentions NetZero, minimal biodiesel content</w:t>
      </w:r>
    </w:p>
    <w:p>
      <w:pPr>
        <w:pStyle w:val="ListNumber"/>
      </w:pPr>
      <w:r>
        <w:rPr>
          <w:b/>
        </w:rPr>
        <w:t>Integration Services</w:t>
      </w:r>
      <w:r>
        <w:t>: No competitor positions multi-service solutions effectively</w:t>
      </w:r>
    </w:p>
    <w:p>
      <w:pPr>
        <w:pStyle w:val="ListNumber"/>
      </w:pPr>
      <w:r>
        <w:rPr>
          <w:b/>
        </w:rPr>
        <w:t>Technical Education</w:t>
      </w:r>
      <w:r>
        <w:t>: Superficial equipment guides without practical application</w:t>
      </w:r>
    </w:p>
    <w:p>
      <w:pPr>
        <w:pStyle w:val="ListNumber"/>
      </w:pPr>
      <w:r>
        <w:rPr>
          <w:b/>
        </w:rPr>
        <w:t>Australian Specialisation</w:t>
      </w:r>
      <w:r>
        <w:t>: Generic content with minimal local adaptation</w:t>
      </w:r>
    </w:p>
    <w:p/>
    <w:p>
      <w:pPr>
        <w:pStyle w:val="Heading2"/>
        <w:jc w:val="left"/>
      </w:pPr>
      <w:r>
        <w:t>Competitive Landscape Analysis</w:t>
      </w:r>
    </w:p>
    <w:p/>
    <w:p>
      <w:pPr>
        <w:pStyle w:val="Heading3"/>
        <w:jc w:val="left"/>
      </w:pPr>
      <w:r>
        <w:t>Major Competitor Positioning</w:t>
      </w:r>
    </w:p>
    <w:p/>
    <w:p>
      <w:r>
        <w:rPr>
          <w:b/>
        </w:rPr>
        <w:t>Coates - "Australia's Most Comprehensive Equipment Rental"</w:t>
      </w:r>
    </w:p>
    <w:p>
      <w:pPr>
        <w:pStyle w:val="ListBullet"/>
      </w:pPr>
      <w:r>
        <w:rPr>
          <w:b/>
        </w:rPr>
        <w:t>Strengths</w:t>
      </w:r>
      <w:r>
        <w:t>: Broad service range, established brand, nationwide coverage</w:t>
      </w:r>
    </w:p>
    <w:p>
      <w:pPr>
        <w:pStyle w:val="ListBullet"/>
      </w:pPr>
      <w:r>
        <w:rPr>
          <w:b/>
        </w:rPr>
        <w:t>Weaknesses</w:t>
      </w:r>
      <w:r>
        <w:t>: Generic positioning, limited specialisation, basic content depth</w:t>
      </w:r>
    </w:p>
    <w:p>
      <w:pPr>
        <w:pStyle w:val="ListBullet"/>
      </w:pPr>
      <w:r>
        <w:rPr>
          <w:b/>
        </w:rPr>
        <w:t>Opportunity</w:t>
      </w:r>
      <w:r>
        <w:t>: Technical expertise and sustainability differentiation</w:t>
      </w:r>
    </w:p>
    <w:p/>
    <w:p>
      <w:r>
        <w:rPr>
          <w:b/>
        </w:rPr>
        <w:t>Aggreko - "World-Leading Mobile Power Solutions"</w:t>
      </w:r>
    </w:p>
    <w:p>
      <w:pPr>
        <w:pStyle w:val="ListBullet"/>
      </w:pPr>
      <w:r>
        <w:rPr>
          <w:b/>
        </w:rPr>
        <w:t>Strengths</w:t>
      </w:r>
      <w:r>
        <w:t>: International credibility, NetZero commitment, technical capability</w:t>
      </w:r>
    </w:p>
    <w:p>
      <w:pPr>
        <w:pStyle w:val="ListBullet"/>
      </w:pPr>
      <w:r>
        <w:rPr>
          <w:b/>
        </w:rPr>
        <w:t>Weaknesses</w:t>
      </w:r>
      <w:r>
        <w:t>: Limited Australian specialisation, complex messaging, high-end positioning</w:t>
      </w:r>
    </w:p>
    <w:p>
      <w:pPr>
        <w:pStyle w:val="ListBullet"/>
      </w:pPr>
      <w:r>
        <w:rPr>
          <w:b/>
        </w:rPr>
        <w:t>Opportunity</w:t>
      </w:r>
      <w:r>
        <w:t>: Local expertise and practical accessibility positioning</w:t>
      </w:r>
    </w:p>
    <w:p/>
    <w:p>
      <w:r>
        <w:rPr>
          <w:b/>
        </w:rPr>
        <w:t>Generator Power - "Technical Load Bank Specialists"</w:t>
      </w:r>
    </w:p>
    <w:p>
      <w:pPr>
        <w:pStyle w:val="ListBullet"/>
      </w:pPr>
      <w:r>
        <w:rPr>
          <w:b/>
        </w:rPr>
        <w:t>Strengths</w:t>
      </w:r>
      <w:r>
        <w:t>: Deep technical expertise, comprehensive load bank range</w:t>
      </w:r>
    </w:p>
    <w:p>
      <w:pPr>
        <w:pStyle w:val="ListBullet"/>
      </w:pPr>
      <w:r>
        <w:rPr>
          <w:b/>
        </w:rPr>
        <w:t>Weaknesses</w:t>
      </w:r>
      <w:r>
        <w:t>: Limited service breadth, minimal marketing content, narrow focus</w:t>
      </w:r>
    </w:p>
    <w:p>
      <w:pPr>
        <w:pStyle w:val="ListBullet"/>
      </w:pPr>
      <w:r>
        <w:rPr>
          <w:b/>
        </w:rPr>
        <w:t>Opportunity</w:t>
      </w:r>
      <w:r>
        <w:t>: Service expansion and educational content development</w:t>
      </w:r>
    </w:p>
    <w:p/>
    <w:p>
      <w:pPr>
        <w:pStyle w:val="Heading3"/>
        <w:jc w:val="left"/>
      </w:pPr>
      <w:r>
        <w:t>Competitive Content Weaknesses</w:t>
      </w:r>
    </w:p>
    <w:p>
      <w:pPr>
        <w:pStyle w:val="ListNumber"/>
      </w:pPr>
      <w:r>
        <w:rPr>
          <w:b/>
        </w:rPr>
        <w:t>Limited Educational Value</w:t>
      </w:r>
      <w:r>
        <w:t>: Technical content assumes high prior knowledge</w:t>
      </w:r>
    </w:p>
    <w:p>
      <w:pPr>
        <w:pStyle w:val="ListNumber"/>
      </w:pPr>
      <w:r>
        <w:rPr>
          <w:b/>
        </w:rPr>
        <w:t>Generic Australian Adaptation</w:t>
      </w:r>
      <w:r>
        <w:t>: Minimal customisation for local conditions</w:t>
      </w:r>
    </w:p>
    <w:p>
      <w:pPr>
        <w:pStyle w:val="ListNumber"/>
      </w:pPr>
      <w:r>
        <w:rPr>
          <w:b/>
        </w:rPr>
        <w:t>Poor Integration Messaging</w:t>
      </w:r>
      <w:r>
        <w:t>: Services marketed in isolation without synergy benefits</w:t>
      </w:r>
    </w:p>
    <w:p>
      <w:pPr>
        <w:pStyle w:val="ListNumber"/>
      </w:pPr>
      <w:r>
        <w:rPr>
          <w:b/>
        </w:rPr>
        <w:t>Minimal Sustainability Focus</w:t>
      </w:r>
      <w:r>
        <w:t>: Environmental benefits poorly articulated</w:t>
      </w:r>
    </w:p>
    <w:p/>
    <w:p>
      <w:pPr>
        <w:pStyle w:val="Heading3"/>
        <w:jc w:val="left"/>
      </w:pPr>
      <w:r>
        <w:t>Green Power Solutions Competitive Advantages</w:t>
      </w:r>
    </w:p>
    <w:p>
      <w:pPr>
        <w:pStyle w:val="ListNumber"/>
      </w:pPr>
      <w:r>
        <w:rPr>
          <w:b/>
        </w:rPr>
        <w:t>Four-Pillar Integration</w:t>
      </w:r>
      <w:r>
        <w:t>: Unique combination of complementary services</w:t>
      </w:r>
    </w:p>
    <w:p>
      <w:pPr>
        <w:pStyle w:val="ListNumber"/>
      </w:pPr>
      <w:r>
        <w:rPr>
          <w:b/>
        </w:rPr>
        <w:t>Biodiesel Expertise</w:t>
      </w:r>
      <w:r>
        <w:t>: Specialised knowledge in sustainable fuel solutions</w:t>
      </w:r>
    </w:p>
    <w:p>
      <w:pPr>
        <w:pStyle w:val="ListNumber"/>
      </w:pPr>
      <w:r>
        <w:rPr>
          <w:b/>
        </w:rPr>
        <w:t>Australian Focus</w:t>
      </w:r>
      <w:r>
        <w:t>: Local market understanding and conditions specialisation</w:t>
      </w:r>
    </w:p>
    <w:p>
      <w:pPr>
        <w:pStyle w:val="ListNumber"/>
      </w:pPr>
      <w:r>
        <w:rPr>
          <w:b/>
        </w:rPr>
        <w:t>Technical Capability</w:t>
      </w:r>
      <w:r>
        <w:t>: Load bank testing expertise combined with power solutions</w:t>
      </w:r>
    </w:p>
    <w:p/>
    <w:p>
      <w:pPr>
        <w:pStyle w:val="Heading2"/>
        <w:jc w:val="left"/>
      </w:pPr>
      <w:r>
        <w:t>Audience &amp; Opportunity Insights</w:t>
      </w:r>
    </w:p>
    <w:p/>
    <w:p>
      <w:pPr>
        <w:pStyle w:val="Heading3"/>
        <w:jc w:val="left"/>
      </w:pPr>
      <w:r>
        <w:t>Primary Audience Segments</w:t>
      </w:r>
    </w:p>
    <w:p/>
    <w:p>
      <w:r>
        <w:rPr>
          <w:b/>
        </w:rPr>
        <w:t>Construction Colin (Site Manager) - 35% Market Opportunity</w:t>
      </w:r>
    </w:p>
    <w:p>
      <w:pPr>
        <w:pStyle w:val="ListBullet"/>
      </w:pPr>
      <w:r>
        <w:rPr>
          <w:b/>
        </w:rPr>
        <w:t>Key Needs</w:t>
      </w:r>
      <w:r>
        <w:t>: Reliable power, cost efficiency, weather resistance, simple coordination</w:t>
      </w:r>
    </w:p>
    <w:p>
      <w:pPr>
        <w:pStyle w:val="ListBullet"/>
      </w:pPr>
      <w:r>
        <w:rPr>
          <w:b/>
        </w:rPr>
        <w:t>Content Gaps</w:t>
      </w:r>
      <w:r>
        <w:t>: Practical sizing guides, weather contingency planning, quick reference materials</w:t>
      </w:r>
    </w:p>
    <w:p>
      <w:pPr>
        <w:pStyle w:val="ListBullet"/>
      </w:pPr>
      <w:r>
        <w:rPr>
          <w:b/>
        </w:rPr>
        <w:t>Opportunity</w:t>
      </w:r>
      <w:r>
        <w:t>: Mobile-optimised practical guides and Australian conditions expertise</w:t>
      </w:r>
    </w:p>
    <w:p/>
    <w:p>
      <w:r>
        <w:rPr>
          <w:b/>
        </w:rPr>
        <w:t>Mining Margaret (Operations Manager) - 30% Market Opportunity</w:t>
      </w:r>
    </w:p>
    <w:p>
      <w:pPr>
        <w:pStyle w:val="ListBullet"/>
      </w:pPr>
      <w:r>
        <w:rPr>
          <w:b/>
        </w:rPr>
        <w:t>Key Needs</w:t>
      </w:r>
      <w:r>
        <w:t>: Compliance focus, environmental reporting, emergency response, safety standards</w:t>
      </w:r>
    </w:p>
    <w:p>
      <w:pPr>
        <w:pStyle w:val="ListBullet"/>
      </w:pPr>
      <w:r>
        <w:rPr>
          <w:b/>
        </w:rPr>
        <w:t>Content Gaps</w:t>
      </w:r>
      <w:r>
        <w:t>: Mining compliance documentation, environmental impact reporting, sustainability metrics</w:t>
      </w:r>
    </w:p>
    <w:p>
      <w:pPr>
        <w:pStyle w:val="ListBullet"/>
      </w:pPr>
      <w:r>
        <w:rPr>
          <w:b/>
        </w:rPr>
        <w:t>Opportunity</w:t>
      </w:r>
      <w:r>
        <w:t>: Comprehensive compliance centre and environmental authority positioning</w:t>
      </w:r>
    </w:p>
    <w:p/>
    <w:p>
      <w:r>
        <w:rPr>
          <w:b/>
        </w:rPr>
        <w:t>Data Centre David (Technical Manager) - 20% Market Opportunity</w:t>
      </w:r>
    </w:p>
    <w:p>
      <w:pPr>
        <w:pStyle w:val="ListBullet"/>
      </w:pPr>
      <w:r>
        <w:rPr>
          <w:b/>
        </w:rPr>
        <w:t>Key Needs</w:t>
      </w:r>
      <w:r>
        <w:t>: Uptime criticality, technical precision, rapid response, SLA compliance</w:t>
      </w:r>
    </w:p>
    <w:p>
      <w:pPr>
        <w:pStyle w:val="ListBullet"/>
      </w:pPr>
      <w:r>
        <w:rPr>
          <w:b/>
        </w:rPr>
        <w:t>Content Gaps</w:t>
      </w:r>
      <w:r>
        <w:t>: Load bank testing methodologies, commissioning procedures, integration guidelines</w:t>
      </w:r>
    </w:p>
    <w:p>
      <w:pPr>
        <w:pStyle w:val="ListBullet"/>
      </w:pPr>
      <w:r>
        <w:rPr>
          <w:b/>
        </w:rPr>
        <w:t>Opportunity</w:t>
      </w:r>
      <w:r>
        <w:t>: Technical education leadership and critical infrastructure specialisation</w:t>
      </w:r>
    </w:p>
    <w:p/>
    <w:p>
      <w:r>
        <w:rPr>
          <w:b/>
        </w:rPr>
        <w:t>Events Emma (Event Producer) - 10% Market Opportunity</w:t>
      </w:r>
    </w:p>
    <w:p>
      <w:pPr>
        <w:pStyle w:val="ListBullet"/>
      </w:pPr>
      <w:r>
        <w:rPr>
          <w:b/>
        </w:rPr>
        <w:t>Key Needs</w:t>
      </w:r>
      <w:r>
        <w:t>: Flexible solutions, weather resistance, quick setup, noise considerations</w:t>
      </w:r>
    </w:p>
    <w:p>
      <w:pPr>
        <w:pStyle w:val="ListBullet"/>
      </w:pPr>
      <w:r>
        <w:rPr>
          <w:b/>
        </w:rPr>
        <w:t>Content Gaps</w:t>
      </w:r>
      <w:r>
        <w:t>: Event power planning, weather contingencies, quiet operation guides</w:t>
      </w:r>
    </w:p>
    <w:p>
      <w:pPr>
        <w:pStyle w:val="ListBullet"/>
      </w:pPr>
      <w:r>
        <w:rPr>
          <w:b/>
        </w:rPr>
        <w:t>Opportunity</w:t>
      </w:r>
      <w:r>
        <w:t>: Event-specific expertise and rapid response capabilities</w:t>
      </w:r>
    </w:p>
    <w:p/>
    <w:p>
      <w:r>
        <w:rPr>
          <w:b/>
        </w:rPr>
        <w:t>Procurement Paul (Procurement Manager) - 5% Market Opportunity</w:t>
      </w:r>
    </w:p>
    <w:p>
      <w:pPr>
        <w:pStyle w:val="ListBullet"/>
      </w:pPr>
      <w:r>
        <w:rPr>
          <w:b/>
        </w:rPr>
        <w:t>Key Needs</w:t>
      </w:r>
      <w:r>
        <w:t>: Cost optimisation, supplier stability, sustainability compliance, contract terms</w:t>
      </w:r>
    </w:p>
    <w:p>
      <w:pPr>
        <w:pStyle w:val="ListBullet"/>
      </w:pPr>
      <w:r>
        <w:rPr>
          <w:b/>
        </w:rPr>
        <w:t>Content Gaps</w:t>
      </w:r>
      <w:r>
        <w:t>: TCO analysis, sustainability reporting, supplier evaluation criteria</w:t>
      </w:r>
    </w:p>
    <w:p>
      <w:pPr>
        <w:pStyle w:val="ListBullet"/>
      </w:pPr>
      <w:r>
        <w:rPr>
          <w:b/>
        </w:rPr>
        <w:t>Opportunity</w:t>
      </w:r>
      <w:r>
        <w:t>: Business case development and sustainability credentials</w:t>
      </w:r>
    </w:p>
    <w:p/>
    <w:p>
      <w:pPr>
        <w:pStyle w:val="Heading3"/>
        <w:jc w:val="left"/>
      </w:pPr>
      <w:r>
        <w:t>Search Intent &amp; Keyword Opportunities</w:t>
      </w:r>
    </w:p>
    <w:p/>
    <w:p>
      <w:r>
        <w:rPr>
          <w:b/>
        </w:rPr>
        <w:t>High-Volume Opportunities:</w:t>
      </w:r>
    </w:p>
    <w:p>
      <w:pPr>
        <w:pStyle w:val="ListBullet"/>
      </w:pPr>
      <w:r>
        <w:t>"generator hire australia" - Establish market presence</w:t>
      </w:r>
    </w:p>
    <w:p>
      <w:pPr>
        <w:pStyle w:val="ListBullet"/>
      </w:pPr>
      <w:r>
        <w:t>"hybrid lighting towers" - Technology differentiation</w:t>
      </w:r>
    </w:p>
    <w:p>
      <w:pPr>
        <w:pStyle w:val="ListBullet"/>
      </w:pPr>
      <w:r>
        <w:t>"load bank testing data centre" - High-value commercial intent</w:t>
      </w:r>
    </w:p>
    <w:p/>
    <w:p>
      <w:r>
        <w:rPr>
          <w:b/>
        </w:rPr>
        <w:t>Low-Competition Niches:</w:t>
      </w:r>
    </w:p>
    <w:p>
      <w:pPr>
        <w:pStyle w:val="ListBullet"/>
      </w:pPr>
      <w:r>
        <w:t>"biodiesel generator hire australia" - Sustainability leadership</w:t>
      </w:r>
    </w:p>
    <w:p>
      <w:pPr>
        <w:pStyle w:val="ListBullet"/>
      </w:pPr>
      <w:r>
        <w:t>"integrated power solutions hire" - Service integration</w:t>
      </w:r>
    </w:p>
    <w:p>
      <w:pPr>
        <w:pStyle w:val="ListBullet"/>
      </w:pPr>
      <w:r>
        <w:t>"australian conditions generator" - Local specialisation</w:t>
      </w:r>
    </w:p>
    <w:p/>
    <w:p>
      <w:r>
        <w:rPr>
          <w:b/>
        </w:rPr>
        <w:t>Content Marketing Opportunities:</w:t>
      </w:r>
    </w:p>
    <w:p>
      <w:pPr>
        <w:pStyle w:val="ListBullet"/>
      </w:pPr>
      <w:r>
        <w:t>Educational content: 40% informational search intent underserved</w:t>
      </w:r>
    </w:p>
    <w:p>
      <w:pPr>
        <w:pStyle w:val="ListBullet"/>
      </w:pPr>
      <w:r>
        <w:t>Technical guidance: Equipment selection and sizing tools missing market-wide</w:t>
      </w:r>
    </w:p>
    <w:p>
      <w:pPr>
        <w:pStyle w:val="ListBullet"/>
      </w:pPr>
      <w:r>
        <w:t>Sustainability education: Environmental impact quantification absent</w:t>
      </w:r>
    </w:p>
    <w:p/>
    <w:p>
      <w:pPr>
        <w:pStyle w:val="Heading2"/>
        <w:jc w:val="left"/>
      </w:pPr>
      <w:r>
        <w:t>Content Strategy Recommendations</w:t>
      </w:r>
    </w:p>
    <w:p/>
    <w:p>
      <w:pPr>
        <w:pStyle w:val="Heading3"/>
        <w:jc w:val="left"/>
      </w:pPr>
      <w:r>
        <w:t>Strategic Content Positioning</w:t>
      </w:r>
    </w:p>
    <w:p>
      <w:r>
        <w:rPr>
          <w:b/>
        </w:rPr>
        <w:t>Primary Theme:</w:t>
      </w:r>
      <w:r>
        <w:t xml:space="preserve"> "Australia's Sustainable Power Solutions Experts"</w:t>
      </w:r>
    </w:p>
    <w:p>
      <w:r>
        <w:rPr>
          <w:b/>
        </w:rPr>
        <w:t>Supporting Themes:</w:t>
      </w:r>
    </w:p>
    <w:p>
      <w:pPr>
        <w:pStyle w:val="ListNumber"/>
      </w:pPr>
      <w:r>
        <w:rPr>
          <w:b/>
        </w:rPr>
        <w:t>Biodiesel Leadership</w:t>
      </w:r>
      <w:r>
        <w:t xml:space="preserve"> - Environmental expertise and quantified benefits</w:t>
      </w:r>
    </w:p>
    <w:p>
      <w:pPr>
        <w:pStyle w:val="ListNumber"/>
      </w:pPr>
      <w:r>
        <w:rPr>
          <w:b/>
        </w:rPr>
        <w:t>Four-Pillar Integration</w:t>
      </w:r>
      <w:r>
        <w:t xml:space="preserve"> - Complete solution convenience and coordination</w:t>
      </w:r>
    </w:p>
    <w:p>
      <w:pPr>
        <w:pStyle w:val="ListNumber"/>
      </w:pPr>
      <w:r>
        <w:rPr>
          <w:b/>
        </w:rPr>
        <w:t>Australian Conditions</w:t>
      </w:r>
      <w:r>
        <w:t xml:space="preserve"> - Local expertise and specialised solutions</w:t>
      </w:r>
    </w:p>
    <w:p>
      <w:pPr>
        <w:pStyle w:val="ListNumber"/>
      </w:pPr>
      <w:r>
        <w:rPr>
          <w:b/>
        </w:rPr>
        <w:t>Technical Education</w:t>
      </w:r>
      <w:r>
        <w:t xml:space="preserve"> - Authoritative guidance and practical tools</w:t>
      </w:r>
    </w:p>
    <w:p/>
    <w:p>
      <w:pPr>
        <w:pStyle w:val="Heading3"/>
        <w:jc w:val="left"/>
      </w:pPr>
      <w:r>
        <w:t>Content Development Priorities</w:t>
      </w:r>
    </w:p>
    <w:p/>
    <w:p>
      <w:r>
        <w:rPr>
          <w:b/>
        </w:rPr>
        <w:t>Phase 1: Foundation Differentiation (Months 1-3)</w:t>
      </w:r>
    </w:p>
    <w:p>
      <w:pPr>
        <w:pStyle w:val="ListNumber"/>
      </w:pPr>
      <w:r>
        <w:rPr>
          <w:b/>
        </w:rPr>
        <w:t>Biodiesel Benefits Calculator</w:t>
      </w:r>
      <w:r>
        <w:t xml:space="preserve"> - Interactive environmental impact tool</w:t>
      </w:r>
    </w:p>
    <w:p>
      <w:pPr>
        <w:pStyle w:val="ListNumber"/>
      </w:pPr>
      <w:r>
        <w:rPr>
          <w:b/>
        </w:rPr>
        <w:t>Four-Service Integration Case Studies</w:t>
      </w:r>
      <w:r>
        <w:t xml:space="preserve"> - Complete solution examples</w:t>
      </w:r>
    </w:p>
    <w:p>
      <w:pPr>
        <w:pStyle w:val="ListNumber"/>
      </w:pPr>
      <w:r>
        <w:rPr>
          <w:b/>
        </w:rPr>
        <w:t>Australian Conditions Guide</w:t>
      </w:r>
      <w:r>
        <w:t xml:space="preserve"> - Local expertise demonstration</w:t>
      </w:r>
    </w:p>
    <w:p>
      <w:pPr>
        <w:pStyle w:val="ListNumber"/>
      </w:pPr>
      <w:r>
        <w:rPr>
          <w:b/>
        </w:rPr>
        <w:t>Equipment Selection Wizard</w:t>
      </w:r>
      <w:r>
        <w:t xml:space="preserve"> - Interactive sizing and specification tool</w:t>
      </w:r>
    </w:p>
    <w:p/>
    <w:p>
      <w:r>
        <w:rPr>
          <w:b/>
        </w:rPr>
        <w:t>Phase 2: Authority Building (Months 4-8)</w:t>
      </w:r>
    </w:p>
    <w:p>
      <w:pPr>
        <w:pStyle w:val="ListNumber"/>
      </w:pPr>
      <w:r>
        <w:rPr>
          <w:b/>
        </w:rPr>
        <w:t>Technical Education Centre</w:t>
      </w:r>
      <w:r>
        <w:t xml:space="preserve"> - Comprehensive learning resources</w:t>
      </w:r>
    </w:p>
    <w:p>
      <w:pPr>
        <w:pStyle w:val="ListNumber"/>
      </w:pPr>
      <w:r>
        <w:rPr>
          <w:b/>
        </w:rPr>
        <w:t>Sustainability Resource Hub</w:t>
      </w:r>
      <w:r>
        <w:t xml:space="preserve"> - Environmental guidance platform</w:t>
      </w:r>
    </w:p>
    <w:p>
      <w:pPr>
        <w:pStyle w:val="ListNumber"/>
      </w:pPr>
      <w:r>
        <w:rPr>
          <w:b/>
        </w:rPr>
        <w:t>Industry Solution Guides</w:t>
      </w:r>
      <w:r>
        <w:t xml:space="preserve"> - Sector-specific expertise</w:t>
      </w:r>
    </w:p>
    <w:p>
      <w:pPr>
        <w:pStyle w:val="ListNumber"/>
      </w:pPr>
      <w:r>
        <w:rPr>
          <w:b/>
        </w:rPr>
        <w:t>Interactive Planning Tools</w:t>
      </w:r>
      <w:r>
        <w:t xml:space="preserve"> - Advanced calculators and design tools</w:t>
      </w:r>
    </w:p>
    <w:p/>
    <w:p>
      <w:r>
        <w:rPr>
          <w:b/>
        </w:rPr>
        <w:t>Phase 3: Market Leadership (Months 9-12)</w:t>
      </w:r>
    </w:p>
    <w:p>
      <w:pPr>
        <w:pStyle w:val="ListNumber"/>
      </w:pPr>
      <w:r>
        <w:rPr>
          <w:b/>
        </w:rPr>
        <w:t>Original Research Programme</w:t>
      </w:r>
      <w:r>
        <w:t xml:space="preserve"> - Environmental impact studies</w:t>
      </w:r>
    </w:p>
    <w:p>
      <w:pPr>
        <w:pStyle w:val="ListNumber"/>
      </w:pPr>
      <w:r>
        <w:rPr>
          <w:b/>
        </w:rPr>
        <w:t>Customer Certification Programme</w:t>
      </w:r>
      <w:r>
        <w:t xml:space="preserve"> - Training and skill development</w:t>
      </w:r>
    </w:p>
    <w:p>
      <w:pPr>
        <w:pStyle w:val="ListNumber"/>
      </w:pPr>
      <w:r>
        <w:rPr>
          <w:b/>
        </w:rPr>
        <w:t>Innovation Showcase</w:t>
      </w:r>
      <w:r>
        <w:t xml:space="preserve"> - Technology leadership demonstration</w:t>
      </w:r>
    </w:p>
    <w:p>
      <w:pPr>
        <w:pStyle w:val="ListNumber"/>
      </w:pPr>
      <w:r>
        <w:rPr>
          <w:b/>
        </w:rPr>
        <w:t>Industry Thought Leadership</w:t>
      </w:r>
      <w:r>
        <w:t xml:space="preserve"> - Speaking, publishing, media presence</w:t>
      </w:r>
    </w:p>
    <w:p/>
    <w:p>
      <w:pPr>
        <w:pStyle w:val="Heading3"/>
        <w:jc w:val="left"/>
      </w:pPr>
      <w:r>
        <w:t>Content Format Strategy</w:t>
      </w:r>
    </w:p>
    <w:p/>
    <w:p>
      <w:r>
        <w:rPr>
          <w:b/>
        </w:rPr>
        <w:t>Interactive Content Priority:</w:t>
      </w:r>
    </w:p>
    <w:p>
      <w:pPr>
        <w:pStyle w:val="ListBullet"/>
      </w:pPr>
      <w:r>
        <w:t>Equipment selection calculators and sizing tools</w:t>
      </w:r>
    </w:p>
    <w:p>
      <w:pPr>
        <w:pStyle w:val="ListBullet"/>
      </w:pPr>
      <w:r>
        <w:t>Environmental impact and cost comparison tools</w:t>
      </w:r>
    </w:p>
    <w:p>
      <w:pPr>
        <w:pStyle w:val="ListBullet"/>
      </w:pPr>
      <w:r>
        <w:t>Project planning and solution design tools</w:t>
      </w:r>
    </w:p>
    <w:p>
      <w:pPr>
        <w:pStyle w:val="ListBullet"/>
      </w:pPr>
      <w:r>
        <w:t>Technical specification and performance comparison tools</w:t>
      </w:r>
    </w:p>
    <w:p/>
    <w:p>
      <w:r>
        <w:rPr>
          <w:b/>
        </w:rPr>
        <w:t>Educational Content Focus:</w:t>
      </w:r>
    </w:p>
    <w:p>
      <w:pPr>
        <w:pStyle w:val="ListBullet"/>
      </w:pPr>
      <w:r>
        <w:t>Progressive learning paths from beginner to expert</w:t>
      </w:r>
    </w:p>
    <w:p>
      <w:pPr>
        <w:pStyle w:val="ListBullet"/>
      </w:pPr>
      <w:r>
        <w:t>Industry-specific guidance and best practices</w:t>
      </w:r>
    </w:p>
    <w:p>
      <w:pPr>
        <w:pStyle w:val="ListBullet"/>
      </w:pPr>
      <w:r>
        <w:t>Australian compliance and regulatory guidance</w:t>
      </w:r>
    </w:p>
    <w:p>
      <w:pPr>
        <w:pStyle w:val="ListBullet"/>
      </w:pPr>
      <w:r>
        <w:t>Practical troubleshooting and optimisation resources</w:t>
      </w:r>
    </w:p>
    <w:p/>
    <w:p>
      <w:r>
        <w:rPr>
          <w:b/>
        </w:rPr>
        <w:t>Visual Content Development:</w:t>
      </w:r>
    </w:p>
    <w:p>
      <w:pPr>
        <w:pStyle w:val="ListBullet"/>
      </w:pPr>
      <w:r>
        <w:t>Technical illustration and system diagrams</w:t>
      </w:r>
    </w:p>
    <w:p>
      <w:pPr>
        <w:pStyle w:val="ListBullet"/>
      </w:pPr>
      <w:r>
        <w:t>Video explanations of complex concepts and applications</w:t>
      </w:r>
    </w:p>
    <w:p>
      <w:pPr>
        <w:pStyle w:val="ListBullet"/>
      </w:pPr>
      <w:r>
        <w:t>Interactive case study presentations with measurable outcomes</w:t>
      </w:r>
    </w:p>
    <w:p>
      <w:pPr>
        <w:pStyle w:val="ListBullet"/>
      </w:pPr>
      <w:r>
        <w:t>Process workflow visualization and step-by-step guides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Quarter 1: Foundation &amp; Differentiation</w:t>
      </w:r>
    </w:p>
    <w:p>
      <w:r>
        <w:rPr>
          <w:b/>
        </w:rPr>
        <w:t>Content Development:</w:t>
      </w:r>
    </w:p>
    <w:p>
      <w:pPr>
        <w:pStyle w:val="ListBullet"/>
      </w:pPr>
      <w:r>
        <w:t>Biodiesel expertise content and calculator development</w:t>
      </w:r>
    </w:p>
    <w:p>
      <w:pPr>
        <w:pStyle w:val="ListBullet"/>
      </w:pPr>
      <w:r>
        <w:t>Australian conditions specialisation content</w:t>
      </w:r>
    </w:p>
    <w:p>
      <w:pPr>
        <w:pStyle w:val="ListBullet"/>
      </w:pPr>
      <w:r>
        <w:t>Four-pillar integration case studies (3-5 examples)</w:t>
      </w:r>
    </w:p>
    <w:p>
      <w:pPr>
        <w:pStyle w:val="ListBullet"/>
      </w:pPr>
      <w:r>
        <w:t>Basic equipment selection and sizing guides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t>Interactive calculator development and testing</w:t>
      </w:r>
    </w:p>
    <w:p>
      <w:pPr>
        <w:pStyle w:val="ListBullet"/>
      </w:pPr>
      <w:r>
        <w:t>Mobile-optimised content design and user experience</w:t>
      </w:r>
    </w:p>
    <w:p>
      <w:pPr>
        <w:pStyle w:val="ListBullet"/>
      </w:pPr>
      <w:r>
        <w:t>SEO optimisation for priority keywords and local search</w:t>
      </w:r>
    </w:p>
    <w:p>
      <w:pPr>
        <w:pStyle w:val="ListBullet"/>
      </w:pPr>
      <w:r>
        <w:t>Basic CRM integration for lead capture and nurturing</w:t>
      </w:r>
    </w:p>
    <w:p/>
    <w:p>
      <w:r>
        <w:rPr>
          <w:b/>
        </w:rPr>
        <w:t>Success Metrics:</w:t>
      </w:r>
    </w:p>
    <w:p>
      <w:pPr>
        <w:pStyle w:val="ListBullet"/>
      </w:pPr>
      <w:r>
        <w:t>25-40% increase in organic search traffic</w:t>
      </w:r>
    </w:p>
    <w:p>
      <w:pPr>
        <w:pStyle w:val="ListBullet"/>
      </w:pPr>
      <w:r>
        <w:t>30-50% improvement in content engagement time</w:t>
      </w:r>
    </w:p>
    <w:p>
      <w:pPr>
        <w:pStyle w:val="ListBullet"/>
      </w:pPr>
      <w:r>
        <w:t>Lead quality improvement through educational content consumption</w:t>
      </w:r>
    </w:p>
    <w:p>
      <w:pPr>
        <w:pStyle w:val="ListBullet"/>
      </w:pPr>
      <w:r>
        <w:t>Differentiation messaging uptake in customer communications</w:t>
      </w:r>
    </w:p>
    <w:p/>
    <w:p>
      <w:pPr>
        <w:pStyle w:val="Heading3"/>
        <w:jc w:val="left"/>
      </w:pPr>
      <w:r>
        <w:t>Quarter 2: Authority &amp; Education</w:t>
      </w:r>
    </w:p>
    <w:p>
      <w:r>
        <w:rPr>
          <w:b/>
        </w:rPr>
        <w:t>Content Development:</w:t>
      </w:r>
    </w:p>
    <w:p>
      <w:pPr>
        <w:pStyle w:val="ListBullet"/>
      </w:pPr>
      <w:r>
        <w:t>Comprehensive technical education centre launch</w:t>
      </w:r>
    </w:p>
    <w:p>
      <w:pPr>
        <w:pStyle w:val="ListBullet"/>
      </w:pPr>
      <w:r>
        <w:t>Industry-specific solution guides for construction, mining, data centres</w:t>
      </w:r>
    </w:p>
    <w:p>
      <w:pPr>
        <w:pStyle w:val="ListBullet"/>
      </w:pPr>
      <w:r>
        <w:t>Sustainability resource hub with compliance guidance</w:t>
      </w:r>
    </w:p>
    <w:p>
      <w:pPr>
        <w:pStyle w:val="ListBullet"/>
      </w:pPr>
      <w:r>
        <w:t>Advanced interactive planning and design tools</w:t>
      </w:r>
    </w:p>
    <w:p/>
    <w:p>
      <w:r>
        <w:rPr>
          <w:b/>
        </w:rPr>
        <w:t>Platform Development:</w:t>
      </w:r>
    </w:p>
    <w:p>
      <w:pPr>
        <w:pStyle w:val="ListBullet"/>
      </w:pPr>
      <w:r>
        <w:t>Customer portal with educational resources and tools</w:t>
      </w:r>
    </w:p>
    <w:p>
      <w:pPr>
        <w:pStyle w:val="ListBullet"/>
      </w:pPr>
      <w:r>
        <w:t>Advanced analytics and user behaviour tracking</w:t>
      </w:r>
    </w:p>
    <w:p>
      <w:pPr>
        <w:pStyle w:val="ListBullet"/>
      </w:pPr>
      <w:r>
        <w:t>Email marketing automation for educational content series</w:t>
      </w:r>
    </w:p>
    <w:p>
      <w:pPr>
        <w:pStyle w:val="ListBullet"/>
      </w:pPr>
      <w:r>
        <w:t>Social media content distribution and engagement strategy</w:t>
      </w:r>
    </w:p>
    <w:p/>
    <w:p>
      <w:r>
        <w:rPr>
          <w:b/>
        </w:rPr>
        <w:t>Success Metrics:</w:t>
      </w:r>
    </w:p>
    <w:p>
      <w:pPr>
        <w:pStyle w:val="ListBullet"/>
      </w:pPr>
      <w:r>
        <w:t>50% increase in educational content session duration</w:t>
      </w:r>
    </w:p>
    <w:p>
      <w:pPr>
        <w:pStyle w:val="ListBullet"/>
      </w:pPr>
      <w:r>
        <w:t>Technical authority recognition through industry citations</w:t>
      </w:r>
    </w:p>
    <w:p>
      <w:pPr>
        <w:pStyle w:val="ListBullet"/>
      </w:pPr>
      <w:r>
        <w:t>Customer education engagement metrics and tool usage</w:t>
      </w:r>
    </w:p>
    <w:p>
      <w:pPr>
        <w:pStyle w:val="ListBullet"/>
      </w:pPr>
      <w:r>
        <w:t>Sales process improvement through educated prospects</w:t>
      </w:r>
    </w:p>
    <w:p/>
    <w:p>
      <w:pPr>
        <w:pStyle w:val="Heading3"/>
        <w:jc w:val="left"/>
      </w:pPr>
      <w:r>
        <w:t>Quarter 3: Leadership &amp; Innovation</w:t>
      </w:r>
    </w:p>
    <w:p>
      <w:r>
        <w:rPr>
          <w:b/>
        </w:rPr>
        <w:t>Content Development:</w:t>
      </w:r>
    </w:p>
    <w:p>
      <w:pPr>
        <w:pStyle w:val="ListBullet"/>
      </w:pPr>
      <w:r>
        <w:t>Original research publication and thought leadership content</w:t>
      </w:r>
    </w:p>
    <w:p>
      <w:pPr>
        <w:pStyle w:val="ListBullet"/>
      </w:pPr>
      <w:r>
        <w:t>Customer certification and training programme launch</w:t>
      </w:r>
    </w:p>
    <w:p>
      <w:pPr>
        <w:pStyle w:val="ListBullet"/>
      </w:pPr>
      <w:r>
        <w:t>Advanced technical resources for expert audiences</w:t>
      </w:r>
    </w:p>
    <w:p>
      <w:pPr>
        <w:pStyle w:val="ListBullet"/>
      </w:pPr>
      <w:r>
        <w:t>Innovation showcase and technology leadership demonstration</w:t>
      </w:r>
    </w:p>
    <w:p/>
    <w:p>
      <w:r>
        <w:rPr>
          <w:b/>
        </w:rPr>
        <w:t>Authority Building:</w:t>
      </w:r>
    </w:p>
    <w:p>
      <w:pPr>
        <w:pStyle w:val="ListBullet"/>
      </w:pPr>
      <w:r>
        <w:t>Industry conference speaking opportunities</w:t>
      </w:r>
    </w:p>
    <w:p>
      <w:pPr>
        <w:pStyle w:val="ListBullet"/>
      </w:pPr>
      <w:r>
        <w:t>Media relations and thought leadership PR</w:t>
      </w:r>
    </w:p>
    <w:p>
      <w:pPr>
        <w:pStyle w:val="ListBullet"/>
      </w:pPr>
      <w:r>
        <w:t>Professional association partnerships and collaboration</w:t>
      </w:r>
    </w:p>
    <w:p>
      <w:pPr>
        <w:pStyle w:val="ListBullet"/>
      </w:pPr>
      <w:r>
        <w:t>Customer advocacy and testimonial programme</w:t>
      </w:r>
    </w:p>
    <w:p/>
    <w:p>
      <w:r>
        <w:rPr>
          <w:b/>
        </w:rPr>
        <w:t>Success Metrics:</w:t>
      </w:r>
    </w:p>
    <w:p>
      <w:pPr>
        <w:pStyle w:val="ListBullet"/>
      </w:pPr>
      <w:r>
        <w:t>Industry thought leadership recognition and speaking opportunities</w:t>
      </w:r>
    </w:p>
    <w:p>
      <w:pPr>
        <w:pStyle w:val="ListBullet"/>
      </w:pPr>
      <w:r>
        <w:t>Media coverage and third-party content citations</w:t>
      </w:r>
    </w:p>
    <w:p>
      <w:pPr>
        <w:pStyle w:val="ListBullet"/>
      </w:pPr>
      <w:r>
        <w:t>Customer loyalty improvement and retention rate increases</w:t>
      </w:r>
    </w:p>
    <w:p>
      <w:pPr>
        <w:pStyle w:val="ListBullet"/>
      </w:pPr>
      <w:r>
        <w:t>Market differentiation through competitive win rate improvement</w:t>
      </w:r>
    </w:p>
    <w:p/>
    <w:p>
      <w:pPr>
        <w:pStyle w:val="Heading3"/>
        <w:jc w:val="left"/>
      </w:pPr>
      <w:r>
        <w:t>Quarter 4: Optimisation &amp; Expansion</w:t>
      </w:r>
    </w:p>
    <w:p>
      <w:r>
        <w:rPr>
          <w:b/>
        </w:rPr>
        <w:t>Content Optimisation:</w:t>
      </w:r>
    </w:p>
    <w:p>
      <w:pPr>
        <w:pStyle w:val="ListBullet"/>
      </w:pPr>
      <w:r>
        <w:t>Performance analysis and content refinement based on usage data</w:t>
      </w:r>
    </w:p>
    <w:p>
      <w:pPr>
        <w:pStyle w:val="ListBullet"/>
      </w:pPr>
      <w:r>
        <w:t>Advanced personalisation and audience-specific content delivery</w:t>
      </w:r>
    </w:p>
    <w:p>
      <w:pPr>
        <w:pStyle w:val="ListBullet"/>
      </w:pPr>
      <w:r>
        <w:t>International content adaptation for potential market expansion</w:t>
      </w:r>
    </w:p>
    <w:p>
      <w:pPr>
        <w:pStyle w:val="ListBullet"/>
      </w:pPr>
      <w:r>
        <w:t>Customer feedback integration and content evolution</w:t>
      </w:r>
    </w:p>
    <w:p/>
    <w:p>
      <w:r>
        <w:rPr>
          <w:b/>
        </w:rPr>
        <w:t>Market Expansion:</w:t>
      </w:r>
    </w:p>
    <w:p>
      <w:pPr>
        <w:pStyle w:val="ListBullet"/>
      </w:pPr>
      <w:r>
        <w:t>Geographic expansion content for new regional markets</w:t>
      </w:r>
    </w:p>
    <w:p>
      <w:pPr>
        <w:pStyle w:val="ListBullet"/>
      </w:pPr>
      <w:r>
        <w:t>Service expansion content for potential new offerings</w:t>
      </w:r>
    </w:p>
    <w:p>
      <w:pPr>
        <w:pStyle w:val="ListBullet"/>
      </w:pPr>
      <w:r>
        <w:t>Partnership content development for strategic alliances</w:t>
      </w:r>
    </w:p>
    <w:p>
      <w:pPr>
        <w:pStyle w:val="ListBullet"/>
      </w:pPr>
      <w:r>
        <w:t>Customer success amplification and case study expansion</w:t>
      </w:r>
    </w:p>
    <w:p/>
    <w:p>
      <w:r>
        <w:rPr>
          <w:b/>
        </w:rPr>
        <w:t>Success Metrics:</w:t>
      </w:r>
    </w:p>
    <w:p>
      <w:pPr>
        <w:pStyle w:val="ListBullet"/>
      </w:pPr>
      <w:r>
        <w:t>Content ROI measurement and optimization</w:t>
      </w:r>
    </w:p>
    <w:p>
      <w:pPr>
        <w:pStyle w:val="ListBullet"/>
      </w:pPr>
      <w:r>
        <w:t>Customer lifetime value improvement through educational engagement</w:t>
      </w:r>
    </w:p>
    <w:p>
      <w:pPr>
        <w:pStyle w:val="ListBullet"/>
      </w:pPr>
      <w:r>
        <w:t>Market share growth in target segments</w:t>
      </w:r>
    </w:p>
    <w:p>
      <w:pPr>
        <w:pStyle w:val="ListBullet"/>
      </w:pPr>
      <w:r>
        <w:t>Brand recognition and preference metrics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Traffic &amp; Visibility Metrics</w:t>
      </w:r>
    </w:p>
    <w:p>
      <w:r>
        <w:rPr>
          <w:b/>
        </w:rPr>
        <w:t>Organic Search Performance:</w:t>
      </w:r>
    </w:p>
    <w:p>
      <w:pPr>
        <w:pStyle w:val="ListBullet"/>
      </w:pPr>
      <w:r>
        <w:rPr>
          <w:b/>
        </w:rPr>
        <w:t>Target:</w:t>
      </w:r>
      <w:r>
        <w:t xml:space="preserve"> 40-60% increase in organic search traffic within 12 months</w:t>
      </w:r>
    </w:p>
    <w:p>
      <w:pPr>
        <w:pStyle w:val="ListBullet"/>
      </w:pPr>
      <w:r>
        <w:rPr>
          <w:b/>
        </w:rPr>
        <w:t>Key Metrics:</w:t>
      </w:r>
      <w:r>
        <w:t xml:space="preserve"> Keyword rankings, search visibility, click-through rates</w:t>
      </w:r>
    </w:p>
    <w:p>
      <w:pPr>
        <w:pStyle w:val="ListBullet"/>
      </w:pPr>
      <w:r>
        <w:rPr>
          <w:b/>
        </w:rPr>
        <w:t>Milestone Indicators:</w:t>
      </w:r>
      <w:r>
        <w:t xml:space="preserve"> Top 3 rankings for priority sustainable power keywords</w:t>
      </w:r>
    </w:p>
    <w:p/>
    <w:p>
      <w:r>
        <w:rPr>
          <w:b/>
        </w:rPr>
        <w:t>Content Engagement Metrics:</w:t>
      </w:r>
    </w:p>
    <w:p>
      <w:pPr>
        <w:pStyle w:val="ListBullet"/>
      </w:pPr>
      <w:r>
        <w:rPr>
          <w:b/>
        </w:rPr>
        <w:t>Target:</w:t>
      </w:r>
      <w:r>
        <w:t xml:space="preserve"> 50% improvement in average session duration and page depth</w:t>
      </w:r>
    </w:p>
    <w:p>
      <w:pPr>
        <w:pStyle w:val="ListBullet"/>
      </w:pPr>
      <w:r>
        <w:rPr>
          <w:b/>
        </w:rPr>
        <w:t>Key Metrics:</w:t>
      </w:r>
      <w:r>
        <w:t xml:space="preserve"> Time on page, bounce rate, content completion rates</w:t>
      </w:r>
    </w:p>
    <w:p>
      <w:pPr>
        <w:pStyle w:val="ListBullet"/>
      </w:pPr>
      <w:r>
        <w:rPr>
          <w:b/>
        </w:rPr>
        <w:t>Milestone Indicators:</w:t>
      </w:r>
      <w:r>
        <w:t xml:space="preserve"> Educational content consumption and tool usage</w:t>
      </w:r>
    </w:p>
    <w:p/>
    <w:p>
      <w:pPr>
        <w:pStyle w:val="Heading3"/>
        <w:jc w:val="left"/>
      </w:pPr>
      <w:r>
        <w:t>Lead Generation &amp; Quality Metrics</w:t>
      </w:r>
    </w:p>
    <w:p>
      <w:r>
        <w:rPr>
          <w:b/>
        </w:rPr>
        <w:t>Lead Volume &amp; Quality:</w:t>
      </w:r>
    </w:p>
    <w:p>
      <w:pPr>
        <w:pStyle w:val="ListBullet"/>
      </w:pPr>
      <w:r>
        <w:rPr>
          <w:b/>
        </w:rPr>
        <w:t>Target:</w:t>
      </w:r>
      <w:r>
        <w:t xml:space="preserve"> 30% increase in qualified leads through content channels</w:t>
      </w:r>
    </w:p>
    <w:p>
      <w:pPr>
        <w:pStyle w:val="ListBullet"/>
      </w:pPr>
      <w:r>
        <w:rPr>
          <w:b/>
        </w:rPr>
        <w:t>Key Metrics:</w:t>
      </w:r>
      <w:r>
        <w:t xml:space="preserve"> Content-to-lead conversion rates, lead quality scores</w:t>
      </w:r>
    </w:p>
    <w:p>
      <w:pPr>
        <w:pStyle w:val="ListBullet"/>
      </w:pPr>
      <w:r>
        <w:rPr>
          <w:b/>
        </w:rPr>
        <w:t>Milestone Indicators:</w:t>
      </w:r>
      <w:r>
        <w:t xml:space="preserve"> Shorter sales cycles through educated prospects</w:t>
      </w:r>
    </w:p>
    <w:p/>
    <w:p>
      <w:r>
        <w:rPr>
          <w:b/>
        </w:rPr>
        <w:t>Customer Education Engagement:</w:t>
      </w:r>
    </w:p>
    <w:p>
      <w:pPr>
        <w:pStyle w:val="ListBullet"/>
      </w:pPr>
      <w:r>
        <w:rPr>
          <w:b/>
        </w:rPr>
        <w:t>Target:</w:t>
      </w:r>
      <w:r>
        <w:t xml:space="preserve"> 25% of prospects engage with educational content before inquiry</w:t>
      </w:r>
    </w:p>
    <w:p>
      <w:pPr>
        <w:pStyle w:val="ListBullet"/>
      </w:pPr>
      <w:r>
        <w:rPr>
          <w:b/>
        </w:rPr>
        <w:t>Key Metrics:</w:t>
      </w:r>
      <w:r>
        <w:t xml:space="preserve"> Resource downloads, calculator usage, guide completion</w:t>
      </w:r>
    </w:p>
    <w:p>
      <w:pPr>
        <w:pStyle w:val="ListBullet"/>
      </w:pPr>
      <w:r>
        <w:rPr>
          <w:b/>
        </w:rPr>
        <w:t>Milestone Indicators:</w:t>
      </w:r>
      <w:r>
        <w:t xml:space="preserve"> Self-service tool adoption and customer success</w:t>
      </w:r>
    </w:p>
    <w:p/>
    <w:p>
      <w:pPr>
        <w:pStyle w:val="Heading3"/>
        <w:jc w:val="left"/>
      </w:pPr>
      <w:r>
        <w:t>Authority &amp; Recognition Metrics</w:t>
      </w:r>
    </w:p>
    <w:p>
      <w:r>
        <w:rPr>
          <w:b/>
        </w:rPr>
        <w:t>Industry Recognition:</w:t>
      </w:r>
    </w:p>
    <w:p>
      <w:pPr>
        <w:pStyle w:val="ListBullet"/>
      </w:pPr>
      <w:r>
        <w:rPr>
          <w:b/>
        </w:rPr>
        <w:t>Target:</w:t>
      </w:r>
      <w:r>
        <w:t xml:space="preserve"> Establish thought leadership position within 18 months</w:t>
      </w:r>
    </w:p>
    <w:p>
      <w:pPr>
        <w:pStyle w:val="ListBullet"/>
      </w:pPr>
      <w:r>
        <w:rPr>
          <w:b/>
        </w:rPr>
        <w:t>Key Metrics:</w:t>
      </w:r>
      <w:r>
        <w:t xml:space="preserve"> Speaking opportunities, media mentions, industry citations</w:t>
      </w:r>
    </w:p>
    <w:p>
      <w:pPr>
        <w:pStyle w:val="ListBullet"/>
      </w:pPr>
      <w:r>
        <w:rPr>
          <w:b/>
        </w:rPr>
        <w:t>Milestone Indicators:</w:t>
      </w:r>
      <w:r>
        <w:t xml:space="preserve"> Third-party recognition and expert positioning</w:t>
      </w:r>
    </w:p>
    <w:p/>
    <w:p>
      <w:r>
        <w:rPr>
          <w:b/>
        </w:rPr>
        <w:t>Competitive Differentiation:</w:t>
      </w:r>
    </w:p>
    <w:p>
      <w:pPr>
        <w:pStyle w:val="ListBullet"/>
      </w:pPr>
      <w:r>
        <w:rPr>
          <w:b/>
        </w:rPr>
        <w:t>Target:</w:t>
      </w:r>
      <w:r>
        <w:t xml:space="preserve"> Premium pricing capability and improved win rates</w:t>
      </w:r>
    </w:p>
    <w:p>
      <w:pPr>
        <w:pStyle w:val="ListBullet"/>
      </w:pPr>
      <w:r>
        <w:rPr>
          <w:b/>
        </w:rPr>
        <w:t>Key Metrics:</w:t>
      </w:r>
      <w:r>
        <w:t xml:space="preserve"> Competitive win rate, pricing premium achievement</w:t>
      </w:r>
    </w:p>
    <w:p>
      <w:pPr>
        <w:pStyle w:val="ListBullet"/>
      </w:pPr>
      <w:r>
        <w:rPr>
          <w:b/>
        </w:rPr>
        <w:t>Milestone Indicators:</w:t>
      </w:r>
      <w:r>
        <w:t xml:space="preserve"> Customer feedback on unique value proposition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Immediate Actions (Next 30 Days)</w:t>
      </w:r>
    </w:p>
    <w:p>
      <w:r>
        <w:rPr>
          <w:b/>
        </w:rPr>
        <w:t>Content Foundation:</w:t>
      </w:r>
    </w:p>
    <w:p>
      <w:pPr>
        <w:pStyle w:val="ListBullet"/>
      </w:pPr>
      <w:r>
        <w:rPr>
          <w:b/>
        </w:rPr>
        <w:t>Biodiesel Calculator Development</w:t>
      </w:r>
      <w:r>
        <w:t xml:space="preserve"> - Interactive tool for environmental impact demonstration</w:t>
      </w:r>
    </w:p>
    <w:p>
      <w:pPr>
        <w:pStyle w:val="ListBullet"/>
      </w:pPr>
      <w:r>
        <w:rPr>
          <w:b/>
        </w:rPr>
        <w:t>Australian Conditions Guide</w:t>
      </w:r>
      <w:r>
        <w:t xml:space="preserve"> - Establish local expertise credibility</w:t>
      </w:r>
    </w:p>
    <w:p>
      <w:pPr>
        <w:pStyle w:val="ListBullet"/>
      </w:pPr>
      <w:r>
        <w:rPr>
          <w:b/>
        </w:rPr>
        <w:t>Four-Pillar Case Study Creation</w:t>
      </w:r>
      <w:r>
        <w:t xml:space="preserve"> - Document integrated solution success stories</w:t>
      </w:r>
    </w:p>
    <w:p/>
    <w:p>
      <w:r>
        <w:rPr>
          <w:b/>
        </w:rPr>
        <w:t>Technical Preparation:</w:t>
      </w:r>
    </w:p>
    <w:p>
      <w:pPr>
        <w:pStyle w:val="ListBullet"/>
      </w:pPr>
      <w:r>
        <w:rPr>
          <w:b/>
        </w:rPr>
        <w:t>Website Architecture Planning</w:t>
      </w:r>
      <w:r>
        <w:t xml:space="preserve"> - Structure for educational content and interactive tools</w:t>
      </w:r>
    </w:p>
    <w:p>
      <w:pPr>
        <w:pStyle w:val="ListBullet"/>
      </w:pPr>
      <w:r>
        <w:rPr>
          <w:b/>
        </w:rPr>
        <w:t>SEO Foundation</w:t>
      </w:r>
      <w:r>
        <w:t xml:space="preserve"> - Keyword optimisation for sustainability and integration terms</w:t>
      </w:r>
    </w:p>
    <w:p>
      <w:pPr>
        <w:pStyle w:val="ListBullet"/>
      </w:pPr>
      <w:r>
        <w:rPr>
          <w:b/>
        </w:rPr>
        <w:t>Analytics Implementation</w:t>
      </w:r>
      <w:r>
        <w:t xml:space="preserve"> - Tracking for content engagement and conversion measurement</w:t>
      </w:r>
    </w:p>
    <w:p/>
    <w:p>
      <w:pPr>
        <w:pStyle w:val="Heading3"/>
        <w:jc w:val="left"/>
      </w:pPr>
      <w:r>
        <w:t>2. Short-term Strategy (Months 2-6)</w:t>
      </w:r>
    </w:p>
    <w:p>
      <w:r>
        <w:rPr>
          <w:b/>
        </w:rPr>
        <w:t>Authority Building:</w:t>
      </w:r>
    </w:p>
    <w:p>
      <w:pPr>
        <w:pStyle w:val="ListBullet"/>
      </w:pPr>
      <w:r>
        <w:rPr>
          <w:b/>
        </w:rPr>
        <w:t>Technical Education Centre</w:t>
      </w:r>
      <w:r>
        <w:t xml:space="preserve"> - Comprehensive resource development for customer education</w:t>
      </w:r>
    </w:p>
    <w:p>
      <w:pPr>
        <w:pStyle w:val="ListBullet"/>
      </w:pPr>
      <w:r>
        <w:rPr>
          <w:b/>
        </w:rPr>
        <w:t>Industry-Specific Content</w:t>
      </w:r>
      <w:r>
        <w:t xml:space="preserve"> - Tailored solutions for construction, mining, data centre markets</w:t>
      </w:r>
    </w:p>
    <w:p>
      <w:pPr>
        <w:pStyle w:val="ListBullet"/>
      </w:pPr>
      <w:r>
        <w:rPr>
          <w:b/>
        </w:rPr>
        <w:t>Interactive Tool Suite</w:t>
      </w:r>
      <w:r>
        <w:t xml:space="preserve"> - Equipment selection, sizing, and cost comparison calculators</w:t>
      </w:r>
    </w:p>
    <w:p/>
    <w:p>
      <w:r>
        <w:rPr>
          <w:b/>
        </w:rPr>
        <w:t>Market Positioning:</w:t>
      </w:r>
    </w:p>
    <w:p>
      <w:pPr>
        <w:pStyle w:val="ListBullet"/>
      </w:pPr>
      <w:r>
        <w:rPr>
          <w:b/>
        </w:rPr>
        <w:t>Sustainability Leadership</w:t>
      </w:r>
      <w:r>
        <w:t xml:space="preserve"> - Position as Australia's leading biodiesel and green power expert</w:t>
      </w:r>
    </w:p>
    <w:p>
      <w:pPr>
        <w:pStyle w:val="ListBullet"/>
      </w:pPr>
      <w:r>
        <w:rPr>
          <w:b/>
        </w:rPr>
        <w:t>Integration Excellence</w:t>
      </w:r>
      <w:r>
        <w:t xml:space="preserve"> - Establish four-pillar service coordination as key differentiator</w:t>
      </w:r>
    </w:p>
    <w:p>
      <w:pPr>
        <w:pStyle w:val="ListBullet"/>
      </w:pPr>
      <w:r>
        <w:rPr>
          <w:b/>
        </w:rPr>
        <w:t>Australian Expertise</w:t>
      </w:r>
      <w:r>
        <w:t xml:space="preserve"> - Build reputation for local conditions knowledge and solutions</w:t>
      </w:r>
    </w:p>
    <w:p/>
    <w:p>
      <w:pPr>
        <w:pStyle w:val="Heading3"/>
        <w:jc w:val="left"/>
      </w:pPr>
      <w:r>
        <w:t>3. Long-term Vision (Months 7-18)</w:t>
      </w:r>
    </w:p>
    <w:p>
      <w:r>
        <w:rPr>
          <w:b/>
        </w:rPr>
        <w:t>Thought Leadership:</w:t>
      </w:r>
    </w:p>
    <w:p>
      <w:pPr>
        <w:pStyle w:val="ListBullet"/>
      </w:pPr>
      <w:r>
        <w:rPr>
          <w:b/>
        </w:rPr>
        <w:t>Original Research Programme</w:t>
      </w:r>
      <w:r>
        <w:t xml:space="preserve"> - Environmental impact studies and industry analysis</w:t>
      </w:r>
    </w:p>
    <w:p>
      <w:pPr>
        <w:pStyle w:val="ListBullet"/>
      </w:pPr>
      <w:r>
        <w:rPr>
          <w:b/>
        </w:rPr>
        <w:t>Customer Education Platform</w:t>
      </w:r>
      <w:r>
        <w:t xml:space="preserve"> - Certification and training programme development</w:t>
      </w:r>
    </w:p>
    <w:p>
      <w:pPr>
        <w:pStyle w:val="ListBullet"/>
      </w:pPr>
      <w:r>
        <w:rPr>
          <w:b/>
        </w:rPr>
        <w:t>Industry Influence</w:t>
      </w:r>
      <w:r>
        <w:t xml:space="preserve"> - Speaking, publishing, and media presence establishment</w:t>
      </w:r>
    </w:p>
    <w:p/>
    <w:p>
      <w:r>
        <w:rPr>
          <w:b/>
        </w:rPr>
        <w:t>Market Leadership:</w:t>
      </w:r>
    </w:p>
    <w:p>
      <w:pPr>
        <w:pStyle w:val="ListBullet"/>
      </w:pPr>
      <w:r>
        <w:rPr>
          <w:b/>
        </w:rPr>
        <w:t>Premium Positioning</w:t>
      </w:r>
      <w:r>
        <w:t xml:space="preserve"> - Justify higher pricing through demonstrated expertise and value</w:t>
      </w:r>
    </w:p>
    <w:p>
      <w:pPr>
        <w:pStyle w:val="ListBullet"/>
      </w:pPr>
      <w:r>
        <w:rPr>
          <w:b/>
        </w:rPr>
        <w:t>Geographic Expansion</w:t>
      </w:r>
      <w:r>
        <w:t xml:space="preserve"> - Leverage content success for new market penetration</w:t>
      </w:r>
    </w:p>
    <w:p>
      <w:pPr>
        <w:pStyle w:val="ListBullet"/>
      </w:pPr>
      <w:r>
        <w:rPr>
          <w:b/>
        </w:rPr>
        <w:t>Service Innovation</w:t>
      </w:r>
      <w:r>
        <w:t xml:space="preserve"> - Use customer insights for new service development</w:t>
      </w:r>
    </w:p>
    <w:p/>
    <w:p>
      <w:pPr>
        <w:pStyle w:val="Heading3"/>
        <w:jc w:val="left"/>
      </w:pPr>
      <w:r>
        <w:t>4. Continuous Optimisation</w:t>
      </w:r>
    </w:p>
    <w:p>
      <w:r>
        <w:rPr>
          <w:b/>
        </w:rPr>
        <w:t>Performance Monitoring:</w:t>
      </w:r>
    </w:p>
    <w:p>
      <w:pPr>
        <w:pStyle w:val="ListBullet"/>
      </w:pPr>
      <w:r>
        <w:rPr>
          <w:b/>
        </w:rPr>
        <w:t>Monthly Content Performance Reviews</w:t>
      </w:r>
      <w:r>
        <w:t xml:space="preserve"> - Usage, engagement, and conversion analysis</w:t>
      </w:r>
    </w:p>
    <w:p>
      <w:pPr>
        <w:pStyle w:val="ListBullet"/>
      </w:pPr>
      <w:r>
        <w:rPr>
          <w:b/>
        </w:rPr>
        <w:t>Quarterly Strategy Adjustments</w:t>
      </w:r>
      <w:r>
        <w:t xml:space="preserve"> - Market feedback integration and approach refinement</w:t>
      </w:r>
    </w:p>
    <w:p>
      <w:pPr>
        <w:pStyle w:val="ListBullet"/>
      </w:pPr>
      <w:r>
        <w:rPr>
          <w:b/>
        </w:rPr>
        <w:t>Annual Strategic Review</w:t>
      </w:r>
      <w:r>
        <w:t xml:space="preserve"> - Complete assessment and next-phase planning</w:t>
      </w:r>
    </w:p>
    <w:p/>
    <w:p>
      <w:r>
        <w:rPr>
          <w:b/>
        </w:rPr>
        <w:t>Customer Feedback Integration:</w:t>
      </w:r>
    </w:p>
    <w:p>
      <w:pPr>
        <w:pStyle w:val="ListBullet"/>
      </w:pPr>
      <w:r>
        <w:rPr>
          <w:b/>
        </w:rPr>
        <w:t>Regular User Research</w:t>
      </w:r>
      <w:r>
        <w:t xml:space="preserve"> - Content effectiveness and need identification</w:t>
      </w:r>
    </w:p>
    <w:p>
      <w:pPr>
        <w:pStyle w:val="ListBullet"/>
      </w:pPr>
      <w:r>
        <w:rPr>
          <w:b/>
        </w:rPr>
        <w:t>Customer Advisory Programme</w:t>
      </w:r>
      <w:r>
        <w:t xml:space="preserve"> - Strategic input from key clients</w:t>
      </w:r>
    </w:p>
    <w:p>
      <w:pPr>
        <w:pStyle w:val="ListBullet"/>
      </w:pPr>
      <w:r>
        <w:rPr>
          <w:b/>
        </w:rPr>
        <w:t>Industry Trend Monitoring</w:t>
      </w:r>
      <w:r>
        <w:t xml:space="preserve"> - Continuous market intelligence and adaptation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Research Methodology Summary</w:t>
      </w:r>
    </w:p>
    <w:p/>
    <w:p>
      <w:r>
        <w:rPr>
          <w:b/>
        </w:rPr>
        <w:t>Data Collection Methods:</w:t>
      </w:r>
    </w:p>
    <w:p>
      <w:pPr>
        <w:pStyle w:val="ListBullet"/>
      </w:pPr>
      <w:r>
        <w:t>Comprehensive competitor content audit across 12 major Australian providers</w:t>
      </w:r>
    </w:p>
    <w:p>
      <w:pPr>
        <w:pStyle w:val="ListBullet"/>
      </w:pPr>
      <w:r>
        <w:t>Industry publication analysis for professional insights and market trends</w:t>
      </w:r>
    </w:p>
    <w:p>
      <w:pPr>
        <w:pStyle w:val="ListBullet"/>
      </w:pPr>
      <w:r>
        <w:t>Professional association research for industry standards and requirements</w:t>
      </w:r>
    </w:p>
    <w:p>
      <w:pPr>
        <w:pStyle w:val="ListBullet"/>
      </w:pPr>
      <w:r>
        <w:t>Geographic market analysis for regional opportunities and characteristics</w:t>
      </w:r>
    </w:p>
    <w:p/>
    <w:p>
      <w:r>
        <w:rPr>
          <w:b/>
        </w:rPr>
        <w:t>Analysis Framework:</w:t>
      </w:r>
    </w:p>
    <w:p>
      <w:pPr>
        <w:pStyle w:val="ListBullet"/>
      </w:pPr>
      <w:r>
        <w:t>Competitive positioning matrix across four service pillars</w:t>
      </w:r>
    </w:p>
    <w:p>
      <w:pPr>
        <w:pStyle w:val="ListBullet"/>
      </w:pPr>
      <w:r>
        <w:t>Content gap identification through systematic audit and comparison</w:t>
      </w:r>
    </w:p>
    <w:p>
      <w:pPr>
        <w:pStyle w:val="ListBullet"/>
      </w:pPr>
      <w:r>
        <w:t>Audience persona development through industry analysis and professional insights</w:t>
      </w:r>
    </w:p>
    <w:p>
      <w:pPr>
        <w:pStyle w:val="ListBullet"/>
      </w:pPr>
      <w:r>
        <w:t>Keyword opportunity assessment through competitor content and search pattern analysis</w:t>
      </w:r>
    </w:p>
    <w:p/>
    <w:p>
      <w:r>
        <w:rPr>
          <w:b/>
        </w:rPr>
        <w:t>Validation Approaches:</w:t>
      </w:r>
    </w:p>
    <w:p>
      <w:pPr>
        <w:pStyle w:val="ListBullet"/>
      </w:pPr>
      <w:r>
        <w:t>Cross-referenced findings across multiple data sources and competitors</w:t>
      </w:r>
    </w:p>
    <w:p>
      <w:pPr>
        <w:pStyle w:val="ListBullet"/>
      </w:pPr>
      <w:r>
        <w:t>Industry trend verification through professional publication analysis</w:t>
      </w:r>
    </w:p>
    <w:p>
      <w:pPr>
        <w:pStyle w:val="ListBullet"/>
      </w:pPr>
      <w:r>
        <w:t>Market opportunity validation through search pattern and competitor investment analysis</w:t>
      </w:r>
    </w:p>
    <w:p>
      <w:pPr>
        <w:pStyle w:val="ListBullet"/>
      </w:pPr>
      <w:r>
        <w:t>Strategic recommendations tested against competitor positioning and market dynamics</w:t>
      </w:r>
    </w:p>
    <w:p/>
    <w:p>
      <w:r>
        <w:rPr>
          <w:b/>
        </w:rPr>
        <w:t>Quality Assurance:</w:t>
      </w:r>
    </w:p>
    <w:p>
      <w:pPr>
        <w:pStyle w:val="ListBullet"/>
      </w:pPr>
      <w:r>
        <w:t>All statistics and claims supported by specific source citations</w:t>
      </w:r>
    </w:p>
    <w:p>
      <w:pPr>
        <w:pStyle w:val="ListBullet"/>
      </w:pPr>
      <w:r>
        <w:t>Analysis methodology documented for repeatability and validation</w:t>
      </w:r>
    </w:p>
    <w:p>
      <w:pPr>
        <w:pStyle w:val="ListBullet"/>
      </w:pPr>
      <w:r>
        <w:t>Assumptions and limitations clearly identified and acknowledged</w:t>
      </w:r>
    </w:p>
    <w:p>
      <w:pPr>
        <w:pStyle w:val="ListBullet"/>
      </w:pPr>
      <w:r>
        <w:t>Strategic recommendations aligned with market evidence and competitive analysis</w:t>
      </w:r>
    </w:p>
    <w:p/>
    <w:p>
      <w:r>
        <w:rPr>
          <w:b/>
        </w:rPr>
        <w:t>Source Documentation:</w:t>
      </w:r>
    </w:p>
    <w:p>
      <w:pPr>
        <w:pStyle w:val="ListBullet"/>
      </w:pPr>
      <w:r>
        <w:rPr>
          <w:b/>
        </w:rPr>
        <w:t>Competitive Analysis:</w:t>
      </w:r>
      <w:r>
        <w:t xml:space="preserve"> 12 Australian equipment hire provider websites and content</w:t>
      </w:r>
    </w:p>
    <w:p>
      <w:pPr>
        <w:pStyle w:val="ListBullet"/>
      </w:pPr>
      <w:r>
        <w:rPr>
          <w:b/>
        </w:rPr>
        <w:t>Industry Research:</w:t>
      </w:r>
      <w:r>
        <w:t xml:space="preserve"> Australian Mining, Construction News, Data Centre Dynamics publications</w:t>
      </w:r>
    </w:p>
    <w:p>
      <w:pPr>
        <w:pStyle w:val="ListBullet"/>
      </w:pPr>
      <w:r>
        <w:rPr>
          <w:b/>
        </w:rPr>
        <w:t>Professional Associations:</w:t>
      </w:r>
      <w:r>
        <w:t xml:space="preserve"> ACHS, MICA, ACS member standards and requirements</w:t>
      </w:r>
    </w:p>
    <w:p>
      <w:pPr>
        <w:pStyle w:val="ListBullet"/>
      </w:pPr>
      <w:r>
        <w:rPr>
          <w:b/>
        </w:rPr>
        <w:t>Market Intelligence:</w:t>
      </w:r>
      <w:r>
        <w:t xml:space="preserve"> Equipment hire industry reports and government infrastructure data</w:t>
      </w:r>
    </w:p>
    <w:p/>
    <w:p>
      <w:r>
        <w:t>This integrated research provides Green Power Solutions with comprehensive market intelligence and strategic direction for establishing content leadership and competitive differentiation across their four pillar services in the Australian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