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自回归生成模型：理论推导与 PixelCNN 实验</w:t>
      </w:r>
    </w:p>
    <w:p>
      <w:pPr>
        <w:pStyle w:val="Subtitle"/>
        <w:jc w:val="center"/>
      </w:pPr>
      <w:r>
        <w:t>Autoregressive Generative Model</w:t>
      </w:r>
    </w:p>
    <w:p>
      <w:pPr>
        <w:spacing w:line="300" w:lineRule="auto"/>
        <w:ind w:firstLine="0"/>
      </w:pPr>
      <w:r>
        <w:rPr>
          <w:sz w:val="19"/>
        </w:rPr>
        <w:t>摘要：证明二值自回归模型的负对数似然与二元交叉熵等价，并在二值 MNIST 上完成 PixelCNN 的实现、训练、评估与逐像素生成。实验包括 25 轮初步训练、三组 100 轮超参数对照、双分支门控结构对照，以及同一检查点的低学习率续训。各阶段使用相同数据划分，以验证 NLL 选择配置和权重。测试 NLL 从初步训练的 62.1889 降至 54.6024 nats/image，相对独立像素基线下降 73.47%。结合完整训练轨迹和固定种子样本，分析上下文范围、过拟合与生成图像的笔画连贯性。</w:t>
      </w:r>
    </w:p>
    <w:p>
      <w:pPr>
        <w:spacing w:line="300" w:lineRule="auto"/>
        <w:ind w:firstLine="0"/>
      </w:pPr>
      <w:r>
        <w:rPr>
          <w:sz w:val="19"/>
        </w:rPr>
        <w:t>关键词：自回归模型；PixelCNN；负对数似然；交叉熵；MNIST</w:t>
      </w:r>
    </w:p>
    <w:p>
      <w:pPr>
        <w:pStyle w:val="Heading1"/>
      </w:pPr>
      <w:r>
        <w:t>1　负对数似然与交叉熵的等价性</w:t>
      </w:r>
    </w:p>
    <w:p>
      <w:pPr>
        <w:ind w:firstLine="440"/>
      </w:pPr>
      <w:r>
        <w:t xml:space="preserve">证明：设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nor/>
          </m:rPr>
          <m:t>∈</m:t>
        </m:r>
        <m:r>
          <m:rPr/>
          <m:t>{</m:t>
        </m:r>
        <m:r>
          <m:t>0</m:t>
        </m:r>
        <m:r>
          <m:rPr>
            <m:nor/>
          </m:rPr>
          <m:t>,</m:t>
        </m:r>
        <m:r>
          <m:t>1</m:t>
        </m:r>
        <m:r>
          <m:rPr/>
          <m:t>}</m:t>
        </m:r>
      </m:oMath>
      <w:r>
        <w:t xml:space="preserve">，记 </w:t>
      </w:r>
      <m:oMath>
        <m:sSub>
          <m:e>
            <m:r>
              <m:t>x</m:t>
            </m:r>
          </m:e>
          <m:sub>
            <m:r>
              <m:rPr>
                <m:nor/>
              </m:rPr>
              <m:t>&lt;</m:t>
            </m:r>
            <m:r>
              <m:t>i</m:t>
            </m:r>
          </m:sub>
        </m:sSub>
        <m:r>
          <m:rPr>
            <m:nor/>
          </m:rPr>
          <m:t>=</m:t>
        </m:r>
        <m:r>
          <m:rPr>
            <m:nor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</m:rPr>
          <m:t>,</m:t>
        </m:r>
        <m:r>
          <m:rPr>
            <m:nor/>
          </m:rPr>
          <m:t>…</m:t>
        </m:r>
        <m:r>
          <m:rPr>
            <m:nor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nor/>
              </m:rPr>
              <m:t>−</m:t>
            </m:r>
            <m:r>
              <m:t>1</m:t>
            </m:r>
          </m:sub>
        </m:sSub>
        <m:r>
          <m:rPr>
            <m:nor/>
          </m:rPr>
          <m:t>)</m:t>
        </m:r>
      </m:oMath>
      <w:r>
        <w:t xml:space="preserve">，并令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nor/>
          </m:rPr>
          <m:t>=</m:t>
        </m:r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nor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nor/>
          </m:rPr>
          <m:t>=</m:t>
        </m:r>
        <m:r>
          <m:t>1</m:t>
        </m:r>
        <m:r>
          <m:rPr>
            <m:nor/>
          </m:rPr>
          <m:t>|</m:t>
        </m:r>
        <m:sSub>
          <m:e>
            <m:r>
              <m:t>x</m:t>
            </m:r>
          </m:e>
          <m:sub>
            <m:r>
              <m:rPr>
                <m:nor/>
              </m:rPr>
              <m:t>&lt;</m:t>
            </m:r>
            <m:r>
              <m:t>i</m:t>
            </m:r>
          </m:sub>
        </m:sSub>
        <m:r>
          <m:rPr>
            <m:nor/>
          </m:rPr>
          <m:t>)</m:t>
        </m:r>
      </m:oMath>
      <w:r>
        <w:t>。则真实取值的条件概率为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nor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nor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nor/>
          </m:rPr>
          <m:t>|</m:t>
        </m:r>
        <m:sSub>
          <m:e>
            <m:r>
              <m:t>x</m:t>
            </m:r>
          </m:e>
          <m:sub>
            <m:r>
              <m:rPr>
                <m:nor/>
              </m:rPr>
              <m:t>&lt;</m:t>
            </m:r>
            <m:r>
              <m:t>i</m:t>
            </m:r>
          </m:sub>
        </m:sSub>
        <m:r>
          <m:rPr>
            <m:nor/>
          </m:rPr>
          <m:t>)</m:t>
        </m:r>
        <m:r>
          <m:rPr>
            <m:nor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p>
        </m:sSubSup>
        <m:sSup>
          <m:e>
            <m:r>
              <m:rPr>
                <m:nor/>
              </m:rPr>
              <m:t>(</m:t>
            </m:r>
            <m:r>
              <m:t>1</m:t>
            </m:r>
            <m:r>
              <m:rPr>
                <m:nor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  <m:r>
              <m:rPr>
                <m:nor/>
              </m:rPr>
              <m:t>)</m:t>
            </m:r>
          </m:e>
          <m:sup>
            <m:r>
              <m:t>1</m:t>
            </m:r>
            <m:r>
              <m:rPr>
                <m:nor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p>
        </m:sSup>
      </m:oMath>
      <w:r>
        <w:tab/>
        <w:t>(1)</w:t>
      </w:r>
    </w:p>
    <w:p>
      <w:pPr>
        <w:ind w:firstLine="440"/>
      </w:pPr>
      <w:r>
        <w:t>由概率链式法则及对数运算法则，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r>
          <m:rPr>
            <m:nor/>
          </m:rPr>
          <m:t>NLL</m:t>
        </m:r>
        <m:r>
          <m:rPr>
            <m:nor/>
          </m:rPr>
          <m:t>(</m:t>
        </m:r>
        <m:r>
          <m:t>x</m:t>
        </m:r>
        <m:r>
          <m:rPr>
            <m:nor/>
          </m:rPr>
          <m:t>)</m:t>
        </m:r>
        <m:r>
          <m:rPr>
            <m:nor/>
          </m:rPr>
          <m:t>=</m:t>
        </m:r>
        <m:r>
          <m:rPr>
            <m:nor/>
          </m:rPr>
          <m:t>−</m:t>
        </m:r>
        <m:r>
          <m:rPr>
            <m:nor/>
          </m:rPr>
          <m:t>ln</m:t>
        </m:r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nor/>
          </m:rPr>
          <m:t>(</m:t>
        </m:r>
        <m:r>
          <m:t>x</m:t>
        </m:r>
        <m:r>
          <m:rPr>
            <m:nor/>
          </m:rPr>
          <m:t>)</m:t>
        </m:r>
        <m:r>
          <m:rPr>
            <m:nor/>
          </m:rPr>
          <m:t>=</m:t>
        </m:r>
        <m:r>
          <m:rPr>
            <m:nor/>
          </m:rPr>
          <m:t>−</m:t>
        </m:r>
        <m:r>
          <m:rPr>
            <m:nor/>
          </m:rPr>
          <m:t>ln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nor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sup>
            </m:sSubSup>
            <m:sSup>
              <m:e>
                <m:r>
                  <m:rPr>
                    <m:nor/>
                  </m:rPr>
                  <m:t>(</m:t>
                </m:r>
                <m:r>
                  <m:t>1</m:t>
                </m:r>
                <m:r>
                  <m:rPr>
                    <m:nor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</m:rPr>
                  <m:t>)</m:t>
                </m:r>
              </m:e>
              <m:sup>
                <m:r>
                  <m:t>1</m:t>
                </m:r>
                <m:r>
                  <m:rPr>
                    <m:nor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ab/>
        <w:t>(2)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r>
          <m:rPr>
            <m:nor/>
          </m:rPr>
          <m:t>=</m:t>
        </m:r>
        <m:r>
          <m:rPr>
            <m:nor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nor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nor/>
              </m:rPr>
              <m:t>[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nor/>
              </m:rPr>
              <m:t>ln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  <m:r>
              <m:rPr>
                <m:nor/>
              </m:rPr>
              <m:t>+</m:t>
            </m:r>
            <m:r>
              <m:rPr>
                <m:nor/>
              </m:rPr>
              <m:t>(</m:t>
            </m:r>
            <m:r>
              <m:t>1</m:t>
            </m:r>
            <m:r>
              <m:rPr>
                <m:nor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nor/>
              </m:rPr>
              <m:t>)</m:t>
            </m:r>
            <m:r>
              <m:rPr>
                <m:nor/>
              </m:rPr>
              <m:t>ln</m:t>
            </m:r>
            <m:r>
              <m:rPr>
                <m:nor/>
              </m:rPr>
              <m:t>(</m:t>
            </m:r>
            <m:r>
              <m:t>1</m:t>
            </m:r>
            <m:r>
              <m:rPr>
                <m:nor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  <m:r>
              <m:rPr>
                <m:nor/>
              </m:rPr>
              <m:t>)</m:t>
            </m:r>
            <m:r>
              <m:rPr>
                <m:nor/>
              </m:rPr>
              <m:t>]</m:t>
            </m:r>
          </m:e>
        </m:nary>
      </m:oMath>
      <w:r>
        <w:tab/>
        <w:t>(3)</w:t>
      </w:r>
    </w:p>
    <w:p>
      <w:pPr>
        <w:ind w:firstLine="440"/>
      </w:pPr>
      <w:r>
        <w:t xml:space="preserve">因真实标签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nor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，故 </w:t>
      </w:r>
      <m:oMath>
        <m:r>
          <m:rPr>
            <m:nor/>
          </m:rPr>
          <m:t>NLL</m:t>
        </m:r>
        <m:r>
          <m:rPr>
            <m:nor/>
          </m:rPr>
          <m:t>(</m:t>
        </m:r>
        <m:r>
          <m:t>x</m:t>
        </m:r>
        <m:r>
          <m:rPr>
            <m:nor/>
          </m:rPr>
          <m:t>)</m:t>
        </m:r>
        <m:r>
          <m:rPr>
            <m:nor/>
          </m:rPr>
          <m:t>=</m:t>
        </m:r>
        <m:r>
          <m:rPr>
            <m:nor/>
          </m:rPr>
          <m:t>CrossEntropy</m:t>
        </m:r>
        <m:r>
          <m:rPr>
            <m:nor/>
          </m:rPr>
          <m:t>(</m:t>
        </m:r>
        <m:r>
          <m:t>π</m:t>
        </m:r>
        <m:r>
          <m:rPr>
            <m:nor/>
          </m:rPr>
          <m:t>,</m:t>
        </m:r>
        <m:r>
          <m:t>x</m:t>
        </m:r>
        <m:r>
          <m:rPr>
            <m:nor/>
          </m:rPr>
          <m:t>)</m:t>
        </m:r>
      </m:oMath>
      <w:r>
        <w:t>。证毕。</w:t>
      </w:r>
    </w:p>
    <w:p>
      <w:pPr>
        <w:pStyle w:val="Heading1"/>
      </w:pPr>
      <w:r>
        <w:t>2　PixelCNN 的实现</w:t>
      </w:r>
    </w:p>
    <w:p>
      <w:pPr>
        <w:spacing w:line="300" w:lineRule="auto"/>
        <w:ind w:firstLine="440"/>
      </w:pPr>
      <w:r>
        <w:rPr>
          <w:sz w:val="19"/>
        </w:rPr>
        <w:t>训练使用 BCEWithLogitsLoss 直接计算 logits 的损失，以保证数值稳定</w:t>
      </w:r>
      <w:r>
        <w:rPr>
          <w:sz w:val="19"/>
          <w:vertAlign w:val="superscript"/>
        </w:rPr>
        <w:t>[1]</w:t>
      </w:r>
      <w:r>
        <w:rPr>
          <w:sz w:val="19"/>
        </w:rPr>
        <w:t>。平均 BCE 按像素统计；每图平均 NLL 为平均 BCE 的 784 倍，bits/pixel 为平均 BCE 除以 ln 2。</w:t>
      </w:r>
    </w:p>
    <w:p>
      <w:pPr>
        <w:pStyle w:val="Heading2"/>
      </w:pPr>
      <w:r>
        <w:t>2.1　A/B 型掩码卷积</w:t>
      </w:r>
    </w:p>
    <w:p>
      <w:pPr>
        <w:ind w:firstLine="440"/>
      </w:pPr>
      <w:r>
        <w:t>按行扫描时，A 型掩码仅保留中心上方以及同一行中心左侧的权重；B 型再保留中心位置。首层使用 A 型，其后的隐藏层使用 B 型</w:t>
      </w:r>
      <w:r>
        <w:rPr>
          <w:sz w:val="22"/>
          <w:vertAlign w:val="superscript"/>
        </w:rPr>
        <w:t>[2]</w:t>
      </w:r>
      <w:r>
        <w:t>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51999" cy="1938352"/>
            <wp:docPr id="1" name="Picture 1" descr="图 1　5×5 的 A/B 型掩码。1 表示保留权重，中心位置用黑框标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_ty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193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　5×5 的 A/B 型掩码。1 表示保留权重，中心位置用黑框标出。</w:t>
      </w:r>
    </w:p>
    <w:p>
      <w:pPr>
        <w:ind w:firstLine="440"/>
      </w:pPr>
      <w:r>
        <w:t>实现中将掩码注册为 buffer，并在前向计算中与卷积权重相乘。这样掩码随模型迁移设备和保存，且被遮蔽的参数自动获得零梯度。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nor/>
          </m:rPr>
          <m:t>=</m:t>
        </m:r>
        <m:r>
          <m:t>W</m:t>
        </m:r>
        <m:r>
          <m:rPr>
            <m:nor/>
          </m:rPr>
          <m:t>⊙</m:t>
        </m:r>
        <m:r>
          <m:t>M</m:t>
        </m:r>
        <m:r>
          <m:rPr>
            <m:nor/>
          </m:rPr>
          <m:t>,</m:t>
        </m:r>
        <m:r>
          <m:t>  </m:t>
        </m:r>
        <m:f>
          <m:fPr>
            <m:type m:val="bar"/>
          </m:fPr>
          <m:num>
            <m:r>
              <m:rPr>
                <m:nor/>
              </m:rPr>
              <m:t>∂</m:t>
            </m:r>
            <m:r>
              <m:t>L</m:t>
            </m:r>
          </m:num>
          <m:den>
            <m:r>
              <m:rPr>
                <m:nor/>
              </m:rPr>
              <m:t>∂</m:t>
            </m:r>
            <m:r>
              <m:t>W</m:t>
            </m:r>
          </m:den>
        </m:f>
        <m:r>
          <m:rPr>
            <m:nor/>
          </m:rPr>
          <m:t>=</m:t>
        </m:r>
        <m:f>
          <m:fPr>
            <m:type m:val="bar"/>
          </m:fPr>
          <m:num>
            <m:r>
              <m:rPr>
                <m:nor/>
              </m:rPr>
              <m:t>∂</m:t>
            </m:r>
            <m:r>
              <m:t>L</m:t>
            </m:r>
          </m:num>
          <m:den>
            <m:r>
              <m:rPr>
                <m:nor/>
              </m:rPr>
              <m:t>∂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rPr>
            <m:nor/>
          </m:rPr>
          <m:t>⊙</m:t>
        </m:r>
        <m:r>
          <m:t>M</m:t>
        </m:r>
      </m:oMath>
      <w:r>
        <w:tab/>
        <w:t>(4)</w:t>
      </w:r>
    </w:p>
    <w:p>
      <w:pPr>
        <w:spacing w:line="300" w:lineRule="auto"/>
        <w:ind w:firstLine="440"/>
      </w:pPr>
      <w:r>
        <w:rPr>
          <w:sz w:val="19"/>
        </w:rPr>
        <w:t>卷积使用奇数大小的核、步长 1、中心对齐的零填充；不使用可能引入非因果信息的反射或循环填充。</w:t>
      </w:r>
    </w:p>
    <w:p>
      <w:pPr>
        <w:pStyle w:val="Heading2"/>
      </w:pPr>
      <w:r>
        <w:t>2.2　网络结构</w:t>
      </w:r>
    </w:p>
    <w:p>
      <w:pPr>
        <w:ind w:firstLine="440"/>
      </w:pPr>
      <w:r>
        <w:t>基础结构为 64 通道、7×7 A 型首层和 12 个 3×3 B 型残差块。其名义感受野为 31×31，但沿因果方向最多读取前 15 行，在图像下半部不能覆盖全部既有像素。结构对照保留通道数和块数，参考双分支门控 PixelCNN</w:t>
      </w:r>
      <w:r>
        <w:rPr>
          <w:sz w:val="22"/>
          <w:vertAlign w:val="superscript"/>
        </w:rPr>
        <w:t>[3]</w:t>
      </w:r>
      <w:r>
        <w:t>，分别传播上方行与同一行左侧的信息，并使用空洞卷积扩大可达范围。</w:t>
      </w:r>
    </w:p>
    <w:p>
      <w:pPr>
        <w:pStyle w:val="Caption"/>
        <w:keepNext/>
        <w:keepLines/>
        <w:jc w:val="center"/>
      </w:pPr>
      <w:r>
        <w:t>表 1　双分支门控 PixelCNN 的实现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1417"/>
        <w:gridCol w:w="5953"/>
        <w:gridCol w:w="1701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5953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运算</w:t>
            </w:r>
          </w:p>
        </w:tc>
        <w:tc>
          <w:tcPr>
            <w:tcW w:type="dxa" w:w="170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输出通道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二值 MNIST；保持 28×28 分辨率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纵向首层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7×7 严格上方掩码 → 门控；中心行全部遮蔽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横向首层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1×7 A 型掩码；加纵向投影 → 门控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门控块 ×12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逐位置通道归一化 → 掩码卷积 → 门控</w:t>
              <w:br/>
              <w:t>纵向 3×3 专用掩码、横向 1×3 B 型；仅纵向 → 横向传递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64 / 分支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空洞率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按 [1, 2, 4] 重复 4 次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输出头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逐位置归一化及激活；1×1 B 型卷积输出 logit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门控采用 tanh 与 sigmoid 的逐元素乘积；横向分支通过逐点投影更新残差，纵向分支不作残差相加：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r>
          <m:t>g</m:t>
        </m:r>
        <m:r>
          <m:rPr>
            <m:nor/>
          </m:rPr>
          <m:t>(</m:t>
        </m:r>
        <m:r>
          <m:t>a</m:t>
        </m:r>
        <m:r>
          <m:rPr>
            <m:nor/>
          </m:rPr>
          <m:t>,</m:t>
        </m:r>
        <m:r>
          <m:t>b</m:t>
        </m:r>
        <m:r>
          <m:rPr>
            <m:nor/>
          </m:rPr>
          <m:t>)</m:t>
        </m:r>
        <m:r>
          <m:rPr>
            <m:nor/>
          </m:rPr>
          <m:t>=</m:t>
        </m:r>
        <m:r>
          <m:rPr>
            <m:nor/>
          </m:rPr>
          <m:t>tanh</m:t>
        </m:r>
        <m:r>
          <m:rPr>
            <m:nor/>
          </m:rPr>
          <m:t>(</m:t>
        </m:r>
        <m:r>
          <m:t>a</m:t>
        </m:r>
        <m:r>
          <m:rPr>
            <m:nor/>
          </m:rPr>
          <m:t>)</m:t>
        </m:r>
        <m:r>
          <m:rPr>
            <m:nor/>
          </m:rPr>
          <m:t>⊙</m:t>
        </m:r>
        <m:r>
          <m:t>σ</m:t>
        </m:r>
        <m:r>
          <m:rPr>
            <m:nor/>
          </m:rPr>
          <m:t>(</m:t>
        </m:r>
        <m:r>
          <m:t>b</m:t>
        </m:r>
        <m:r>
          <m:rPr>
            <m:nor/>
          </m:rPr>
          <m:t>)</m:t>
        </m:r>
        <m:r>
          <m:rPr>
            <m:nor/>
          </m:rPr>
          <m:t>,</m:t>
        </m:r>
        <m:r>
          <m:t>  </m:t>
        </m:r>
        <m:sSub>
          <m:e>
            <m:r>
              <m:t>h</m:t>
            </m:r>
          </m:e>
          <m:sub>
            <m:r>
              <m:rPr>
                <m:nor/>
              </m:rPr>
              <m:t>ℓ</m:t>
            </m:r>
            <m:r>
              <m:rPr>
                <m:nor/>
              </m:rPr>
              <m:t>+</m:t>
            </m:r>
            <m:r>
              <m:t>1</m:t>
            </m:r>
          </m:sub>
        </m:sSub>
        <m:r>
          <m:rPr>
            <m:nor/>
          </m:rPr>
          <m:t>=</m:t>
        </m:r>
        <m:sSub>
          <m:e>
            <m:r>
              <m:t>h</m:t>
            </m:r>
          </m:e>
          <m:sub>
            <m:r>
              <m:rPr>
                <m:nor/>
              </m:rPr>
              <m:t>ℓ</m:t>
            </m:r>
          </m:sub>
        </m:sSub>
        <m:r>
          <m:rPr>
            <m:nor/>
          </m:rPr>
          <m:t>+</m:t>
        </m:r>
        <m:sSub>
          <m:e>
            <m:r>
              <m:t>P</m:t>
            </m:r>
          </m:e>
          <m:sub>
            <m:r>
              <m:rPr>
                <m:nor/>
              </m:rPr>
              <m:t>ℓ</m:t>
            </m:r>
          </m:sub>
        </m:sSub>
        <m:r>
          <m:t>g</m:t>
        </m:r>
        <m:r>
          <m:rPr>
            <m:nor/>
          </m:rPr>
          <m:t>(</m:t>
        </m:r>
        <m:sSub>
          <m:e>
            <m:r>
              <m:t>a</m:t>
            </m:r>
          </m:e>
          <m:sub>
            <m:r>
              <m:rPr>
                <m:nor/>
              </m:rPr>
              <m:t>ℓ</m:t>
            </m:r>
          </m:sub>
        </m:sSub>
        <m:r>
          <m:rPr>
            <m:nor/>
          </m:rPr>
          <m:t>,</m:t>
        </m:r>
        <m:sSub>
          <m:e>
            <m:r>
              <m:t>b</m:t>
            </m:r>
          </m:e>
          <m:sub>
            <m:r>
              <m:rPr>
                <m:nor/>
              </m:rPr>
              <m:t>ℓ</m:t>
            </m:r>
          </m:sub>
        </m:sSub>
        <m:r>
          <m:rPr>
            <m:nor/>
          </m:rPr>
          <m:t>)</m:t>
        </m:r>
      </m:oMath>
      <w:r>
        <w:tab/>
        <w:t>(5)</w:t>
      </w:r>
    </w:p>
    <w:p>
      <w:pPr>
        <w:spacing w:line="300" w:lineRule="auto"/>
        <w:ind w:firstLine="440"/>
      </w:pPr>
      <w:r>
        <w:rPr>
          <w:sz w:val="19"/>
        </w:rPr>
        <w:t>基础结构与双分支结构分别有 452,225 和 1,462,145 个可训练参数。扩大上下文同时改变了门控、参数量和计算开销，因此该实验比较完整结构方案，不能将差异单独归因于某一组件。</w:t>
      </w:r>
    </w:p>
    <w:p>
      <w:pPr>
        <w:pStyle w:val="Heading2"/>
        <w:pageBreakBefore/>
      </w:pPr>
      <w:r>
        <w:t>2.3　因果性与归一化</w:t>
      </w:r>
    </w:p>
    <w:p>
      <w:pPr>
        <w:ind w:firstLine="440"/>
      </w:pPr>
      <w:r>
        <w:t>纵向首层只读上方行；后续纵向卷积允许读取中心行的纵向隐藏特征，因为这些特征仅由输入图像的更早行构成。横向首层只读左侧像素，B 型横向卷积仅组合左侧及当前位置已有的因果特征。纵向向横向的逐点传递合法，且没有反向传递；空洞率只改变读取距离，不改变允许的方向。因此各层均不依赖当前位置或未来原图像素。</w:t>
      </w:r>
    </w:p>
    <w:p>
      <w:pPr>
        <w:spacing w:line="300" w:lineRule="auto"/>
        <w:ind w:firstLine="440"/>
      </w:pPr>
      <w:r>
        <w:rPr>
          <w:sz w:val="19"/>
        </w:rPr>
        <w:t>纵向可达距离为 3＋4×(1＋2＋4)＝31 行，覆盖 28×28 图像的全部更早行。另以实际卷积掩码逐层传播依赖集合，逐位置核对是否覆盖所有历史像素及是否越过当前扫描位置。这里核对的是结构上存在路径，不意味着训练后模型对每个像素都形成了有效依赖。</w:t>
      </w:r>
    </w:p>
    <w:p>
      <w:pPr>
        <w:ind w:firstLine="440"/>
      </w:pPr>
      <w:r>
        <w:t xml:space="preserve">归一化仅在同一图像、同一空间位置的 </w:t>
      </w:r>
      <m:oMath>
        <m:r>
          <m:t>C</m:t>
        </m:r>
      </m:oMath>
      <w:r>
        <w:t xml:space="preserve"> 个通道间进行。设该位置特征为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>，计算：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r>
          <m:t>μ</m:t>
        </m:r>
        <m:r>
          <m:rPr>
            <m:nor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nor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</m:e>
        </m:nary>
        <m:r>
          <m:rPr>
            <m:nor/>
          </m:rPr>
          <m:t>,</m:t>
        </m:r>
        <m:r>
          <m:t> </m:t>
        </m:r>
        <m:r>
          <m:t>v</m:t>
        </m:r>
        <m:r>
          <m:rPr>
            <m:nor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nor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sSup>
              <m:e>
                <m:r>
                  <m:rPr>
                    <m:nor/>
                  </m:rP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nor/>
                  </m:rPr>
                  <m:t>−</m:t>
                </m:r>
                <m:r>
                  <m:t>μ</m:t>
                </m:r>
                <m:r>
                  <m:rPr>
                    <m:nor/>
                  </m:rPr>
                  <m:t>)</m:t>
                </m:r>
              </m:e>
              <m:sup>
                <m:r>
                  <m:t>2</m:t>
                </m:r>
              </m:sup>
            </m:sSup>
          </m:e>
        </m:nary>
        <m:r>
          <m:rPr>
            <m:nor/>
          </m:rPr>
          <m:t>,</m:t>
        </m:r>
        <m:r>
          <m:t> 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c</m:t>
            </m:r>
          </m:sub>
        </m:sSub>
        <m:r>
          <m:rPr>
            <m:nor/>
          </m:rPr>
          <m:t>=</m:t>
        </m:r>
        <m:sSub>
          <m:e>
            <m:r>
              <m:t>γ</m:t>
            </m:r>
          </m:e>
          <m:sub>
            <m:r>
              <m:t>c</m:t>
            </m:r>
          </m:sub>
        </m:sSub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nor/>
              </m:rPr>
              <m:t>−</m:t>
            </m:r>
            <m:r>
              <m:t>μ</m:t>
            </m:r>
          </m:num>
          <m:den>
            <m:rad>
              <m:radPr>
                <m:degHide m:val="on"/>
              </m:radPr>
              <m:deg/>
              <m:e>
                <m:r>
                  <m:t>v</m:t>
                </m:r>
                <m:r>
                  <m:rPr>
                    <m:nor/>
                  </m:rPr>
                  <m:t>+</m:t>
                </m:r>
                <m:r>
                  <m:t>ε</m:t>
                </m:r>
              </m:e>
            </m:rad>
          </m:den>
        </m:f>
        <m:r>
          <m:rPr>
            <m:nor/>
          </m:rPr>
          <m:t>+</m:t>
        </m:r>
        <m:sSub>
          <m:e>
            <m:r>
              <m:t>β</m:t>
            </m:r>
          </m:e>
          <m:sub>
            <m:r>
              <m:t>c</m:t>
            </m:r>
          </m:sub>
        </m:sSub>
      </m:oMath>
      <w:r>
        <w:tab/>
        <w:t>(6)</w:t>
      </w:r>
    </w:p>
    <w:p>
      <w:pPr>
        <w:ind w:firstLine="440"/>
      </w:pPr>
      <w:r>
        <w:t>该操作不聚合未来位置或同批次其他图像。训练态 BatchNorm、InstanceNorm 以及跨空间的 LayerNorm 均可能泄露未来像素，因此不用于此模型。</w:t>
      </w:r>
    </w:p>
    <w:p>
      <w:pPr>
        <w:pStyle w:val="Heading2"/>
      </w:pPr>
      <w:r>
        <w:t>2.4　并行训练与逐像素采样</w:t>
      </w:r>
    </w:p>
    <w:p>
      <w:pPr>
        <w:ind w:firstLine="440"/>
      </w:pPr>
      <w:r>
        <w:t>训练时，完整图像可以一次前向得到全部 784 个合法条件分布。生成时，从全零画布开始，按从上到下、从左到右的顺序，逐个预测、采样并写回像素。首行与首列也必须参与采样。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nor/>
          </m:rPr>
          <m:t>∼</m:t>
        </m:r>
        <m:r>
          <m:rPr>
            <m:nor/>
          </m:rPr>
          <m:t>Bernoulli</m:t>
        </m:r>
        <m:r>
          <m:rPr>
            <m:nor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nor/>
          </m:rPr>
          <m:t>)</m:t>
        </m:r>
        <m:r>
          <m:rPr>
            <m:nor/>
          </m:rPr>
          <m:t>,</m:t>
        </m:r>
        <m:r>
          <m:t>  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nor/>
          </m:rPr>
          <m:t>=</m:t>
        </m:r>
        <m:r>
          <m:t>σ</m:t>
        </m:r>
        <m:r>
          <m:rPr>
            <m:nor/>
          </m:rPr>
          <m:t>(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nor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nor/>
              </m:rPr>
              <m:t>:</m:t>
            </m:r>
            <m:r>
              <m:t>i</m:t>
            </m:r>
            <m:r>
              <m:rPr>
                <m:nor/>
              </m:rPr>
              <m:t>−</m:t>
            </m:r>
            <m:r>
              <m:t>1</m:t>
            </m:r>
          </m:sub>
        </m:sSub>
        <m:r>
          <m:rPr>
            <m:nor/>
          </m:rPr>
          <m:t>)</m:t>
        </m:r>
        <m:r>
          <m:rPr>
            <m:nor/>
          </m:rPr>
          <m:t>)</m:t>
        </m:r>
      </m:oMath>
      <w:r>
        <w:tab/>
        <w:t>(7)</w:t>
      </w:r>
    </w:p>
    <w:p>
      <w:pPr>
        <w:spacing w:line="300" w:lineRule="auto"/>
        <w:ind w:firstLine="440"/>
      </w:pPr>
      <w:r>
        <w:rPr>
          <w:sz w:val="19"/>
        </w:rPr>
        <w:t>模型未使用数字类别、真实图像前缀或外部预训练权重进行无条件生成。朴素采样需要 784 次网络前向。双分支结构用于补足基础掩码卷积的右上方盲区</w:t>
      </w:r>
      <w:r>
        <w:rPr>
          <w:sz w:val="19"/>
          <w:vertAlign w:val="superscript"/>
        </w:rPr>
        <w:t>[2–3]</w:t>
      </w:r>
      <w:r>
        <w:rPr>
          <w:sz w:val="19"/>
        </w:rPr>
        <w:t>，实际覆盖情况由依赖集合检查验证。</w:t>
      </w:r>
    </w:p>
    <w:p>
      <w:pPr>
        <w:pStyle w:val="Heading1"/>
        <w:pageBreakBefore/>
      </w:pPr>
      <w:r>
        <w:t>3　实验设置</w:t>
      </w:r>
    </w:p>
    <w:p>
      <w:pPr>
        <w:spacing w:line="300" w:lineRule="auto"/>
        <w:ind w:firstLine="440"/>
      </w:pPr>
      <w:r>
        <w:rPr>
          <w:sz w:val="19"/>
        </w:rPr>
        <w:t>S0 为标准 PixelCNN 的 25 轮初步实验；S1、S2、S3 为三组独立的 100 轮标准结构训练；G 为 100 轮双分支门控训练；F0 与 F0.2 从 G 的最低验证损失检查点分别续训，横向残差 Dropout 概率为 0 和 0.2。</w:t>
      </w:r>
    </w:p>
    <w:p>
      <w:pPr>
        <w:pStyle w:val="Heading2"/>
      </w:pPr>
      <w:r>
        <w:t>3.1　数据划分与二值化</w:t>
      </w:r>
    </w:p>
    <w:p>
      <w:pPr>
        <w:ind w:firstLine="440"/>
      </w:pPr>
      <w:r>
        <w:t>使用 MNIST 官方训练集 60,000 张和测试集 10,000 张</w:t>
      </w:r>
      <w:r>
        <w:rPr>
          <w:sz w:val="22"/>
          <w:vertAlign w:val="superscript"/>
        </w:rPr>
        <w:t>[4]</w:t>
      </w:r>
      <w:r>
        <w:t>。仅将训练集固定随机划分为 55,000 张训练、5,000 张验证；按验证 NLL 选模后评估测试集。像素归一化后大于 0.5 取 1，否则取 0，等价于 uint8 像素值不小于 128；保留原始 28×28 分辨率，不做数据增强。</w:t>
      </w:r>
    </w:p>
    <w:p>
      <w:pPr>
        <w:spacing w:line="300" w:lineRule="auto"/>
        <w:ind w:firstLine="440"/>
      </w:pPr>
      <w:r>
        <w:rPr>
          <w:sz w:val="19"/>
        </w:rPr>
        <w:t>四个压缩数据文件均通过 MD5 校验，划分索引随实验保存。二值化预先执行以减少 DataLoader 的转换开销，数字标签不作为模型输入。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96791"/>
            <wp:docPr id="2" name="Picture 2" descr="图 2　训练划分中顺序固定的前 32 张二值图像。黑色对应像素值 1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9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　训练划分中顺序固定的前 32 张二值图像。黑色对应像素值 1。</w:t>
      </w:r>
    </w:p>
    <w:p>
      <w:pPr>
        <w:pStyle w:val="Heading2"/>
      </w:pPr>
      <w:r>
        <w:t>3.2　训练配置</w:t>
      </w:r>
    </w:p>
    <w:p>
      <w:pPr>
        <w:pStyle w:val="Caption"/>
        <w:keepNext/>
        <w:keepLines/>
        <w:jc w:val="center"/>
      </w:pPr>
      <w:r>
        <w:t>表 2　100 轮结构对照的训练设置与运行环境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设置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优化器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Adam，初始学习率 0.001；β₁=0.9，β₂=0.999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学习率调度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余弦退火；周期 100 轮，最低学习率 0.00001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批量大小 / 轮数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128 / 100，每轮遍历全部训练图像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损失 / 梯度裁剪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未加权 BCEWithLogitsLoss(mean) / 范数上限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精度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训练 AMP + GradScaler；验证、测试与采样 FP32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选择规则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验证集 NLL 最低的检查点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随机种子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初始化与划分 20260920；打乱与采样 20260921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软件与硬件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Python 3.9.23；PyTorch 1.12.1+cu102；NVIDIA TITAN RTX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G 的完整训练时间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178.25 min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pacing w:line="300" w:lineRule="auto"/>
        <w:ind w:firstLine="440"/>
      </w:pPr>
      <w:r>
        <w:rPr>
          <w:sz w:val="19"/>
        </w:rPr>
        <w:t>静态阈值二值化与动态 Bernoulli 二值化、常用固定二值 MNIST 划分并不相同，因此不将本实验 NLL 与采用不同数据协议的论文结果直接比较。固定种子用于复现，跨软件或硬件版本可能产生小幅数值差异。</w:t>
      </w:r>
    </w:p>
    <w:p>
      <w:pPr>
        <w:pStyle w:val="Heading2"/>
        <w:pageBreakBefore/>
      </w:pPr>
      <w:r>
        <w:t>3.3　学习率、批量大小与训练轮数对照</w:t>
      </w:r>
    </w:p>
    <w:p>
      <w:pPr>
        <w:ind w:firstLine="440"/>
      </w:pPr>
      <w:r>
        <w:t>S0 的最低验证 NLL 出现在第 25 轮，表明在该训练计划结束时验证损失还在下降。为考察更长训练及参数调整的效果，保持标准网络、二值化、数据划分及初始化种子一致，设置 S1、S2、S3 三组独立候选，各训练 100 轮，采用 100 轮余弦退火计划，最低学习率为 0.00001。</w:t>
      </w:r>
    </w:p>
    <w:p>
      <w:pPr>
        <w:pStyle w:val="Caption"/>
        <w:keepNext/>
        <w:keepLines/>
        <w:jc w:val="center"/>
      </w:pPr>
      <w:r>
        <w:t>表 3　标准 PixelCNN 的超参数对照（验证 NLL 单位为 nats/image）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1134"/>
        <w:gridCol w:w="1701"/>
        <w:gridCol w:w="1304"/>
        <w:gridCol w:w="2551"/>
        <w:gridCol w:w="238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20"/>
              </w:rPr>
              <w:t>配置</w:t>
            </w:r>
          </w:p>
        </w:tc>
        <w:tc>
          <w:tcPr>
            <w:tcW w:type="dxa" w:w="170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初始学习率</w:t>
            </w:r>
          </w:p>
        </w:tc>
        <w:tc>
          <w:tcPr>
            <w:tcW w:type="dxa" w:w="130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批量大小</w:t>
            </w:r>
          </w:p>
        </w:tc>
        <w:tc>
          <w:tcPr>
            <w:tcW w:type="dxa" w:w="255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训练／所选轮</w:t>
            </w:r>
          </w:p>
        </w:tc>
        <w:tc>
          <w:tcPr>
            <w:tcW w:type="dxa" w:w="238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验证 NLL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S0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25 / 25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62.1652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100 / 68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60.5759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100 / 47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60.4642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0.0005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100 / 45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60.5535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三组候选中，S2 的验证 NLL 最低，对应初始学习率 0.001、批量大小 128及第 47 轮检查点。训练状态保存模型、优化器、学习率调度器和随机数状态，中途恢复沿用同一退火计划。测试集不用于配置选择。</w:t>
      </w:r>
    </w:p>
    <w:p>
      <w:pPr>
        <w:spacing w:line="300" w:lineRule="auto"/>
        <w:ind w:firstLine="440"/>
      </w:pPr>
      <w:r>
        <w:rPr>
          <w:sz w:val="19"/>
        </w:rPr>
        <w:t>S0 的退火周期为 25 轮、最低学习率为 0.0001；S1–S3 的周期为 100 轮、最低学习率为 0.00001。因此 S0 与 S1 的比较同时反映训练时长和学习率计划的变化；S1–S3 之间的退火周期、最低学习率与数据遍历轮数一致。</w:t>
      </w:r>
    </w:p>
    <w:p>
      <w:pPr>
        <w:spacing w:line="300" w:lineRule="auto"/>
        <w:ind w:firstLine="440"/>
      </w:pPr>
      <w:r>
        <w:rPr>
          <w:sz w:val="19"/>
        </w:rPr>
        <w:t>固定每轮遍历全部训练图像时，批量大小 256 和 128 分别对应每轮 215 和 430 个小批次。因此该对照比较的是相同数据遍历轮数下的训练策略，优化步数与计算开销并不相同。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30452"/>
            <wp:docPr id="3" name="Picture 3" descr="图 3　S0、S1、S2、S3 的无条件样本。各行加载对应最低验证 NLL 检查点，展示固定种子生成序列的前 8 张，未按视觉质量筛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ning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　S0、S1、S2、S3 的无条件样本。各行加载对应最低验证 NLL 检查点，展示固定种子生成序列的前 8 张，未按视觉质量筛选。</w:t>
      </w:r>
    </w:p>
    <w:p>
      <w:pPr>
        <w:pStyle w:val="Heading2"/>
        <w:pageBreakBefore/>
      </w:pPr>
      <w:r>
        <w:t>3.4　结构对照与模型选择</w:t>
      </w:r>
    </w:p>
    <w:p>
      <w:pPr>
        <w:ind w:firstLine="440"/>
      </w:pPr>
      <w:r>
        <w:t>超参数对照确定标准结构的配置后，以 S2 为参照，训练双分支门控模型 G，考察扩大因果上下文的作用。两者采用相同二值化、55,000／5,000／10,000 划分、初始学习率 0.001、批量大小 128、100 轮余弦退火及最低学习率 0.00001，分别保留最低验证 NLL 检查点。S2 直接使用表 3 中的训练结果，G 独立初始化训练。</w:t>
      </w:r>
    </w:p>
    <w:p>
      <w:pPr>
        <w:pStyle w:val="Caption"/>
        <w:keepNext/>
        <w:keepLines/>
        <w:jc w:val="center"/>
      </w:pPr>
      <w:r>
        <w:t>表 4　结构对照（NLL 单位为 nats/image）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2381"/>
        <w:gridCol w:w="1814"/>
        <w:gridCol w:w="1247"/>
        <w:gridCol w:w="1814"/>
        <w:gridCol w:w="1814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20"/>
              </w:rPr>
              <w:t>结构</w:t>
            </w:r>
          </w:p>
        </w:tc>
        <w:tc>
          <w:tcPr>
            <w:tcW w:type="dxa" w:w="181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参数量</w:t>
            </w:r>
          </w:p>
        </w:tc>
        <w:tc>
          <w:tcPr>
            <w:tcW w:type="dxa" w:w="1247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所选轮次</w:t>
            </w:r>
          </w:p>
        </w:tc>
        <w:tc>
          <w:tcPr>
            <w:tcW w:type="dxa" w:w="181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验证 NLL</w:t>
            </w:r>
          </w:p>
        </w:tc>
        <w:tc>
          <w:tcPr>
            <w:tcW w:type="dxa" w:w="181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测试 NLL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S2：标准 PixelCNN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452,225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60.4642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60.4827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G：双分支门控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1,462,145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55.1815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55.3111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验证集选择双分支门控结构。表中测试结果用于评估相应检查点的泛化表现，不参与结构选择。两种网络的参数量不同，因此这里比较完整结构方案。</w:t>
      </w:r>
    </w:p>
    <w:p>
      <w:pPr>
        <w:spacing w:line="300" w:lineRule="auto"/>
        <w:ind w:firstLine="440"/>
      </w:pPr>
      <w:r>
        <w:rPr>
          <w:sz w:val="19"/>
        </w:rPr>
        <w:t>结构检查区分历史像素的可达性与未来像素的隔离性。各阶段采样均采用温度 1、Bernoulli 随机采样和同一固定种子，完整图像按生成顺序展示。</w:t>
      </w:r>
    </w:p>
    <w:p>
      <w:pPr>
        <w:pStyle w:val="Heading2"/>
        <w:pageBreakBefore/>
      </w:pPr>
      <w:r>
        <w:t>3.5　低学习率续训与正则化对照</w:t>
      </w:r>
    </w:p>
    <w:p>
      <w:pPr>
        <w:ind w:firstLine="440"/>
      </w:pPr>
      <w:r>
        <w:t>G 在第 9 轮取得最低验证 NLL 55.1815。第 100 轮的在线训练 NLL 降至 27.319，验证 NLL 却升至 219.573，呈现过拟合。为控制泛化误差，F0 和 F0.2 均以 G 的第 9 轮权重为起点，降低学习率并限制续训时长。</w:t>
      </w:r>
    </w:p>
    <w:p>
      <w:pPr>
        <w:ind w:firstLine="440"/>
      </w:pPr>
      <w:r>
        <w:t>两组均重新建立 Adam 优化器，初始学习率为 0.0001、批量大小为 128，最多追加 20 轮，每轮遍历 55,000 张训练图像。ReduceLROnPlateau 的 patience 为 2、绝对阈值为 0.02 nats/image；验证损失停滞时学习率减半，最低为 0.00001。连续 5 轮未取得超过 0.02 nats/image 的改善时提前停止。续训轮次独立编号，追加轮 0 表示尚未更新的共同起点。</w:t>
      </w:r>
    </w:p>
    <w:p>
      <w:pPr>
        <w:ind w:firstLine="440"/>
      </w:pPr>
      <w:r>
        <w:t>F0 与 F0.2 的唯一设置差异是横向门控输出在残差投影前的 Dropout 概率，分别为 0 和 0.2。两组均维护衰减系数 0.999 的指数移动平均（EMA），逐轮比较普通权重（raw）与 EMA 权重；验证、测试与采样时关闭 Dropout。残差正则化和参数平均参考 PixelCNN++</w:t>
      </w:r>
      <w:r>
        <w:rPr>
          <w:sz w:val="22"/>
          <w:vertAlign w:val="superscript"/>
        </w:rPr>
        <w:t>[5]</w:t>
      </w:r>
      <w:r>
        <w:t>，输出分布采用本作业的二值 Bernoulli 分布。</w:t>
      </w:r>
    </w:p>
    <w:p>
      <w:pPr>
        <w:pStyle w:val="Caption"/>
        <w:keepNext/>
        <w:keepLines/>
        <w:jc w:val="center"/>
      </w:pPr>
      <w:r>
        <w:t>表 5　暖启动续训对照（NLL 单位为 nats/image）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1871"/>
        <w:gridCol w:w="1134"/>
        <w:gridCol w:w="1474"/>
        <w:gridCol w:w="850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19"/>
              </w:rPr>
              <w:t>方案</w:t>
            </w:r>
          </w:p>
        </w:tc>
        <w:tc>
          <w:tcPr>
            <w:tcW w:type="dxa" w:w="113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追加轮数</w:t>
            </w:r>
          </w:p>
        </w:tc>
        <w:tc>
          <w:tcPr>
            <w:tcW w:type="dxa" w:w="147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所选追加轮</w:t>
            </w:r>
          </w:p>
        </w:tc>
        <w:tc>
          <w:tcPr>
            <w:tcW w:type="dxa" w:w="850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权重</w:t>
            </w:r>
          </w:p>
        </w:tc>
        <w:tc>
          <w:tcPr>
            <w:tcW w:type="dxa" w:w="187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验证 NLL</w:t>
            </w:r>
          </w:p>
        </w:tc>
        <w:tc>
          <w:tcPr>
            <w:tcW w:type="dxa" w:w="1871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测试 NLL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G 第 9 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初始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55.1815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55.3111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F0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EMA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54.5623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54.6944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F0.2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EMA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54.4841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54.6024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pacing w:line="300" w:lineRule="auto"/>
        <w:ind w:firstLine="440"/>
      </w:pPr>
      <w:r>
        <w:rPr>
          <w:sz w:val="19"/>
        </w:rPr>
        <w:t>验证 NLL 选择 F0.2 的追加第 4 轮 EMA 权重作为全实验的所选模型。0.02 的阈值用于学习率调度和早停；保存检查点依据实际最低验证 NLL，测试结果在选择后计算。</w:t>
      </w:r>
    </w:p>
    <w:p>
      <w:pPr>
        <w:pStyle w:val="Heading1"/>
        <w:pageBreakBefore/>
      </w:pPr>
      <w:r>
        <w:t>4　实验结果与分析</w:t>
      </w:r>
    </w:p>
    <w:p>
      <w:pPr>
        <w:pStyle w:val="Heading2"/>
      </w:pPr>
      <w:r>
        <w:t>4.1　训练过程及测试集似然</w:t>
      </w:r>
    </w:p>
    <w:p>
      <w:pPr>
        <w:pStyle w:val="Heading3"/>
      </w:pPr>
      <w:r>
        <w:t>4.1.1　完整训练轨迹与阶段结果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54802"/>
            <wp:docPr id="4" name="Picture 4" descr="图 4　S0、S1–S3 与 G 的训练轨迹。左上为标准结构各组的全部验证记录（纵轴为对数刻度），右上为 S2 的完整训练／验证曲线；左下展示 G 的全部 100 轮，右下放大其前 20 轮。点与竖线标出最低验证 NLL 检查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_lear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54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　S0、S1–S3 与 G 的训练轨迹。左上为标准结构各组的全部验证记录（纵轴为对数刻度），右上为 S2 的完整训练／验证曲线；左下展示 G 的全部 100 轮，右下放大其前 20 轮。点与竖线标出最低验证 NLL 检查点。</w:t>
      </w:r>
    </w:p>
    <w:p>
      <w:pPr>
        <w:pStyle w:val="Caption"/>
        <w:keepNext/>
        <w:keepLines/>
        <w:jc w:val="center"/>
      </w:pPr>
      <w:r>
        <w:t>表 6　各阶段所选检查点的结果（NLL 单位为 nats/image）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907"/>
        <w:gridCol w:w="1587"/>
        <w:gridCol w:w="2268"/>
        <w:gridCol w:w="2154"/>
        <w:gridCol w:w="2154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1587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实际训练轮</w:t>
            </w:r>
          </w:p>
        </w:tc>
        <w:tc>
          <w:tcPr>
            <w:tcW w:type="dxa" w:w="2268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所选检查点</w:t>
            </w:r>
          </w:p>
        </w:tc>
        <w:tc>
          <w:tcPr>
            <w:tcW w:type="dxa" w:w="215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验证 NLL</w:t>
            </w:r>
          </w:p>
        </w:tc>
        <w:tc>
          <w:tcPr>
            <w:tcW w:type="dxa" w:w="215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测试 NLL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S0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62.1652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62.1889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60.5759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60.4642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60.4827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60.5535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55.1815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55.3111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F0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追加 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3 / EMA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54.5623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54.6944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F0.2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追加 9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4 / EMA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54.4841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54.6024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pacing w:line="300" w:lineRule="auto"/>
        <w:ind w:firstLine="440"/>
      </w:pPr>
      <w:r>
        <w:rPr>
          <w:sz w:val="19"/>
        </w:rPr>
        <w:t>S1 和 S3 未单独评估测试集，记为“—”；标准结构先按验证 NLL 选出 S2，再计算其测试结果。F0 与 F0.2 从 G 第 9 轮分别训练，表中“追加轮”不与 G 的 100 轮连接。曲线的在线训练损失来自逐批参数更新过程，表中验证及测试损失均由固定检查点计算。</w:t>
      </w:r>
    </w:p>
    <w:p>
      <w:pPr>
        <w:pStyle w:val="Heading3"/>
        <w:pageBreakBefore/>
      </w:pPr>
      <w:r>
        <w:t>4.1.2　续训轨迹与所选模型评估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1956658"/>
            <wp:docPr id="5" name="Picture 5" descr="图 5　左图为 F0.2 的在线训练及 raw／EMA 验证 NLL；右图对比 F0、F0.2。追加轮 0 为 G 第 9 轮检查点，水平点划线表示共同起点的验证 NLL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tu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　左图为 F0.2 的在线训练及 raw／EMA 验证 NLL；右图对比 F0、F0.2。追加轮 0 为 G 第 9 轮检查点，水平点划线表示共同起点的验证 NLL。</w:t>
      </w:r>
    </w:p>
    <w:p>
      <w:pPr>
        <w:ind w:firstLine="440"/>
      </w:pPr>
      <w:r>
        <w:t>追加轮 0 只有固定权重评估，不计在线训练损失。F0 的在线损失较低，但最低验证 NLL 高于 F0.2；带 Dropout 的训练损失包含随机正则化，不能直接与关闭 Dropout 的验证损失比较。两组均触发早停，实际完成 8 和 9 个追加轮。</w:t>
      </w:r>
    </w:p>
    <w:p>
      <w:pPr>
        <w:ind w:firstLine="440"/>
      </w:pPr>
      <w:r>
        <w:t>F0.2 的追加第 4 轮 EMA 权重取得全实验最低验证 NLL 54.4841。加载所选权重后，对完整训练、验证和测试划分评估，结果见表 7。</w:t>
      </w:r>
    </w:p>
    <w:p>
      <w:pPr>
        <w:pStyle w:val="Caption"/>
        <w:keepNext/>
        <w:keepLines/>
        <w:jc w:val="center"/>
      </w:pPr>
      <w:r>
        <w:t>表 7　所选模型在完整数据划分上的结果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1304"/>
        <w:gridCol w:w="1474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20"/>
              </w:rPr>
              <w:t>划分</w:t>
            </w:r>
          </w:p>
        </w:tc>
        <w:tc>
          <w:tcPr>
            <w:tcW w:type="dxa" w:w="1474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样本数</w:t>
            </w:r>
          </w:p>
        </w:tc>
        <w:tc>
          <w:tcPr>
            <w:tcW w:type="dxa" w:w="2098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NLL</w:t>
              <w:br/>
              <w:t>(nats/image)</w:t>
            </w:r>
          </w:p>
        </w:tc>
        <w:tc>
          <w:tcPr>
            <w:tcW w:type="dxa" w:w="2098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BCE</w:t>
              <w:br/>
              <w:t>(nats/pixel)</w:t>
            </w:r>
          </w:p>
        </w:tc>
        <w:tc>
          <w:tcPr>
            <w:tcW w:type="dxa" w:w="2098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20"/>
              </w:rPr>
              <w:t>bpp</w:t>
              <w:br/>
              <w:t>(bits/pixel)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训练集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55,000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52.5002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0.066965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0.096609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验证集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54.4841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0.069495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0.100260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20"/>
              </w:rPr>
              <w:t>测试集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54.6024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0.069646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20"/>
              </w:rPr>
              <w:t>0.100478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pacing w:line="300" w:lineRule="auto"/>
        <w:ind w:firstLine="440"/>
      </w:pPr>
      <w:r>
        <w:rPr>
          <w:sz w:val="19"/>
        </w:rPr>
        <w:t>所选模型训练与验证 NLL 相差 1.984 nats/image。表 7 为固定权重评估，与曲线的在线损失统计方式不同。</w:t>
      </w:r>
    </w:p>
    <w:p>
      <w:pPr>
        <w:spacing w:line="300" w:lineRule="auto"/>
        <w:ind w:firstLine="440"/>
      </w:pPr>
      <w:r>
        <w:rPr>
          <w:sz w:val="19"/>
        </w:rPr>
        <w:t>S2 相对 S0 的测试 NLL 下降 2.74%，G 相对 S2 下降 8.55%。F0.2 相对 G 下降 1.28%，相对 S0 下降 12.20%。似然不能直接换算为清晰数字的比例。</w:t>
      </w:r>
    </w:p>
    <w:p>
      <w:pPr>
        <w:pStyle w:val="Heading2"/>
        <w:pageBreakBefore/>
      </w:pPr>
      <w:r>
        <w:t>4.2　独立像素基线</w:t>
      </w:r>
    </w:p>
    <w:p>
      <w:pPr>
        <w:ind w:firstLine="440"/>
      </w:pPr>
      <w:r>
        <w:t>在相同测试集和二值化协议下比较两个基线。等概率 Bernoulli 为各像素赋予 0.5 的前景概率；独立逐位置 Bernoulli 仅由训练集统计各坐标的前景频率，并使用 Beta(1,1) 平滑：</w:t>
      </w:r>
    </w:p>
    <w:p>
      <w:pPr>
        <w:keepLines/>
        <w:tabs>
          <w:tab w:pos="4535" w:val="center"/>
          <w:tab w:pos="9071" w:val="right"/>
        </w:tabs>
        <w:spacing w:line="240" w:lineRule="auto" w:before="80" w:after="120"/>
        <w:ind w:firstLine="0"/>
      </w:pPr>
      <w:r>
        <w:tab/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r</m:t>
            </m:r>
            <m:r>
              <m:rPr>
                <m:nor/>
              </m:rPr>
              <m:t>,</m:t>
            </m:r>
            <m:r>
              <m:t>c</m:t>
            </m:r>
          </m:sub>
        </m:sSub>
        <m:r>
          <m:rPr>
            <m:nor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nor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nor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nor/>
                      </m:rPr>
                      <m:t>,</m:t>
                    </m:r>
                    <m:r>
                      <m:t>r</m:t>
                    </m:r>
                    <m:r>
                      <m:rPr>
                        <m:nor/>
                      </m:rPr>
                      <m:t>,</m:t>
                    </m:r>
                    <m:r>
                      <m:t>c</m:t>
                    </m:r>
                  </m:sub>
                </m:sSub>
              </m:e>
            </m:nary>
          </m:num>
          <m:den>
            <m:r>
              <m:t>N</m:t>
            </m:r>
            <m:r>
              <m:rPr>
                <m:nor/>
              </m:rPr>
              <m:t>+</m:t>
            </m:r>
            <m:r>
              <m:t>2</m:t>
            </m:r>
          </m:den>
        </m:f>
      </m:oMath>
      <w:r>
        <w:tab/>
        <w:t>(8)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75651"/>
            <wp:docPr id="6" name="Picture 6" descr="图 6　等概率 Bernoulli、独立逐像素 Bernoulli 与 PixelCNN 的测试 NLL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7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　等概率 Bernoulli、独立逐像素 Bernoulli 与 PixelCNN 的测试 NLL。</w:t>
      </w:r>
    </w:p>
    <w:p>
      <w:pPr>
        <w:ind w:firstLine="440"/>
      </w:pPr>
      <w:r>
        <w:t>三种模型的测试 NLL 分别为 543.4274、205.8452 和 54.6024 nats/image。相对独立逐像素基线，PixelCNN 下降 73.47%，说明模型利用了超出固定前景位置频率的像素依赖。</w:t>
      </w:r>
    </w:p>
    <w:p>
      <w:pPr>
        <w:pStyle w:val="Heading2"/>
      </w:pPr>
      <w:r>
        <w:t>4.3　条件预测与“重建”</w:t>
      </w:r>
    </w:p>
    <w:p>
      <w:pPr>
        <w:ind w:firstLine="440"/>
      </w:pPr>
      <w:r>
        <w:t>课程 Notebook 的 Reconstruction 部分对真实图像做一次前向，然后按各位置的条件概率采样。每个条件分布均使用真实图像的历史前缀，因此它是条件预测的可视化，而不是从空画布递归生成的结果。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6513"/>
            <wp:docPr id="7" name="Picture 7" descr="图 7　前 8 张测试图像（上）与基于真实前缀的条件采样（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　前 8 张测试图像（上）与基于真实前缀的条件采样（下）。</w:t>
      </w:r>
    </w:p>
    <w:p>
      <w:pPr>
        <w:spacing w:line="300" w:lineRule="auto"/>
        <w:ind w:firstLine="440"/>
      </w:pPr>
      <w:r>
        <w:rPr>
          <w:sz w:val="19"/>
        </w:rPr>
        <w:t>两行图像的整体形状较接近，但部分笔画边缘出现孤立像素。这里的条件分布以真实图像前缀为输入；下一节的无条件采样则使用模型自身已生成的像素作为后续上下文。</w:t>
      </w:r>
    </w:p>
    <w:p>
      <w:pPr>
        <w:pStyle w:val="Heading2"/>
        <w:pageBreakBefore/>
      </w:pPr>
      <w:r>
        <w:t>4.4　无条件生成</w:t>
      </w:r>
    </w:p>
    <w:p>
      <w:pPr>
        <w:ind w:firstLine="440"/>
      </w:pPr>
      <w:r>
        <w:t>S2 与 G 分别加载最低验证 NLL 检查点，以温度 1 和种子 20260921 按行扫描采样 64 张图像。图 8 与图 9 展示各自全部样本，不按视觉质量筛选；黑色表示像素值 1。相同种子固定采样过程，模型的条件概率不同，两图同一位置不必对应同一个数字。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4752000"/>
            <wp:docPr id="8" name="Picture 8" descr="图 8　S2 的全部 64 张无条件样本；第 47 轮检查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aseline_samp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　S2 的全部 64 张无条件样本；第 47 轮检查点。</w:t>
      </w:r>
    </w:p>
    <w:p>
      <w:pPr>
        <w:spacing w:line="300" w:lineRule="auto"/>
        <w:ind w:firstLine="440"/>
      </w:pPr>
      <w:r>
        <w:rPr>
          <w:sz w:val="19"/>
        </w:rPr>
        <w:t>S2 的样本质量不均：第 7 行第 4 列接近闭合的“0”，第 6 行第 3 列接近“1”；第 4 行第 8 列存在独立下部笔画，第 8 行第 3 列上下不相连。标准模型已学到部分数字轮廓，但一些样本缺少连贯的整体形状。</w:t>
      </w:r>
    </w:p>
    <w:p>
      <w:pPr>
        <w:pStyle w:val="Heading3"/>
        <w:pageBreakBefore/>
      </w:pPr>
      <w:r>
        <w:t>4.4.1　门控模型 G 的样本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4752000"/>
            <wp:docPr id="9" name="Picture 9" descr="图 9　G 的全部 64 张无条件样本；第 9 轮检查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d_samp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　G 的全部 64 张无条件样本；第 9 轮检查点。</w:t>
      </w:r>
    </w:p>
    <w:p>
      <w:pPr>
        <w:ind w:firstLine="440"/>
      </w:pPr>
      <w:r>
        <w:t>G 的样本中，第 1 行第 6 列和第 7 行第 2 列的“0”具有闭合轮廓，第 2 行第 6 列的“3”笔画较连贯。与 S2 相比，这批图像中的部分数字形状更完整。第 2 行第 5 列有孤立像素，第 8 行第 4 列形状不完整，部分笔画过粗。</w:t>
      </w:r>
    </w:p>
    <w:p>
      <w:pPr>
        <w:spacing w:line="300" w:lineRule="auto"/>
        <w:ind w:firstLine="440"/>
      </w:pPr>
      <w:r>
        <w:rPr>
          <w:sz w:val="19"/>
        </w:rPr>
        <w:t>基础与双分支样本的前景比例分别为 0.1505 和 0.1537，相对测试集分别偏差 +1.62 和 +1.95 个百分点。该统计衡量总体墨迹比例，不能反映数字是否连贯；两种结构的 64 张批量采样分别耗时 18.53 s 和 45.14 s。</w:t>
      </w:r>
    </w:p>
    <w:p>
      <w:pPr>
        <w:spacing w:line="300" w:lineRule="auto"/>
        <w:ind w:firstLine="440"/>
      </w:pPr>
      <w:r>
        <w:rPr>
          <w:sz w:val="19"/>
        </w:rPr>
        <w:t>G 的结构路径覆盖全图合法历史，补足了标准网络的上下文范围。训练以真实像素前缀计算条件分布，生成则使用模型自身采样的前缀；早期预测误差可能沿扫描过程影响后续笔画。结构可达性说明信息存在传播路径，并不代表训练后模型能充分利用所有远处像素。</w:t>
      </w:r>
    </w:p>
    <w:p>
      <w:pPr>
        <w:pStyle w:val="Heading3"/>
        <w:pageBreakBefore/>
      </w:pPr>
      <w:r>
        <w:t>4.4.2　所选模型 F0.2 的样本</w:t>
      </w:r>
    </w:p>
    <w:p>
      <w:pPr>
        <w:ind w:firstLine="440"/>
      </w:pPr>
      <w:r>
        <w:t>图 10 展示 F0.2 追加第 4 轮 EMA 权重的完整 64 张无条件样本，与图 9 使用相同的采样种子、温度与排列方式。验证、测试与生成均关闭 Dropout。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4752000"/>
            <wp:docPr id="10" name="Picture 10" descr="图 10　F0.2 的全部 64 张无条件样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conditional_samp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　F0.2 的全部 64 张无条件样本。</w:t>
      </w:r>
    </w:p>
    <w:p>
      <w:pPr>
        <w:ind w:firstLine="440"/>
      </w:pPr>
      <w:r>
        <w:t>F0.2 的完整 64 张样本中，第 1 行第 6 列和第 6 行第 5 列的“0”具有闭合轮廓，第 4 行第 1 列的“3”笔画较连贯。第 2 行第 5 列和第 5 行第 2 列有孤立像素，第 8 行第 4 列的笔画连接不自然；部分样本形状含混或笔画过粗。与 G 相比，部分轮廓有所变化，视觉收益没有似然变化那样明确。</w:t>
      </w:r>
    </w:p>
    <w:p>
      <w:pPr>
        <w:spacing w:line="300" w:lineRule="auto"/>
        <w:ind w:firstLine="440"/>
      </w:pPr>
      <w:r>
        <w:rPr>
          <w:sz w:val="19"/>
        </w:rPr>
        <w:t>F0.2 的前景比例为 0.1415，相对测试集偏差 +0.73 个百分点；64 张批量采样耗时 44.83 s。前景比例较 G 更接近测试数据；它反映总体墨迹量，不能替代对数字形状的观察。</w:t>
      </w:r>
    </w:p>
    <w:p>
      <w:pPr>
        <w:pStyle w:val="Heading2"/>
        <w:pageBreakBefore/>
      </w:pPr>
      <w:r>
        <w:t>4.5　采样过程与正确性核对</w:t>
      </w:r>
    </w:p>
    <w:p>
      <w:pPr>
        <w:keepNext/>
        <w:spacing w:before="10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89164"/>
            <wp:docPr id="11" name="Picture 11" descr="图 11　最终模型前 8 张样本生成至第 7、14、28 行时的画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progr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8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　最终模型前 8 张样本生成至第 7、14、28 行时的画布。</w:t>
      </w:r>
    </w:p>
    <w:p>
      <w:pPr>
        <w:ind w:firstLine="440"/>
      </w:pPr>
      <w:r>
        <w:t>图 11 中每列对应同一张图像，未采样的位置保持为 0。表 8 的因果性检查固定历史前缀，扰动当前位置及其后的像素，检验前缀及当前位置的输出是否保持不变。</w:t>
      </w:r>
    </w:p>
    <w:p>
      <w:pPr>
        <w:pStyle w:val="Caption"/>
        <w:keepNext/>
        <w:keepLines/>
        <w:jc w:val="center"/>
      </w:pPr>
      <w:r>
        <w:t>表 8　关键正确性检查</w:t>
      </w:r>
    </w:p>
    <w:tbl>
      <w:tblPr>
        <w:tblW w:type="auto" w:w="0"/>
        <w:jc w:val="center"/>
        <w:tblLayout w:type="fixed"/>
        <w:tblLook w:firstColumn="0" w:firstRow="0" w:lastColumn="0" w:lastRow="0" w:noHBand="0" w:noVBand="0" w:val="0000"/>
        <w:tblBorders>
          <w:top w:val="single" w:sz="10" w:color="000000"/>
          <w:bottom w:val="single" w:sz="10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  <w:tblCellMar>
          <w:top w:w="35" w:type="dxa"/>
          <w:bottom w:w="35" w:type="dxa"/>
          <w:left w:w="80" w:type="dxa"/>
          <w:right w:w="80" w:type="dxa"/>
        </w:tblCellMar>
      </w:tblPr>
      <w:tblGrid>
        <w:gridCol w:w="5669"/>
        <w:gridCol w:w="3402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/>
                <w:sz w:val="19"/>
              </w:rPr>
              <w:t>检查项目</w:t>
            </w:r>
          </w:p>
        </w:tc>
        <w:tc>
          <w:tcPr>
            <w:tcW w:type="dxa" w:w="3402"/>
            <w:vAlign w:val="center"/>
            <w:tcBorders>
              <w:bottom w:val="single" w:sz="5" w:color="000000"/>
            </w:tcBorders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A/B 掩码、手算卷积与遮蔽梯度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基础随机网络：前缀误差／未来梯度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0.0 / 0.0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基础／双分支：2×2 联合概率之和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1.000000000000 / 1.000000000000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双分支随机网络：前缀误差／未来梯度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0.0 / 0.0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双分支随机网络：样本间独立性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G 及所选检查点：前缀误差／未来梯度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训练／评估前缀 0.0；未来梯度 0.0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结构路径：检查位置／泄露位置／缺失历史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784 / 0 / 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left"/>
            </w:pPr>
            <w:r>
              <w:rPr>
                <w:b w:val="0"/>
                <w:sz w:val="19"/>
              </w:rPr>
              <w:t>右下角输出可达历史像素数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64" w:lineRule="auto"/>
              <w:ind w:firstLine="0"/>
              <w:jc w:val="center"/>
            </w:pPr>
            <w:r>
              <w:rPr>
                <w:b w:val="0"/>
                <w:sz w:val="19"/>
              </w:rPr>
              <w:t>783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</w:pPr>
      <w:r>
        <w:t>5　结论</w:t>
      </w:r>
    </w:p>
    <w:p>
      <w:pPr>
        <w:ind w:firstLine="440"/>
      </w:pPr>
      <w:r>
        <w:t>本作业证明了二值自回归模型的 NLL 与交叉熵等价，实现 A/B 型掩码、逐位置通道归一化及逐像素无条件采样，并完成训练配置、网络结构和续训策略的实验。S0、S2、G 及所选模型的测试 NLL 依次为 62.1889、60.4827、55.3111 和 54.6024 nats/image。更长训练和参数调整降低了标准模型的似然损失；门控双分支扩大因果上下文，并显示出后期过拟合；低学习率、EMA 与正则化对照进一步改善验证及测试似然。</w:t>
      </w:r>
    </w:p>
    <w:p>
      <w:pPr>
        <w:spacing w:line="300" w:lineRule="auto"/>
        <w:ind w:firstLine="440"/>
      </w:pPr>
      <w:r>
        <w:rPr>
          <w:sz w:val="19"/>
        </w:rPr>
        <w:t>完整样本体现了模型对数字轮廓和局部笔画的学习，同时包含断笔、孤立像素与含混形状。NLL、前景比例和主观可辨认程度应分别判断。每种配置只训练一个种子；结构实验同时改变门控、上下文和参数量，续训同时调整学习率、调度及 EMA，因此结果支持完整训练方案之间的比较，不能确定每个组件的独立作用或跨种子的稳定优势。</w:t>
      </w:r>
    </w:p>
    <w:p>
      <w:pPr>
        <w:pStyle w:val="Heading1"/>
      </w:pPr>
      <w:r>
        <w:t>参考文献</w:t>
      </w:r>
    </w:p>
    <w:p>
      <w:pPr>
        <w:keepNext/>
        <w:keepLines/>
        <w:tabs>
          <w:tab w:pos="369" w:val="left"/>
        </w:tabs>
        <w:spacing w:line="276" w:lineRule="auto" w:before="0" w:after="80"/>
        <w:ind w:left="369" w:hanging="369"/>
      </w:pPr>
      <w:r>
        <w:rPr>
          <w:sz w:val="18"/>
        </w:rPr>
        <w:t>[1]</w:t>
        <w:tab/>
        <w:t>PyTorch. BCEWithLogitsLoss[EB/OL]. [2026-09-22]. https://docs.pytorch.org/docs/stable/generated/torch.nn.BCEWithLogitsLoss.html.</w:t>
      </w:r>
    </w:p>
    <w:p>
      <w:pPr>
        <w:keepNext/>
        <w:keepLines/>
        <w:tabs>
          <w:tab w:pos="369" w:val="left"/>
        </w:tabs>
        <w:spacing w:line="276" w:lineRule="auto" w:before="0" w:after="80"/>
        <w:ind w:left="369" w:hanging="369"/>
      </w:pPr>
      <w:r>
        <w:rPr>
          <w:sz w:val="18"/>
        </w:rPr>
        <w:t>[2]</w:t>
        <w:tab/>
        <w:t>VAN DEN OORD A, KALCHBRENNER N, KAVUKCUOGLU K. Pixel recurrent neural networks[C]//Proceedings of the 33rd International Conference on Machine Learning. PMLR, 2016, 48: 1747–1756.</w:t>
      </w:r>
    </w:p>
    <w:p>
      <w:pPr>
        <w:keepNext/>
        <w:keepLines/>
        <w:tabs>
          <w:tab w:pos="369" w:val="left"/>
        </w:tabs>
        <w:spacing w:line="276" w:lineRule="auto" w:before="0" w:after="80"/>
        <w:ind w:left="369" w:hanging="369"/>
      </w:pPr>
      <w:r>
        <w:rPr>
          <w:sz w:val="18"/>
        </w:rPr>
        <w:t>[3]</w:t>
        <w:tab/>
        <w:t>VAN DEN OORD A, KALCHBRENNER N, ESPEHOLT L, et al. Conditional image generation with PixelCNN decoders[C]//Advances in Neural Information Processing Systems. 2016, 29.</w:t>
      </w:r>
    </w:p>
    <w:p>
      <w:pPr>
        <w:keepNext/>
        <w:keepLines/>
        <w:tabs>
          <w:tab w:pos="369" w:val="left"/>
        </w:tabs>
        <w:spacing w:line="276" w:lineRule="auto" w:before="0" w:after="80"/>
        <w:ind w:left="369" w:hanging="369"/>
      </w:pPr>
      <w:r>
        <w:rPr>
          <w:sz w:val="18"/>
        </w:rPr>
        <w:t>[4]</w:t>
        <w:tab/>
        <w:t>LECUN Y, CORTES C, BURGES C J C. The MNIST database of handwritten digits[EB/OL]. [2026-09-22]. https://yann.lecun.org/exdb/mnist/.</w:t>
      </w:r>
    </w:p>
    <w:p>
      <w:pPr>
        <w:keepNext w:val="0"/>
        <w:keepLines/>
        <w:tabs>
          <w:tab w:pos="369" w:val="left"/>
        </w:tabs>
        <w:spacing w:line="276" w:lineRule="auto" w:before="0" w:after="80"/>
        <w:ind w:left="369" w:hanging="369"/>
      </w:pPr>
      <w:r>
        <w:rPr>
          <w:sz w:val="18"/>
        </w:rPr>
        <w:t>[5]</w:t>
        <w:tab/>
        <w:t>SALIMANS T, KARPATHY A, CHEN X, et al. PixelCNN++: Improving the PixelCNN with discretized logistic mixture likelihood and other modifications[C]//International Conference on Learning Representations. 2017. arXiv:1701.05517.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5" w:color="000000"/>
      </w:pBdr>
    </w:pPr>
    <w:r>
      <w:rPr>
        <w:sz w:val="18"/>
      </w:rPr>
      <w:t>生成式人工智能课程作业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8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 w:before="80"/>
      <w:ind w:firstLine="0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before="80" w:after="120"/>
      <w:ind w:firstLine="0"/>
    </w:pPr>
    <w:rPr>
      <w:rFonts w:ascii="Times New Roman" w:hAnsi="Times New Roman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80" w:after="120"/>
      <w:ind w:firstLine="0"/>
    </w:pPr>
    <w:rPr>
      <w:rFonts w:ascii="Times New Roman" w:hAnsi="Times New Roman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自回归生成模型：理论推导与 PixelCNN 实验</dc:title>
  <dc:subject>生成式人工智能课程作业1</dc:subject>
  <dc:creator/>
  <cp:keywords>PixelCNN; MNIST; 负对数似然; 二元交叉熵</cp:keywords>
  <dc:description/>
  <cp:lastModifiedBy/>
  <cp:revision>1</cp:revision>
  <dcterms:created xsi:type="dcterms:W3CDTF">2026-10-03T06:19:05Z</dcterms:created>
  <dcterms:modified xsi:type="dcterms:W3CDTF">2026-10-03T06:19:05Z</dcterms:modified>
  <cp:category>课程实验报告</cp:category>
</cp:coreProperties>
</file>