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PRD_海外导航地图_换肤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产品需求文档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换肤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10"/>
        <w:gridCol w:w="975"/>
        <w:gridCol w:w="705"/>
        <w:gridCol w:w="840"/>
        <w:gridCol w:w="5250"/>
      </w:tblGrid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日期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修改人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变更类型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变更内容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2023-8-31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王梦卿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1概要4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2名词定义4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3功能5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3.1换肤5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3.1.1基本功能5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3.1.1.1主题切换的场景5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3.1.1.2主题状态5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3.1.1.3主题切换流程5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3.1.1.4主题管理7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3.1.1.5主题资源8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3.1.1.6主题要素8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3.1.1.7车标切换10</w:t>
      </w:r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概要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换肤功能提供用户可以切换和更新导航软件界面的功能。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个性化体验：用户可以根据自己的喜好和需求选择不同的皮肤，使导航软件的界面更加个性化。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主题选择：提供不同主题的皮肤，例如季节主题、节日主题或特殊主题，以满足用户在不同时间和场合的需求。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皮肤定制：客户可以根据定制车机皮肤，包括颜色、图案、样式等，以创造独特的界面风格。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名词定义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解释文档中使用的名词。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42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功能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换肤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3.1.1 </w:t>
      </w:r>
      <w:r>
        <w:rPr>
          <w:rFonts w:eastAsia="等线" w:ascii="Arial" w:cs="Arial" w:hAnsi="Arial"/>
          <w:b w:val="true"/>
          <w:sz w:val="30"/>
        </w:rPr>
        <w:t>基本功能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联网时，用户可通过在线下载相关主题，进行导航中的HMI界面和地图的皮肤切换。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每套皮肤同时提供昼夜色的更新样式。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同时支持用户进行车标切换。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3.1.1.1 </w:t>
      </w:r>
      <w:r>
        <w:rPr>
          <w:rFonts w:eastAsia="等线" w:ascii="Arial" w:cs="Arial" w:hAnsi="Arial"/>
          <w:b w:val="true"/>
          <w:sz w:val="28"/>
        </w:rPr>
        <w:t>主题切换的场景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包括云端【有新主题更新】和云端【已下载主题有更新】两种场景。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【有新主题更新】：云端有本地未下载的新主题。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33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【已下载主题有更新】：当本地已下载的主题，云端有新版本更新。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52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3.1.1.2 </w:t>
      </w:r>
      <w:r>
        <w:rPr>
          <w:rFonts w:eastAsia="等线" w:ascii="Arial" w:cs="Arial" w:hAnsi="Arial"/>
          <w:b w:val="true"/>
          <w:sz w:val="28"/>
        </w:rPr>
        <w:t>主题状态</w:t>
      </w:r>
      <w:bookmarkEnd w:id="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包括【使用中】，【待下载】，【待更新】，【下载中】，【待使用】。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210"/>
        <w:gridCol w:w="2070"/>
      </w:tblGrid>
      <w:tr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【使用中】：当前正在的使用主题状态显示，并提供当前使用中的标签。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904875" cy="3619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210"/>
        <w:gridCol w:w="2070"/>
      </w:tblGrid>
      <w:tr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【待下载】：未下载的主题状态显示。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047750" cy="2667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199"/>
        <w:gridCol w:w="2080"/>
      </w:tblGrid>
      <w:tr>
        <w:tc>
          <w:tcPr>
            <w:tcW w:w="619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【待更新】：已下载的主题有版本更新状态显示。</w:t>
            </w:r>
          </w:p>
        </w:tc>
        <w:tc>
          <w:tcPr>
            <w:tcW w:w="2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162050" cy="3238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199"/>
        <w:gridCol w:w="2080"/>
      </w:tblGrid>
      <w:tr>
        <w:tc>
          <w:tcPr>
            <w:tcW w:w="619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【下载中】：下载中的主题状态显示。</w:t>
            </w:r>
          </w:p>
        </w:tc>
        <w:tc>
          <w:tcPr>
            <w:tcW w:w="2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162050" cy="2190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230"/>
        <w:gridCol w:w="2049"/>
      </w:tblGrid>
      <w:tr>
        <w:tc>
          <w:tcPr>
            <w:tcW w:w="6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【更新中】：已下载的主题进行版本更新显示。</w:t>
            </w:r>
          </w:p>
        </w:tc>
        <w:tc>
          <w:tcPr>
            <w:tcW w:w="204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143000" cy="2286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250"/>
        <w:gridCol w:w="2029"/>
      </w:tblGrid>
      <w:tr>
        <w:tc>
          <w:tcPr>
            <w:tcW w:w="6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【待使用】：已下载的主题状态显示。</w:t>
            </w:r>
          </w:p>
        </w:tc>
        <w:tc>
          <w:tcPr>
            <w:tcW w:w="20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476250" cy="19050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3.1.1.3 </w:t>
      </w:r>
      <w:r>
        <w:rPr>
          <w:rFonts w:eastAsia="等线" w:ascii="Arial" w:cs="Arial" w:hAnsi="Arial"/>
          <w:b w:val="true"/>
          <w:sz w:val="28"/>
        </w:rPr>
        <w:t>主题切换流程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【有新主题更新】：导航启动并联网后，当</w:t>
      </w:r>
      <w:r>
        <w:rPr>
          <w:rFonts w:eastAsia="等线" w:ascii="Arial" w:cs="Arial" w:hAnsi="Arial"/>
          <w:b w:val="true"/>
          <w:sz w:val="22"/>
        </w:rPr>
        <w:t>云端有新主题</w:t>
      </w:r>
      <w:r>
        <w:rPr>
          <w:rFonts w:eastAsia="等线" w:ascii="Arial" w:cs="Arial" w:hAnsi="Arial"/>
          <w:sz w:val="22"/>
        </w:rPr>
        <w:t>更新时，通知用户有主题更新。同时支持进入主题画页进行查看。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【已下载主题有更新】：导航启动并联网后，当</w:t>
      </w:r>
      <w:r>
        <w:rPr>
          <w:rFonts w:eastAsia="等线" w:ascii="Arial" w:cs="Arial" w:hAnsi="Arial"/>
          <w:b w:val="true"/>
          <w:sz w:val="22"/>
        </w:rPr>
        <w:t>已下载主题有更新</w:t>
      </w:r>
      <w:r>
        <w:rPr>
          <w:rFonts w:eastAsia="等线" w:ascii="Arial" w:cs="Arial" w:hAnsi="Arial"/>
          <w:sz w:val="22"/>
        </w:rPr>
        <w:t>时，通知用户有主题更新。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每个新主题版本仅通知一次。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显示：当用户进入主题画页时，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a．联网时，提供可支持的全部主题列表。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955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b. 断网时，提供本地已保存的主题列表。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主题列表信息包括主题名称、样式图片、资源大小、状态。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主题列表包括本地预装主题和云端下载的主题。云端主题按照主题发布时间排序。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主题列表更新：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进入主题画页后，联网后开始下载当前页面中显示的样式图。未下载完成时，样式图显示默认样式。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继续翻页浏览时，再次请求下载需要显示的样式图。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样式图片下载后保存本地。再次进入画页时，不需要再进行下载。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主题最多显示个数可以配置。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用户选择下载时，下载皮肤资源文件。过程支持取消下载。取消后，删除本地已下载的资源文件。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异常处理及提示：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断网时，提示“网络异常，请联网重试”。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空间不足时，提示“空间不足”。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其他原因不能下载时，提示“下载失败”。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下载过程中由于APP退出（包括正常退出和异常Crash）重新启动后，删除本地未下载完成的主题资源，再次进入主题状态仍显示【待下载】的状态。</w:t>
      </w:r>
    </w:p>
    <w:p>
      <w:pPr>
        <w:spacing w:before="120" w:after="120" w:line="288" w:lineRule="auto"/>
        <w:ind w:left="0" w:firstLine="42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当下载完成时，进行主题资源包校验。如果校验成功，更新主题状态按钮的显示状态为【待使用】。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资源文件保存到本地，再次重启后不需要重新下载。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如果校验不成功，提示用户“下载失败，请重新下载。”。并删除本地已下载的资源包。</w:t>
      </w:r>
    </w:p>
    <w:p>
      <w:pPr>
        <w:spacing w:before="120" w:after="120" w:line="288" w:lineRule="auto"/>
        <w:ind w:left="0" w:firstLine="42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当用户选择切换主题时，更新主题状态为【使用中】。同时，导航不需要重新启动，HMI和地图同步进行更新。原有使用主题的状态从【使用中】更新为【待使用】。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切换失败时，提示用户“切换主题失败，请下载重试”。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对应的主题状态显示【待下载】。本地资源文件进行删除。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功能示意图：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【在线动态下载主题切换】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3.1.1.4 </w:t>
      </w:r>
      <w:r>
        <w:rPr>
          <w:rFonts w:eastAsia="等线" w:ascii="Arial" w:cs="Arial" w:hAnsi="Arial"/>
          <w:b w:val="true"/>
          <w:sz w:val="28"/>
        </w:rPr>
        <w:t>主题管理</w:t>
      </w:r>
      <w:bookmarkEnd w:id="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需要根据主题的不同版本，管理主题资源大小，所适用的车厂品牌、型号、分辨率、国家、软件适配版本，主题上线时间进行管理。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3.1.1.5 </w:t>
      </w:r>
      <w:r>
        <w:rPr>
          <w:rFonts w:eastAsia="等线" w:ascii="Arial" w:cs="Arial" w:hAnsi="Arial"/>
          <w:b w:val="true"/>
          <w:sz w:val="28"/>
        </w:rPr>
        <w:t>主题资源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基于功能需求，设计过程中定义具体资源包的形式和内容。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资源包需要加密，字头带校验码。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为了减少版本的内部管理成本，用户下载频率和下载流量的花费，主题的资源包从设计上需要尽量考虑不同版本间的兼容性。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为了减少用户下载流量和云端存储，主题的资源包从设计上需要满足功能的同时考虑尽量缩减大小。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3.1.1.6 </w:t>
      </w:r>
      <w:r>
        <w:rPr>
          <w:rFonts w:eastAsia="等线" w:ascii="Arial" w:cs="Arial" w:hAnsi="Arial"/>
          <w:b w:val="true"/>
          <w:sz w:val="28"/>
        </w:rPr>
        <w:t>主题要素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包括HMI界面要素和地图要素。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HMI要素：主要颜色、圆角、背景图的变化。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详细参考下图说明。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78"/>
        <w:gridCol w:w="4101"/>
      </w:tblGrid>
      <w:tr>
        <w:tc>
          <w:tcPr>
            <w:tcW w:w="417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95550" cy="1457325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47925" cy="145732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400"/>
        <w:gridCol w:w="3879"/>
      </w:tblGrid>
      <w:tr>
        <w:tc>
          <w:tcPr>
            <w:tcW w:w="4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38425" cy="130492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05050" cy="1295400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地图要素：主要切换的是大面积的元素。包括线和面，点不建议修改。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详细参考下图说明。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202"/>
        <w:gridCol w:w="4077"/>
      </w:tblGrid>
      <w:tr>
        <w:tc>
          <w:tcPr>
            <w:tcW w:w="420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14600" cy="1257300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28875" cy="1257300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3.1.1.7 </w:t>
      </w:r>
      <w:r>
        <w:rPr>
          <w:rFonts w:eastAsia="等线" w:ascii="Arial" w:cs="Arial" w:hAnsi="Arial"/>
          <w:b w:val="true"/>
          <w:sz w:val="28"/>
        </w:rPr>
        <w:t>车标切换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用户可以根据自己的喜好选择设定不同样式的车标。</w:t>
      </w:r>
    </w:p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27495">
    <w:lvl>
      <w:start w:val="1"/>
      <w:numFmt w:val="decimal"/>
      <w:suff w:val="tab"/>
      <w:lvlText w:val="%1."/>
      <w:rPr>
        <w:color w:val="3370ff"/>
      </w:rPr>
    </w:lvl>
  </w:abstractNum>
  <w:abstractNum w:abstractNumId="527496">
    <w:lvl>
      <w:start w:val="2"/>
      <w:numFmt w:val="decimal"/>
      <w:suff w:val="tab"/>
      <w:lvlText w:val="%1."/>
      <w:rPr>
        <w:color w:val="3370ff"/>
      </w:rPr>
    </w:lvl>
  </w:abstractNum>
  <w:abstractNum w:abstractNumId="527497">
    <w:lvl>
      <w:start w:val="3"/>
      <w:numFmt w:val="decimal"/>
      <w:suff w:val="tab"/>
      <w:lvlText w:val="%1."/>
      <w:rPr>
        <w:color w:val="3370ff"/>
      </w:rPr>
    </w:lvl>
  </w:abstractNum>
  <w:abstractNum w:abstractNumId="527498">
    <w:lvl>
      <w:start w:val="1"/>
      <w:numFmt w:val="lowerLetter"/>
      <w:suff w:val="tab"/>
      <w:lvlText w:val="%1."/>
      <w:rPr>
        <w:color w:val="3370ff"/>
      </w:rPr>
    </w:lvl>
  </w:abstractNum>
  <w:abstractNum w:abstractNumId="527499">
    <w:lvl>
      <w:start w:val="2"/>
      <w:numFmt w:val="lowerLetter"/>
      <w:suff w:val="tab"/>
      <w:lvlText w:val="%1."/>
      <w:rPr>
        <w:color w:val="3370ff"/>
      </w:rPr>
    </w:lvl>
  </w:abstractNum>
  <w:abstractNum w:abstractNumId="527500">
    <w:lvl>
      <w:start w:val="3"/>
      <w:numFmt w:val="lowerLetter"/>
      <w:suff w:val="tab"/>
      <w:lvlText w:val="%1."/>
      <w:rPr>
        <w:color w:val="3370ff"/>
      </w:rPr>
    </w:lvl>
  </w:abstractNum>
  <w:abstractNum w:abstractNumId="527501">
    <w:lvl>
      <w:start w:val="4"/>
      <w:numFmt w:val="decimal"/>
      <w:suff w:val="tab"/>
      <w:lvlText w:val="%1."/>
      <w:rPr>
        <w:color w:val="3370ff"/>
      </w:rPr>
    </w:lvl>
  </w:abstractNum>
  <w:abstractNum w:abstractNumId="527502">
    <w:lvl>
      <w:start w:val="5"/>
      <w:numFmt w:val="decimal"/>
      <w:suff w:val="tab"/>
      <w:lvlText w:val="%1."/>
      <w:rPr>
        <w:color w:val="3370ff"/>
      </w:rPr>
    </w:lvl>
  </w:abstractNum>
  <w:abstractNum w:abstractNumId="527503">
    <w:lvl>
      <w:start w:val="6"/>
      <w:numFmt w:val="decimal"/>
      <w:suff w:val="tab"/>
      <w:lvlText w:val="%1."/>
      <w:rPr>
        <w:color w:val="3370ff"/>
      </w:rPr>
    </w:lvl>
  </w:abstractNum>
  <w:abstractNum w:abstractNumId="527504">
    <w:lvl>
      <w:start w:val="1"/>
      <w:numFmt w:val="decimal"/>
      <w:suff w:val="tab"/>
      <w:lvlText w:val="%1."/>
      <w:rPr>
        <w:color w:val="3370ff"/>
      </w:rPr>
    </w:lvl>
  </w:abstractNum>
  <w:abstractNum w:abstractNumId="52750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27495"/>
  </w:num>
  <w:num w:numId="2">
    <w:abstractNumId w:val="527496"/>
  </w:num>
  <w:num w:numId="3">
    <w:abstractNumId w:val="527497"/>
  </w:num>
  <w:num w:numId="4">
    <w:abstractNumId w:val="527498"/>
  </w:num>
  <w:num w:numId="5">
    <w:abstractNumId w:val="527499"/>
  </w:num>
  <w:num w:numId="6">
    <w:abstractNumId w:val="527500"/>
  </w:num>
  <w:num w:numId="7">
    <w:abstractNumId w:val="527501"/>
  </w:num>
  <w:num w:numId="8">
    <w:abstractNumId w:val="527502"/>
  </w:num>
  <w:num w:numId="9">
    <w:abstractNumId w:val="527503"/>
  </w:num>
  <w:num w:numId="10">
    <w:abstractNumId w:val="527504"/>
  </w:num>
  <w:num w:numId="11">
    <w:abstractNumId w:val="5275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numbering.xml" Type="http://schemas.openxmlformats.org/officeDocument/2006/relationships/numbering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2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2025-09-01T05:40:42Z</dcterms:created>
  <dc:creator>Apache POI</dc:creator>
</cp:coreProperties>
</file>