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PRD_海外导航地图_在线导航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产品需求文档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>在线导航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975"/>
        <w:gridCol w:w="705"/>
        <w:gridCol w:w="525"/>
        <w:gridCol w:w="5550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日期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名字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状态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变更内容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2022-11-21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王梦卿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1概要4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2名词定义4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3功能5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3.1在线搜索5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3.2在线算路5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3.3在线引导5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3.4在线地图5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3.4.1本地缓存数据5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3.4.1.1本地缓存数据生成原则5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3.4.1.2本地缓存数据使用原则5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3.5混合导航6</w:t>
      </w:r>
    </w:p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概要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该文档主要介绍在线导航相关功能式样。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名词定义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解释文档中使用的名词。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721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名词</w:t>
            </w:r>
          </w:p>
        </w:tc>
        <w:tc>
          <w:tcPr>
            <w:tcW w:w="7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云端路线</w:t>
            </w:r>
          </w:p>
        </w:tc>
        <w:tc>
          <w:tcPr>
            <w:tcW w:w="7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使用云端在线算路服务计算出的路线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功能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在线导航提供了包括在线检索，在线引导，在线算路，在线地图，混合导航各功能，以满足不同场景的用户需求。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在线搜索</w:t>
      </w:r>
      <w:bookmarkEnd w:id="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在线搜索是指导航软件向在线搜索服务提交搜索请求，得到相应的搜索结果。在线搜索服务支持以下几种：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1.东软搜索服务，支持一框搜索，分类搜索，周边搜索以及沿路搜索。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2.支持接入其他服商提供的搜索服务，如Here的搜索服务。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3.支持接入搜索CP，根据用户输入关键字或者选择的搜索分类，从CP取得搜索结果并向用户展示。主要用于获取动态数据，如充电站的充电桩占用情况，加油站的价格，停车场的占用情况。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在线算路</w:t>
      </w:r>
      <w:bookmarkEnd w:id="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当联网时，在云端使用云端数据计算云端路线，然后将结果传回终端，展现给用户。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在线引导</w:t>
      </w:r>
      <w:bookmarkEnd w:id="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当引导路为云端路线时，在云端使用云端数据，制作引导数据，然后将结果传回终端，展现给用户。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在线地图</w:t>
      </w:r>
      <w:bookmarkEnd w:id="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导航既要支持离线地图数据，也要支持在线地图数据。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导航可以在没有离线地图数据时，通过使用在线地图数据，进行导航功能的展现。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功能包括定位、算路、引导、搜索、地图描画、拾取、车道级导航等等。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功能展现的效果与使用离线地图数据一致。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3.4.1 </w:t>
      </w:r>
      <w:r>
        <w:rPr>
          <w:rFonts w:eastAsia="等线" w:ascii="Arial" w:cs="Arial" w:hAnsi="Arial"/>
          <w:b w:val="true"/>
          <w:sz w:val="30"/>
        </w:rPr>
        <w:t>本地缓存数据</w:t>
      </w:r>
      <w:bookmarkEnd w:id="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终端通过云端得到在线地图数据后，要生成相应的本地缓存数据，在需要使用本地缓存数据的时机，使用本地缓存数据描画地图或定位。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3.4.1.1 </w:t>
      </w:r>
      <w:r>
        <w:rPr>
          <w:rFonts w:eastAsia="等线" w:ascii="Arial" w:cs="Arial" w:hAnsi="Arial"/>
          <w:b w:val="true"/>
          <w:sz w:val="28"/>
        </w:rPr>
        <w:t>本地缓存数据生成原则</w:t>
      </w:r>
      <w:bookmarkEnd w:id="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终端通过云端得到在线地图数据后，要确认是否有对应的本地缓存数据，以及本地缓存数据的版本。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当终端没有对应的本地缓存数据时，终端生成对应的本地缓存数据。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当终端有对应的本地缓存数据，但版本比在线数据旧时，使用新版本数据，替换对应的本地缓存数据。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当终端有对应的本地缓存数据，并且版本与在线数据一样时，不做处理。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在线数据与对应生成的本地缓存数据，应该是按照范围和比例尺一一对应的。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3.4.1.2 </w:t>
      </w:r>
      <w:r>
        <w:rPr>
          <w:rFonts w:eastAsia="等线" w:ascii="Arial" w:cs="Arial" w:hAnsi="Arial"/>
          <w:b w:val="true"/>
          <w:sz w:val="28"/>
        </w:rPr>
        <w:t>本地缓存数据使用原则</w:t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本地缓存数据用于地图描画和定位，不用于算路、引导、搜索。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使用本地缓存数据描画地图显示的内容，应与使用在线数据或离线数据显示内容一致。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本地缓存数据要有存储的上限，根据硬件和项目的要求设定。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本地缓存数据到达上限后，按照如下规则更新数据，优先级从高到低：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自车所在城市的本地缓存数据优先保留。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使用时间新的本地缓存数据优先保留。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3.5 </w:t>
      </w:r>
      <w:r>
        <w:rPr>
          <w:rFonts w:eastAsia="等线" w:ascii="Arial" w:cs="Arial" w:hAnsi="Arial"/>
          <w:b w:val="true"/>
          <w:sz w:val="32"/>
        </w:rPr>
        <w:t>混合导航</w:t>
      </w:r>
      <w:bookmarkEnd w:id="1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混合导航是指根据应用场景在在线导航和离线导航（所有处理逻辑由车机端处理。）间进行切换，</w:t>
      </w:r>
    </w:p>
    <w:p>
      <w:pPr>
        <w:spacing w:before="120" w:after="120" w:line="288" w:lineRule="auto"/>
        <w:ind w:left="0" w:firstLine="42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当导航网络连接时，由于云端的DB数据的新鲜度以及云端强大的处理能力，算路、检索、引导、描画机能需要使用云端的数据以及算力，进行相应机能的动作。保证提供给客户更好的导航体验。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当导航网络断开时：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云端下载数据满足使用要求，仍可以使用云端数据进行引导、定位、描画。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云端下载数据不能满足使用要求，可以自动切换到本地，提供算路、引导、定位、描画功能。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701012">
    <w:lvl>
      <w:start w:val="1"/>
      <w:numFmt w:val="decimal"/>
      <w:suff w:val="tab"/>
      <w:lvlText w:val="%1."/>
      <w:rPr>
        <w:color w:val="3370ff"/>
      </w:rPr>
    </w:lvl>
  </w:abstractNum>
  <w:abstractNum w:abstractNumId="1701013">
    <w:lvl>
      <w:start w:val="2"/>
      <w:numFmt w:val="decimal"/>
      <w:suff w:val="tab"/>
      <w:lvlText w:val="%1."/>
      <w:rPr>
        <w:color w:val="3370ff"/>
      </w:rPr>
    </w:lvl>
  </w:abstractNum>
  <w:abstractNum w:abstractNumId="1701014">
    <w:lvl>
      <w:start w:val="3"/>
      <w:numFmt w:val="decimal"/>
      <w:suff w:val="tab"/>
      <w:lvlText w:val="%1."/>
      <w:rPr>
        <w:color w:val="3370ff"/>
      </w:rPr>
    </w:lvl>
  </w:abstractNum>
  <w:abstractNum w:abstractNumId="1701015">
    <w:lvl>
      <w:start w:val="1"/>
      <w:numFmt w:val="lowerLetter"/>
      <w:suff w:val="tab"/>
      <w:lvlText w:val="%1."/>
      <w:rPr>
        <w:color w:val="3370ff"/>
      </w:rPr>
    </w:lvl>
  </w:abstractNum>
  <w:abstractNum w:abstractNumId="1701016">
    <w:lvl>
      <w:start w:val="2"/>
      <w:numFmt w:val="lowerLetter"/>
      <w:suff w:val="tab"/>
      <w:lvlText w:val="%1."/>
      <w:rPr>
        <w:color w:val="3370ff"/>
      </w:rPr>
    </w:lvl>
  </w:abstractNum>
  <w:abstractNum w:abstractNumId="1701017">
    <w:lvl>
      <w:numFmt w:val="bullet"/>
      <w:suff w:val="tab"/>
      <w:lvlText w:val="•"/>
      <w:rPr>
        <w:color w:val="3370ff"/>
      </w:rPr>
    </w:lvl>
  </w:abstractNum>
  <w:abstractNum w:abstractNumId="1701018">
    <w:lvl>
      <w:numFmt w:val="bullet"/>
      <w:suff w:val="tab"/>
      <w:lvlText w:val="•"/>
      <w:rPr>
        <w:color w:val="3370ff"/>
      </w:rPr>
    </w:lvl>
  </w:abstractNum>
  <w:abstractNum w:abstractNumId="1701019">
    <w:lvl>
      <w:numFmt w:val="bullet"/>
      <w:suff w:val="tab"/>
      <w:lvlText w:val="￮"/>
      <w:rPr>
        <w:color w:val="3370ff"/>
      </w:rPr>
    </w:lvl>
  </w:abstractNum>
  <w:abstractNum w:abstractNumId="1701020">
    <w:lvl>
      <w:numFmt w:val="bullet"/>
      <w:suff w:val="tab"/>
      <w:lvlText w:val="￮"/>
      <w:rPr>
        <w:color w:val="3370ff"/>
      </w:rPr>
    </w:lvl>
  </w:abstractNum>
  <w:num w:numId="1">
    <w:abstractNumId w:val="1701012"/>
  </w:num>
  <w:num w:numId="2">
    <w:abstractNumId w:val="1701013"/>
  </w:num>
  <w:num w:numId="3">
    <w:abstractNumId w:val="1701014"/>
  </w:num>
  <w:num w:numId="4">
    <w:abstractNumId w:val="1701015"/>
  </w:num>
  <w:num w:numId="5">
    <w:abstractNumId w:val="1701016"/>
  </w:num>
  <w:num w:numId="6">
    <w:abstractNumId w:val="1701017"/>
  </w:num>
  <w:num w:numId="7">
    <w:abstractNumId w:val="1701018"/>
  </w:num>
  <w:num w:numId="8">
    <w:abstractNumId w:val="1701019"/>
  </w:num>
  <w:num w:numId="9">
    <w:abstractNumId w:val="17010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2025-09-01T05:41:45Z</dcterms:created>
  <dc:creator>Apache POI</dc:creator>
</cp:coreProperties>
</file>