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PRD_海外导航地图_定位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产品需求文档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定位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930"/>
        <w:gridCol w:w="660"/>
        <w:gridCol w:w="915"/>
        <w:gridCol w:w="5280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变更类型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变更内容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2022-11-21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王梦卿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1概要4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2名词定义4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3功能4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3.1GNSS全球位置服务系统4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3.2惯导功能4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3.2.1基本功能4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3.2.1.1功能场景5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3.2.1.2功能输入5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3.2.1.3功能输出5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3.2.1.4初始定位能力5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3.2.1.5误差融合能力5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3.2.1.6数据保存和恢复6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3.2.1.7异常处理6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3.3导航定位6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3.4卫星信号状态6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3.5手动修正自车位置6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概要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本文档主要记述定位功能式样。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名词定义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解释文档中使用的名词。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GNSS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全称Global Navigation Satellite System，即全球卫星导航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全称Global Positioning System，全球定位系统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GLONASS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全称Global Navigation Satellite System，格洛纳斯定位系统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Galileo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全称Galileo satellite navigation system，伽利略卫星导航系统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全称Dead Reckoning，绝对位置推算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IMU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全称Inertial Measurement Unit，惯性测量单元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功能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GNSS全球位置服务系统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可兼容多个定位系统。包括支持 GPS/ GLONASS / Galileo /北斗等导航定位系统。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惯导功能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等线" w:ascii="Arial" w:cs="Arial" w:hAnsi="Arial"/>
          <w:b w:val="true"/>
          <w:sz w:val="30"/>
        </w:rPr>
        <w:t>基本功能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通过GNSS和惯导融合定位的所需传感器数据（3D陀螺仪，加速度传感器，车速信号，车辆状态信号（前进，后退）等），进行数据融合位置推算后，最终提供推算的位置信息。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概要图如下：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3.2.1.1 </w:t>
      </w:r>
      <w:r>
        <w:rPr>
          <w:rFonts w:eastAsia="等线" w:ascii="Arial" w:cs="Arial" w:hAnsi="Arial"/>
          <w:b w:val="true"/>
          <w:sz w:val="28"/>
        </w:rPr>
        <w:t>功能场景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有GNSS数据的情况下（空旷无遮挡区域），可提供自车位置相关信息。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无GNSS数据的情况下（例如隧道，地下停车场，高架桥遮挡区域等），可提供自车位置相关信息。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3.2.1.2 </w:t>
      </w:r>
      <w:r>
        <w:rPr>
          <w:rFonts w:eastAsia="等线" w:ascii="Arial" w:cs="Arial" w:hAnsi="Arial"/>
          <w:b w:val="true"/>
          <w:sz w:val="28"/>
        </w:rPr>
        <w:t>功能输入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基本输入内容如下：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车辆传感器（车速信息，陀螺仪，加速度传感器）：输入的频度供应商不同有所差异。推算车辆位置和方向信息。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车辆信号（倒车信号等）：提供倒车信息等，用于更新车辆位置使用。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GNSS：输入的频率为1hz。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车辆安装角度。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3.2.1.3 </w:t>
      </w:r>
      <w:r>
        <w:rPr>
          <w:rFonts w:eastAsia="等线" w:ascii="Arial" w:cs="Arial" w:hAnsi="Arial"/>
          <w:b w:val="true"/>
          <w:sz w:val="28"/>
        </w:rPr>
        <w:t>功能输出</w:t>
      </w:r>
      <w:bookmarkEnd w:id="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推算提供的自车位置信息，包括自车绝对经纬度、方向和速度信息。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3.2.1.4 </w:t>
      </w:r>
      <w:r>
        <w:rPr>
          <w:rFonts w:eastAsia="等线" w:ascii="Arial" w:cs="Arial" w:hAnsi="Arial"/>
          <w:b w:val="true"/>
          <w:sz w:val="28"/>
        </w:rPr>
        <w:t>初始定位能力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自车初始定位时，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无GNSS信号时，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如果有上次保存的自车位置时，提供保存的自车位置。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如果没有上次保存的自车位置，提供默认自车位置。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当GNSS信号弱时，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如果有上次保存的自车位置且与GNSS位置偏差小（&lt;1km）时，提供保存的自车位置。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如果有上次保存的自车位置且与GNSS位置偏差大（&gt;1km）时，提供GNSS位置。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当GNSS信号强时，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如果有上次保存的自车位置且GNSS位置偏差小（小于误差圆半径）时，提供保存的自车位置。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如果有上次保存的自车位置且GNSS位置偏差大（大于误差圆半径）时，提供GNSS位置。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3.2.1.5 </w:t>
      </w:r>
      <w:r>
        <w:rPr>
          <w:rFonts w:eastAsia="等线" w:ascii="Arial" w:cs="Arial" w:hAnsi="Arial"/>
          <w:b w:val="true"/>
          <w:sz w:val="28"/>
        </w:rPr>
        <w:t>误差融合能力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惯性导航系统内部需要包含DR自修正机制，以减少累积误差。算法可动态的补正传感器自身误差。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自车位置更新时，考虑GNSS精度高时，结合DR推算位置，补正绝对位置。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3.2.1.6 </w:t>
      </w:r>
      <w:r>
        <w:rPr>
          <w:rFonts w:eastAsia="等线" w:ascii="Arial" w:cs="Arial" w:hAnsi="Arial"/>
          <w:b w:val="true"/>
          <w:sz w:val="28"/>
        </w:rPr>
        <w:t>数据保存和恢复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惯导功能可以通过保存自车位置信息和传感器相关的补正值，从而提高惯导初始定位的能力。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数据保存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保存内容：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自车位置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传感器相关补正参数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数据恢复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再次启动时，恢复保存的数据信息，进行使用。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3.2.1.7 </w:t>
      </w:r>
      <w:r>
        <w:rPr>
          <w:rFonts w:eastAsia="等线" w:ascii="Arial" w:cs="Arial" w:hAnsi="Arial"/>
          <w:b w:val="true"/>
          <w:sz w:val="28"/>
        </w:rPr>
        <w:t>异常处理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不能按照时间间隔取得速度信息，使用上次速度信息。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不能按照时间间隔取得陀螺仪和加速传感器数据，不计算相关变化值。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不能收到GNSS信号，无上次保存位置信息，初始定位时以默认自车位置开始进行位置推算。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导航定位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结合惯性导航和地图数据融合进行地图匹配后，提供匹配后的自车位置、方向和匹配道路的信息。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卫星信号状态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定位模块可以输出GNSS的信号状态。用于用户在使用导航时查看。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信号状态包括3D测位中（GNSS受信好），2D测位中（GNSS受信弱），无信号（GNSS无法受信）。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手动修正自车位置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用户可以手动修正自车位置和方向。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13292">
    <w:lvl>
      <w:start w:val="1"/>
      <w:numFmt w:val="decimal"/>
      <w:suff w:val="tab"/>
      <w:lvlText w:val="%1."/>
      <w:rPr>
        <w:color w:val="3370ff"/>
      </w:rPr>
    </w:lvl>
  </w:abstractNum>
  <w:abstractNum w:abstractNumId="813293">
    <w:lvl>
      <w:start w:val="2"/>
      <w:numFmt w:val="decimal"/>
      <w:suff w:val="tab"/>
      <w:lvlText w:val="%1."/>
      <w:rPr>
        <w:color w:val="3370ff"/>
      </w:rPr>
    </w:lvl>
  </w:abstractNum>
  <w:abstractNum w:abstractNumId="813294">
    <w:lvl>
      <w:start w:val="1"/>
      <w:numFmt w:val="lowerLetter"/>
      <w:suff w:val="tab"/>
      <w:lvlText w:val="%1."/>
      <w:rPr>
        <w:color w:val="3370ff"/>
      </w:rPr>
    </w:lvl>
  </w:abstractNum>
  <w:abstractNum w:abstractNumId="813295">
    <w:lvl>
      <w:start w:val="2"/>
      <w:numFmt w:val="lowerLetter"/>
      <w:suff w:val="tab"/>
      <w:lvlText w:val="%1."/>
      <w:rPr>
        <w:color w:val="3370ff"/>
      </w:rPr>
    </w:lvl>
  </w:abstractNum>
  <w:abstractNum w:abstractNumId="813296">
    <w:lvl>
      <w:start w:val="3"/>
      <w:numFmt w:val="lowerLetter"/>
      <w:suff w:val="tab"/>
      <w:lvlText w:val="%1."/>
      <w:rPr>
        <w:color w:val="3370ff"/>
      </w:rPr>
    </w:lvl>
  </w:abstractNum>
  <w:abstractNum w:abstractNumId="813297">
    <w:lvl>
      <w:start w:val="1"/>
      <w:numFmt w:val="decimal"/>
      <w:suff w:val="tab"/>
      <w:lvlText w:val="%1."/>
      <w:rPr>
        <w:color w:val="3370ff"/>
      </w:rPr>
    </w:lvl>
  </w:abstractNum>
  <w:abstractNum w:abstractNumId="813298">
    <w:lvl>
      <w:start w:val="2"/>
      <w:numFmt w:val="decimal"/>
      <w:suff w:val="tab"/>
      <w:lvlText w:val="%1."/>
      <w:rPr>
        <w:color w:val="3370ff"/>
      </w:rPr>
    </w:lvl>
  </w:abstractNum>
  <w:abstractNum w:abstractNumId="813299">
    <w:lvl>
      <w:start w:val="1"/>
      <w:numFmt w:val="decimal"/>
      <w:suff w:val="tab"/>
      <w:lvlText w:val="%1."/>
      <w:rPr>
        <w:color w:val="3370ff"/>
      </w:rPr>
    </w:lvl>
  </w:abstractNum>
  <w:abstractNum w:abstractNumId="813300">
    <w:lvl>
      <w:start w:val="1"/>
      <w:numFmt w:val="lowerLetter"/>
      <w:suff w:val="tab"/>
      <w:lvlText w:val="%1."/>
      <w:rPr>
        <w:color w:val="3370ff"/>
      </w:rPr>
    </w:lvl>
  </w:abstractNum>
  <w:abstractNum w:abstractNumId="813301">
    <w:lvl>
      <w:start w:val="2"/>
      <w:numFmt w:val="lowerLetter"/>
      <w:suff w:val="tab"/>
      <w:lvlText w:val="%1."/>
      <w:rPr>
        <w:color w:val="3370ff"/>
      </w:rPr>
    </w:lvl>
  </w:abstractNum>
  <w:abstractNum w:abstractNumId="813302">
    <w:lvl>
      <w:start w:val="2"/>
      <w:numFmt w:val="decimal"/>
      <w:suff w:val="tab"/>
      <w:lvlText w:val="%1."/>
      <w:rPr>
        <w:color w:val="3370ff"/>
      </w:rPr>
    </w:lvl>
  </w:abstractNum>
  <w:abstractNum w:abstractNumId="813303">
    <w:lvl>
      <w:start w:val="1"/>
      <w:numFmt w:val="decimal"/>
      <w:suff w:val="tab"/>
      <w:lvlText w:val="%1."/>
      <w:rPr>
        <w:color w:val="3370ff"/>
      </w:rPr>
    </w:lvl>
  </w:abstractNum>
  <w:abstractNum w:abstractNumId="813304">
    <w:lvl>
      <w:start w:val="2"/>
      <w:numFmt w:val="decimal"/>
      <w:suff w:val="tab"/>
      <w:lvlText w:val="%1."/>
      <w:rPr>
        <w:color w:val="3370ff"/>
      </w:rPr>
    </w:lvl>
  </w:abstractNum>
  <w:abstractNum w:abstractNumId="81330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13292"/>
  </w:num>
  <w:num w:numId="2">
    <w:abstractNumId w:val="813293"/>
  </w:num>
  <w:num w:numId="3">
    <w:abstractNumId w:val="813294"/>
  </w:num>
  <w:num w:numId="4">
    <w:abstractNumId w:val="813295"/>
  </w:num>
  <w:num w:numId="5">
    <w:abstractNumId w:val="813296"/>
  </w:num>
  <w:num w:numId="6">
    <w:abstractNumId w:val="813297"/>
  </w:num>
  <w:num w:numId="7">
    <w:abstractNumId w:val="813298"/>
  </w:num>
  <w:num w:numId="8">
    <w:abstractNumId w:val="813299"/>
  </w:num>
  <w:num w:numId="9">
    <w:abstractNumId w:val="813300"/>
  </w:num>
  <w:num w:numId="10">
    <w:abstractNumId w:val="813301"/>
  </w:num>
  <w:num w:numId="11">
    <w:abstractNumId w:val="813302"/>
  </w:num>
  <w:num w:numId="12">
    <w:abstractNumId w:val="813303"/>
  </w:num>
  <w:num w:numId="13">
    <w:abstractNumId w:val="813304"/>
  </w:num>
  <w:num w:numId="14">
    <w:abstractNumId w:val="8133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2025-09-01T05:40:31Z</dcterms:created>
  <dc:creator>Apache POI</dc:creator>
</cp:coreProperties>
</file>