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PRD_海外导航地图_EV</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产品需求文档</w:t>
      </w:r>
    </w:p>
    <w:p>
      <w:pPr>
        <w:spacing w:before="120" w:after="120" w:line="288" w:lineRule="auto"/>
        <w:ind w:left="0" w:firstLine="0"/>
        <w:jc w:val="center"/>
      </w:pPr>
      <w:r>
        <w:rPr>
          <w:rFonts w:eastAsia="等线" w:ascii="Arial" w:cs="Arial" w:hAnsi="Arial"/>
          <w:b w:val="true"/>
          <w:sz w:val="22"/>
        </w:rPr>
        <w:t>EV</w:t>
      </w: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945"/>
        <w:gridCol w:w="660"/>
        <w:gridCol w:w="540"/>
        <w:gridCol w:w="5565"/>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名字</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状态</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变更内容</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2022-11-21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薛翠</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2024-05-30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王瑛琳</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3.2SRP 增加</w:t>
            </w:r>
          </w:p>
          <w:p>
            <w:pPr>
              <w:spacing w:before="120" w:after="120" w:line="288" w:lineRule="auto"/>
              <w:ind w:left="0"/>
              <w:jc w:val="left"/>
            </w:pPr>
            <w:r>
              <w:rPr>
                <w:rFonts w:eastAsia="等线" w:ascii="Arial" w:cs="Arial" w:hAnsi="Arial"/>
                <w:sz w:val="22"/>
              </w:rPr>
              <w:t>1. 引导中判断不可达时间间隔</w:t>
            </w:r>
          </w:p>
          <w:p>
            <w:pPr>
              <w:spacing w:before="120" w:after="120" w:line="288" w:lineRule="auto"/>
              <w:ind w:left="0"/>
              <w:jc w:val="left"/>
            </w:pPr>
            <w:r>
              <w:rPr>
                <w:rFonts w:eastAsia="等线" w:ascii="Arial" w:cs="Arial" w:hAnsi="Arial"/>
                <w:sz w:val="22"/>
              </w:rPr>
              <w:t>2. 添加或删除经由地重新计算SRP路线</w:t>
            </w:r>
          </w:p>
          <w:p>
            <w:pPr>
              <w:spacing w:before="120" w:after="120" w:line="288" w:lineRule="auto"/>
              <w:ind w:left="0"/>
              <w:jc w:val="left"/>
            </w:pPr>
            <w:r>
              <w:rPr>
                <w:rFonts w:eastAsia="等线" w:ascii="Arial" w:cs="Arial" w:hAnsi="Arial"/>
                <w:sz w:val="22"/>
              </w:rPr>
              <w:t>3. 删除充电站重新计算SRP路线</w:t>
            </w:r>
          </w:p>
          <w:p>
            <w:pPr>
              <w:spacing w:before="120" w:after="120" w:line="288" w:lineRule="auto"/>
              <w:ind w:left="0"/>
              <w:jc w:val="left"/>
            </w:pPr>
            <w:r>
              <w:rPr>
                <w:rFonts w:eastAsia="等线" w:ascii="Arial" w:cs="Arial" w:hAnsi="Arial"/>
                <w:sz w:val="22"/>
              </w:rPr>
              <w:t>4. 高速Reroute情况的处理</w:t>
            </w:r>
          </w:p>
          <w:p>
            <w:pPr>
              <w:spacing w:before="120" w:after="120" w:line="288" w:lineRule="auto"/>
              <w:ind w:left="0"/>
              <w:jc w:val="left"/>
            </w:pPr>
            <w:r>
              <w:rPr>
                <w:rFonts w:eastAsia="等线" w:ascii="Arial" w:cs="Arial" w:hAnsi="Arial"/>
                <w:sz w:val="22"/>
              </w:rPr>
              <w:t>5. SRP列表增加、充电时间、插头类型、充电功率、空满状态</w:t>
            </w:r>
          </w:p>
          <w:p>
            <w:pPr>
              <w:spacing w:before="120" w:after="120" w:line="288" w:lineRule="auto"/>
              <w:ind w:left="0"/>
              <w:jc w:val="left"/>
            </w:pPr>
            <w:r>
              <w:rPr>
                <w:rFonts w:eastAsia="等线" w:ascii="Arial" w:cs="Arial" w:hAnsi="Arial"/>
                <w:sz w:val="22"/>
              </w:rPr>
              <w:t>6. 对用户筛选充电桩插头类型的说明</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2024-07-31</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王瑛琳</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w:t>
            </w:r>
          </w:p>
        </w:tc>
        <w:tc>
          <w:tcPr>
            <w:tcW w:w="5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 SRP添加依赖项</w:t>
            </w:r>
          </w:p>
          <w:p>
            <w:pPr>
              <w:spacing w:before="120" w:after="120" w:line="288" w:lineRule="auto"/>
              <w:ind w:left="0"/>
              <w:jc w:val="left"/>
            </w:pPr>
            <w:r>
              <w:rPr>
                <w:rFonts w:eastAsia="等线" w:ascii="Arial" w:cs="Arial" w:hAnsi="Arial"/>
                <w:sz w:val="22"/>
              </w:rPr>
              <w:t>1. 当前剩余电量与剩余电量百分比，用于判断是否可达</w:t>
            </w:r>
          </w:p>
          <w:p>
            <w:pPr>
              <w:spacing w:before="120" w:after="120" w:line="288" w:lineRule="auto"/>
              <w:ind w:left="0"/>
              <w:jc w:val="left"/>
            </w:pPr>
            <w:r>
              <w:rPr>
                <w:rFonts w:eastAsia="等线" w:ascii="Arial" w:cs="Arial" w:hAnsi="Arial"/>
                <w:sz w:val="22"/>
              </w:rPr>
              <w:t>2. 总电量 或 剩余电量与剩余电量百分比，用于计算总电量=剩余电量/剩余电量百分比。 总电量用来计算查找充电桩的基准点</w:t>
            </w:r>
          </w:p>
          <w:p>
            <w:pPr>
              <w:spacing w:before="120" w:after="120" w:line="288" w:lineRule="auto"/>
              <w:ind w:left="0"/>
              <w:jc w:val="left"/>
            </w:pPr>
            <w:r>
              <w:rPr>
                <w:rFonts w:eastAsia="等线" w:ascii="Arial" w:cs="Arial" w:hAnsi="Arial"/>
                <w:sz w:val="22"/>
              </w:rPr>
              <w:t>3. 提供充电曲线，总电量 或 当前电量和当前电量百分比，用以计算充电时间</w:t>
            </w: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55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firstLine="0"/>
        <w:jc w:val="left"/>
      </w:pPr>
      <w:r>
        <w:rPr>
          <w:rFonts w:eastAsia="等线" w:ascii="Arial" w:cs="Arial" w:hAnsi="Arial"/>
          <w:sz w:val="22"/>
        </w:rPr>
        <w:t>1概要4</w:t>
      </w:r>
    </w:p>
    <w:p>
      <w:pPr>
        <w:spacing w:before="120" w:after="120" w:line="288" w:lineRule="auto"/>
        <w:ind w:left="0" w:firstLine="0"/>
        <w:jc w:val="left"/>
      </w:pPr>
      <w:r>
        <w:rPr>
          <w:rFonts w:eastAsia="等线" w:ascii="Arial" w:cs="Arial" w:hAnsi="Arial"/>
          <w:sz w:val="22"/>
        </w:rPr>
        <w:t>2名词定义4</w:t>
      </w:r>
    </w:p>
    <w:p>
      <w:pPr>
        <w:spacing w:before="120" w:after="120" w:line="288" w:lineRule="auto"/>
        <w:ind w:left="0" w:firstLine="0"/>
        <w:jc w:val="left"/>
      </w:pPr>
      <w:r>
        <w:rPr>
          <w:rFonts w:eastAsia="等线" w:ascii="Arial" w:cs="Arial" w:hAnsi="Arial"/>
          <w:sz w:val="22"/>
        </w:rPr>
        <w:t>3功能4</w:t>
      </w:r>
    </w:p>
    <w:p>
      <w:pPr>
        <w:spacing w:before="120" w:after="120" w:line="288" w:lineRule="auto"/>
        <w:ind w:left="0" w:firstLine="0"/>
        <w:jc w:val="left"/>
      </w:pPr>
      <w:r>
        <w:rPr>
          <w:rFonts w:eastAsia="等线" w:ascii="Arial" w:cs="Arial" w:hAnsi="Arial"/>
          <w:sz w:val="22"/>
        </w:rPr>
        <w:t>3.1充电站搜索4</w:t>
      </w:r>
    </w:p>
    <w:p>
      <w:pPr>
        <w:spacing w:before="120" w:after="120" w:line="288" w:lineRule="auto"/>
        <w:ind w:left="0" w:firstLine="0"/>
        <w:jc w:val="left"/>
      </w:pPr>
      <w:r>
        <w:rPr>
          <w:rFonts w:eastAsia="等线" w:ascii="Arial" w:cs="Arial" w:hAnsi="Arial"/>
          <w:sz w:val="22"/>
        </w:rPr>
        <w:t>3.1.1充电站搜索4</w:t>
      </w:r>
    </w:p>
    <w:p>
      <w:pPr>
        <w:spacing w:before="120" w:after="120" w:line="288" w:lineRule="auto"/>
        <w:ind w:left="0" w:firstLine="0"/>
        <w:jc w:val="left"/>
      </w:pPr>
      <w:r>
        <w:rPr>
          <w:rFonts w:eastAsia="等线" w:ascii="Arial" w:cs="Arial" w:hAnsi="Arial"/>
          <w:sz w:val="22"/>
        </w:rPr>
        <w:t>3.1.2充电站筛选4</w:t>
      </w:r>
    </w:p>
    <w:p>
      <w:pPr>
        <w:spacing w:before="120" w:after="120" w:line="288" w:lineRule="auto"/>
        <w:ind w:left="0" w:firstLine="0"/>
        <w:jc w:val="left"/>
      </w:pPr>
      <w:r>
        <w:rPr>
          <w:rFonts w:eastAsia="等线" w:ascii="Arial" w:cs="Arial" w:hAnsi="Arial"/>
          <w:sz w:val="22"/>
        </w:rPr>
        <w:t>3.2路线上自动添加充电站（SRP）5</w:t>
      </w:r>
    </w:p>
    <w:p>
      <w:pPr>
        <w:spacing w:before="120" w:after="120" w:line="288" w:lineRule="auto"/>
        <w:ind w:left="0" w:firstLine="0"/>
        <w:jc w:val="left"/>
      </w:pPr>
      <w:r>
        <w:rPr>
          <w:rFonts w:eastAsia="等线" w:ascii="Arial" w:cs="Arial" w:hAnsi="Arial"/>
          <w:sz w:val="22"/>
        </w:rPr>
        <w:t>3.3低电量提醒6</w:t>
      </w:r>
    </w:p>
    <w:p>
      <w:pPr>
        <w:spacing w:before="120" w:after="120" w:line="288" w:lineRule="auto"/>
        <w:ind w:left="0" w:firstLine="0"/>
        <w:jc w:val="left"/>
      </w:pPr>
      <w:r>
        <w:rPr>
          <w:rFonts w:eastAsia="等线" w:ascii="Arial" w:cs="Arial" w:hAnsi="Arial"/>
          <w:sz w:val="22"/>
        </w:rPr>
        <w:t>3.4显示可续航范围6</w:t>
      </w:r>
    </w:p>
    <w:p>
      <w:pPr>
        <w:spacing w:before="120" w:after="120" w:line="288" w:lineRule="auto"/>
        <w:ind w:left="0" w:firstLine="0"/>
        <w:jc w:val="left"/>
      </w:pPr>
      <w:r>
        <w:rPr>
          <w:rFonts w:eastAsia="等线" w:ascii="Arial" w:cs="Arial" w:hAnsi="Arial"/>
          <w:sz w:val="22"/>
        </w:rPr>
        <w:t>3.5充电站地图7</w:t>
      </w:r>
    </w:p>
    <w:p>
      <w:pPr>
        <w:spacing w:before="120" w:after="120" w:line="288" w:lineRule="auto"/>
        <w:ind w:left="0" w:firstLine="0"/>
        <w:jc w:val="left"/>
      </w:pPr>
      <w:r>
        <w:rPr>
          <w:rFonts w:eastAsia="等线" w:ascii="Arial" w:cs="Arial" w:hAnsi="Arial"/>
          <w:sz w:val="22"/>
        </w:rPr>
        <w:t>3.6目的地充电站8</w:t>
      </w:r>
    </w:p>
    <w:p>
      <w:pPr>
        <w:spacing w:before="120" w:after="120" w:line="288" w:lineRule="auto"/>
        <w:ind w:left="0" w:firstLine="0"/>
        <w:jc w:val="left"/>
      </w:pPr>
      <w:r>
        <w:rPr>
          <w:rFonts w:eastAsia="等线" w:ascii="Arial" w:cs="Arial" w:hAnsi="Arial"/>
          <w:sz w:val="22"/>
        </w:rPr>
        <w:t>3.7到达目的后的剩余电量9</w:t>
      </w:r>
    </w:p>
    <w:p>
      <w:pPr>
        <w:spacing w:before="120" w:after="120" w:line="288" w:lineRule="auto"/>
        <w:ind w:left="0" w:firstLine="0"/>
        <w:jc w:val="left"/>
      </w:pPr>
      <w:r>
        <w:rPr>
          <w:rFonts w:eastAsia="等线" w:ascii="Arial" w:cs="Arial" w:hAnsi="Arial"/>
          <w:sz w:val="22"/>
        </w:rPr>
        <w:t>3.8节能路线9</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概要</w:t>
      </w:r>
      <w:bookmarkEnd w:id="1"/>
    </w:p>
    <w:p>
      <w:pPr>
        <w:spacing w:before="120" w:after="120" w:line="288" w:lineRule="auto"/>
        <w:ind w:left="0" w:firstLine="420"/>
        <w:jc w:val="left"/>
      </w:pPr>
      <w:r>
        <w:rPr>
          <w:rFonts w:eastAsia="等线" w:ascii="Arial" w:cs="Arial" w:hAnsi="Arial"/>
          <w:sz w:val="22"/>
        </w:rPr>
        <w:t>该文档主要介绍EV相关功能式样。</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名词定义</w:t>
      </w:r>
      <w:bookmarkEnd w:id="2"/>
    </w:p>
    <w:p>
      <w:pPr>
        <w:spacing w:before="120" w:after="120" w:line="288" w:lineRule="auto"/>
        <w:ind w:left="0" w:firstLine="420"/>
        <w:jc w:val="left"/>
      </w:pPr>
      <w:r>
        <w:rPr>
          <w:rFonts w:eastAsia="等线" w:ascii="Arial" w:cs="Arial" w:hAnsi="Arial"/>
          <w:sz w:val="22"/>
        </w:rPr>
        <w:t>解释文档中使用的名词。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723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7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w:t>
            </w:r>
          </w:p>
        </w:tc>
        <w:tc>
          <w:tcPr>
            <w:tcW w:w="7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电动汽车，有充电需求。</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PHEV</w:t>
            </w:r>
          </w:p>
        </w:tc>
        <w:tc>
          <w:tcPr>
            <w:tcW w:w="7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插电混动汽车，有充电需求。</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SRP</w:t>
            </w:r>
          </w:p>
        </w:tc>
        <w:tc>
          <w:tcPr>
            <w:tcW w:w="7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Smart route planner。智能路线规划：在路线上自动添加充电站。</w:t>
            </w: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72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功能</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3.1 </w:t>
      </w:r>
      <w:r>
        <w:rPr>
          <w:rFonts w:eastAsia="等线" w:ascii="Arial" w:cs="Arial" w:hAnsi="Arial"/>
          <w:b w:val="true"/>
          <w:sz w:val="32"/>
        </w:rPr>
        <w:t>充电站搜索</w:t>
      </w:r>
      <w:bookmarkEnd w:id="4"/>
    </w:p>
    <w:p>
      <w:pPr>
        <w:spacing w:before="120" w:after="120" w:line="288" w:lineRule="auto"/>
        <w:ind w:left="0" w:firstLine="0"/>
        <w:jc w:val="left"/>
      </w:pPr>
      <w:r>
        <w:rPr>
          <w:rFonts w:eastAsia="等线" w:ascii="Arial" w:cs="Arial" w:hAnsi="Arial"/>
          <w:sz w:val="22"/>
        </w:rPr>
        <w:t>为方便用户查找充电站，提供充电站搜索功能。</w:t>
      </w:r>
    </w:p>
    <w:p>
      <w:pPr>
        <w:spacing w:before="120" w:after="120" w:line="288" w:lineRule="auto"/>
        <w:ind w:left="0" w:firstLine="0"/>
        <w:jc w:val="left"/>
      </w:pPr>
    </w:p>
    <w:p>
      <w:pPr>
        <w:numPr>
          <w:numId w:val="1"/>
        </w:numPr>
        <w:spacing w:before="120" w:after="120" w:line="288" w:lineRule="auto"/>
        <w:ind w:left="0"/>
        <w:jc w:val="left"/>
      </w:pPr>
      <w:r>
        <w:rPr>
          <w:rFonts w:eastAsia="等线" w:ascii="Arial" w:cs="Arial" w:hAnsi="Arial"/>
          <w:sz w:val="22"/>
        </w:rPr>
        <w:t>充电站分类：</w:t>
      </w:r>
    </w:p>
    <w:p>
      <w:pPr>
        <w:numPr>
          <w:numId w:val="2"/>
        </w:numPr>
        <w:spacing w:before="120" w:after="120" w:line="288" w:lineRule="auto"/>
        <w:ind w:left="453"/>
        <w:jc w:val="left"/>
      </w:pPr>
      <w:r>
        <w:rPr>
          <w:rFonts w:eastAsia="等线" w:ascii="Arial" w:cs="Arial" w:hAnsi="Arial"/>
          <w:sz w:val="22"/>
        </w:rPr>
        <w:t>当车辆为纯电动汽车时，常用分类中显示充电站，不显示加油站。</w:t>
      </w:r>
    </w:p>
    <w:p>
      <w:pPr>
        <w:numPr>
          <w:numId w:val="3"/>
        </w:numPr>
        <w:spacing w:before="120" w:after="120" w:line="288" w:lineRule="auto"/>
        <w:ind w:left="453"/>
        <w:jc w:val="left"/>
      </w:pPr>
      <w:r>
        <w:rPr>
          <w:rFonts w:eastAsia="等线" w:ascii="Arial" w:cs="Arial" w:hAnsi="Arial"/>
          <w:sz w:val="22"/>
        </w:rPr>
        <w:t>当车辆为插电混动汽车时，常用分类中同时显示充电站和加油站分类。</w:t>
      </w:r>
    </w:p>
    <w:p>
      <w:pPr>
        <w:numPr>
          <w:numId w:val="4"/>
        </w:numPr>
        <w:spacing w:before="120" w:after="120" w:line="288" w:lineRule="auto"/>
        <w:ind w:left="0"/>
        <w:jc w:val="left"/>
      </w:pPr>
      <w:r>
        <w:rPr>
          <w:rFonts w:eastAsia="等线" w:ascii="Arial" w:cs="Arial" w:hAnsi="Arial"/>
          <w:sz w:val="22"/>
        </w:rPr>
        <w:t>充电站搜索</w:t>
      </w:r>
    </w:p>
    <w:p>
      <w:pPr>
        <w:numPr>
          <w:numId w:val="5"/>
        </w:numPr>
        <w:spacing w:before="120" w:after="120" w:line="288" w:lineRule="auto"/>
        <w:ind w:left="453"/>
        <w:jc w:val="left"/>
      </w:pPr>
      <w:r>
        <w:rPr>
          <w:rFonts w:eastAsia="等线" w:ascii="Arial" w:cs="Arial" w:hAnsi="Arial"/>
          <w:sz w:val="22"/>
        </w:rPr>
        <w:t>当用户选择充电站分类搜索时，为用户提供与本车辆充电接口类型一致的自车周边充电站。</w:t>
      </w:r>
    </w:p>
    <w:p>
      <w:pPr>
        <w:numPr>
          <w:numId w:val="6"/>
        </w:numPr>
        <w:spacing w:before="120" w:after="120" w:line="288" w:lineRule="auto"/>
        <w:ind w:left="453"/>
        <w:jc w:val="left"/>
      </w:pPr>
      <w:r>
        <w:rPr>
          <w:rFonts w:eastAsia="等线" w:ascii="Arial" w:cs="Arial" w:hAnsi="Arial"/>
          <w:sz w:val="22"/>
        </w:rPr>
        <w:t>支持充电站的周边搜索，沿路搜索，详细参考《PRD_海外导航地图_搜索.docx》。</w:t>
      </w:r>
    </w:p>
    <w:p>
      <w:pPr>
        <w:numPr>
          <w:numId w:val="7"/>
        </w:numPr>
        <w:spacing w:before="120" w:after="120" w:line="288" w:lineRule="auto"/>
        <w:ind w:left="453"/>
        <w:jc w:val="left"/>
      </w:pPr>
      <w:r>
        <w:rPr>
          <w:rFonts w:eastAsia="等线" w:ascii="Arial" w:cs="Arial" w:hAnsi="Arial"/>
          <w:sz w:val="22"/>
        </w:rPr>
        <w:t>搜索结果以及其动态数据的显示，详细参考《PRD_海外导航地图_搜索.docx》。</w:t>
      </w:r>
    </w:p>
    <w:p>
      <w:pPr>
        <w:numPr>
          <w:numId w:val="8"/>
        </w:numPr>
        <w:spacing w:before="120" w:after="120" w:line="288" w:lineRule="auto"/>
        <w:ind w:left="0"/>
        <w:jc w:val="left"/>
      </w:pPr>
      <w:r>
        <w:rPr>
          <w:rFonts w:eastAsia="等线" w:ascii="Arial" w:cs="Arial" w:hAnsi="Arial"/>
          <w:sz w:val="22"/>
        </w:rPr>
        <w:t>充电站筛选</w:t>
      </w:r>
    </w:p>
    <w:p>
      <w:pPr>
        <w:spacing w:before="120" w:after="120" w:line="288" w:lineRule="auto"/>
        <w:ind w:left="0" w:firstLine="420"/>
        <w:jc w:val="left"/>
      </w:pPr>
      <w:r>
        <w:rPr>
          <w:rFonts w:eastAsia="等线" w:ascii="Arial" w:cs="Arial" w:hAnsi="Arial"/>
          <w:sz w:val="22"/>
        </w:rPr>
        <w:t>支持使用充电类型（CCS，type2等），充电速度精确筛选充电站。</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3.2 </w:t>
      </w:r>
      <w:r>
        <w:rPr>
          <w:rFonts w:eastAsia="等线" w:ascii="Arial" w:cs="Arial" w:hAnsi="Arial"/>
          <w:b w:val="true"/>
          <w:sz w:val="32"/>
        </w:rPr>
        <w:t>SRP</w:t>
      </w:r>
      <w:bookmarkEnd w:id="5"/>
    </w:p>
    <w:p>
      <w:pPr>
        <w:spacing w:before="120" w:after="120" w:line="288" w:lineRule="auto"/>
        <w:ind w:left="0" w:firstLine="0"/>
        <w:jc w:val="left"/>
      </w:pPr>
      <w:r>
        <w:rPr>
          <w:rFonts w:eastAsia="等线" w:ascii="Arial" w:cs="Arial" w:hAnsi="Arial"/>
          <w:sz w:val="22"/>
        </w:rPr>
        <w:t xml:space="preserve">规划路线，车辆剩余电量无法到达目的地时，为用户提供在路线上自动添加充电站的功能。 </w:t>
      </w:r>
    </w:p>
    <w:p>
      <w:pPr>
        <w:spacing w:before="120" w:after="120" w:line="288" w:lineRule="auto"/>
        <w:ind w:left="0" w:firstLine="0"/>
        <w:jc w:val="left"/>
      </w:pPr>
    </w:p>
    <w:p>
      <w:pPr>
        <w:numPr>
          <w:numId w:val="9"/>
        </w:numPr>
        <w:spacing w:before="120" w:after="120" w:line="288" w:lineRule="auto"/>
        <w:ind w:left="0"/>
        <w:jc w:val="left"/>
      </w:pPr>
      <w:r>
        <w:rPr>
          <w:rFonts w:eastAsia="等线" w:ascii="Arial" w:cs="Arial" w:hAnsi="Arial"/>
          <w:sz w:val="22"/>
        </w:rPr>
        <w:t>SRP路线定义</w:t>
      </w:r>
      <w:r>
        <w:rPr>
          <w:rFonts w:eastAsia="等线" w:ascii="Arial" w:cs="Arial" w:hAnsi="Arial"/>
          <w:sz w:val="22"/>
        </w:rPr>
        <w:t>（依赖：当前剩余电量与剩余电量百分比，用于判断是否可达）</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sz w:val="22"/>
        </w:rPr>
        <w:t>可添加一个或多个充电站作为途径地；</w:t>
      </w:r>
    </w:p>
    <w:p>
      <w:pPr>
        <w:numPr>
          <w:numId w:val="11"/>
        </w:numPr>
        <w:spacing w:before="120" w:after="120" w:line="288" w:lineRule="auto"/>
        <w:ind w:left="453"/>
        <w:jc w:val="left"/>
      </w:pPr>
      <w:r>
        <w:rPr>
          <w:rFonts w:eastAsia="等线" w:ascii="Arial" w:cs="Arial" w:hAnsi="Arial"/>
          <w:sz w:val="22"/>
        </w:rPr>
        <w:t>尽可能少的添加充电站；</w:t>
      </w:r>
    </w:p>
    <w:p>
      <w:pPr>
        <w:numPr>
          <w:numId w:val="12"/>
        </w:numPr>
        <w:spacing w:before="120" w:after="120" w:line="288" w:lineRule="auto"/>
        <w:ind w:left="453"/>
        <w:jc w:val="left"/>
      </w:pPr>
      <w:r>
        <w:rPr>
          <w:rFonts w:eastAsia="等线" w:ascii="Arial" w:cs="Arial" w:hAnsi="Arial"/>
          <w:sz w:val="22"/>
        </w:rPr>
        <w:t>到达每个充电站、途径地、目的地后，剩余电量至少是电池总电量的20%（可配置）；</w:t>
      </w:r>
    </w:p>
    <w:p>
      <w:pPr>
        <w:numPr>
          <w:numId w:val="13"/>
        </w:numPr>
        <w:spacing w:before="120" w:after="120" w:line="288" w:lineRule="auto"/>
        <w:ind w:left="453"/>
        <w:jc w:val="left"/>
      </w:pPr>
      <w:r>
        <w:rPr>
          <w:rFonts w:eastAsia="等线" w:ascii="Arial" w:cs="Arial" w:hAnsi="Arial"/>
          <w:sz w:val="22"/>
        </w:rPr>
        <w:t>保证在这些充电站充电后能够到达目的地。</w:t>
      </w:r>
    </w:p>
    <w:p>
      <w:pPr>
        <w:spacing w:before="120" w:after="120" w:line="288" w:lineRule="auto"/>
        <w:ind w:left="0" w:firstLine="0"/>
        <w:jc w:val="left"/>
      </w:pPr>
    </w:p>
    <w:p>
      <w:pPr>
        <w:numPr>
          <w:numId w:val="14"/>
        </w:numPr>
        <w:spacing w:before="120" w:after="120" w:line="288" w:lineRule="auto"/>
        <w:ind w:left="0"/>
        <w:jc w:val="left"/>
      </w:pPr>
      <w:r>
        <w:rPr>
          <w:rFonts w:eastAsia="等线" w:ascii="Arial" w:cs="Arial" w:hAnsi="Arial"/>
          <w:sz w:val="22"/>
        </w:rPr>
        <w:t>SRP计算时机</w:t>
      </w:r>
    </w:p>
    <w:p>
      <w:pPr>
        <w:numPr>
          <w:numId w:val="15"/>
        </w:numPr>
        <w:spacing w:before="120" w:after="120" w:line="288" w:lineRule="auto"/>
        <w:ind w:left="453"/>
        <w:jc w:val="left"/>
      </w:pPr>
      <w:r>
        <w:rPr>
          <w:rFonts w:eastAsia="等线" w:ascii="Arial" w:cs="Arial" w:hAnsi="Arial"/>
          <w:sz w:val="22"/>
        </w:rPr>
        <w:t>多路线画页，用户点击SRP button，则基于当前选择路线计算一条SRP路线。</w:t>
      </w:r>
    </w:p>
    <w:p>
      <w:pPr>
        <w:numPr>
          <w:numId w:val="16"/>
        </w:numPr>
        <w:spacing w:before="120" w:after="120" w:line="288" w:lineRule="auto"/>
        <w:ind w:left="453"/>
        <w:jc w:val="left"/>
      </w:pPr>
      <w:r>
        <w:rPr>
          <w:rFonts w:eastAsia="等线" w:ascii="Arial" w:cs="Arial" w:hAnsi="Arial"/>
          <w:sz w:val="22"/>
        </w:rPr>
        <w:t>在路线规划时可达，但开始引导后某个自动添加的充电站或者目的地不可达，则在后台重新计算一条SRP路线，</w:t>
      </w:r>
    </w:p>
    <w:p>
      <w:pPr>
        <w:numPr>
          <w:numId w:val="17"/>
        </w:numPr>
        <w:spacing w:before="120" w:after="120" w:line="288" w:lineRule="auto"/>
        <w:ind w:left="907"/>
        <w:jc w:val="left"/>
      </w:pPr>
      <w:r>
        <w:rPr>
          <w:rFonts w:eastAsia="等线" w:ascii="Arial" w:cs="Arial" w:hAnsi="Arial"/>
          <w:sz w:val="22"/>
        </w:rPr>
        <w:t>计算成功，则变更为引导路线。</w:t>
      </w:r>
    </w:p>
    <w:p>
      <w:pPr>
        <w:numPr>
          <w:numId w:val="18"/>
        </w:numPr>
        <w:spacing w:before="120" w:after="120" w:line="288" w:lineRule="auto"/>
        <w:ind w:left="907"/>
        <w:jc w:val="left"/>
      </w:pPr>
      <w:r>
        <w:rPr>
          <w:rFonts w:eastAsia="等线" w:ascii="Arial" w:cs="Arial" w:hAnsi="Arial"/>
          <w:sz w:val="22"/>
        </w:rPr>
        <w:t>计算失败，则，</w:t>
      </w:r>
    </w:p>
    <w:p>
      <w:pPr>
        <w:numPr>
          <w:numId w:val="19"/>
        </w:numPr>
        <w:spacing w:before="120" w:after="120" w:line="288" w:lineRule="auto"/>
        <w:ind w:left="1360"/>
        <w:jc w:val="left"/>
      </w:pPr>
      <w:r>
        <w:rPr>
          <w:rFonts w:eastAsia="等线" w:ascii="Arial" w:cs="Arial" w:hAnsi="Arial"/>
          <w:sz w:val="22"/>
        </w:rPr>
        <w:t>使用用户设定的途径地以及目的地算路，并替换为引导路线。</w:t>
      </w:r>
    </w:p>
    <w:p>
      <w:pPr>
        <w:numPr>
          <w:numId w:val="20"/>
        </w:numPr>
        <w:spacing w:before="120" w:after="120" w:line="288" w:lineRule="auto"/>
        <w:ind w:left="1360"/>
        <w:jc w:val="left"/>
      </w:pPr>
      <w:r>
        <w:rPr>
          <w:rFonts w:eastAsia="等线" w:ascii="Arial" w:cs="Arial" w:hAnsi="Arial"/>
          <w:sz w:val="22"/>
        </w:rPr>
        <w:t>语音及popup提示用户“目的地不可达，未找到沿路充电站，请注意充电。”</w:t>
      </w:r>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SRP路线计算规则：</w:t>
      </w:r>
    </w:p>
    <w:p>
      <w:pPr>
        <w:numPr>
          <w:numId w:val="22"/>
        </w:numPr>
        <w:spacing w:before="120" w:after="120" w:line="288" w:lineRule="auto"/>
        <w:ind w:left="453"/>
        <w:jc w:val="left"/>
      </w:pPr>
      <w:r>
        <w:rPr>
          <w:rFonts w:eastAsia="等线" w:ascii="Arial" w:cs="Arial" w:hAnsi="Arial"/>
          <w:sz w:val="22"/>
        </w:rPr>
        <w:t>本地计算SRP路线</w:t>
      </w:r>
      <w:r>
        <w:rPr>
          <w:rFonts w:eastAsia="等线" w:ascii="Arial" w:cs="Arial" w:hAnsi="Arial"/>
          <w:sz w:val="22"/>
        </w:rPr>
        <w:t>（依赖：总电量 或 剩余电量与剩余电量百分比，用于计算总电量=剩余电量/剩余电量百分比。 总电量用来计算查找充电桩的基准点）</w:t>
      </w:r>
      <w:r>
        <w:rPr>
          <w:rFonts w:eastAsia="等线" w:ascii="Arial" w:cs="Arial" w:hAnsi="Arial"/>
          <w:sz w:val="22"/>
        </w:rPr>
        <w:t>：</w:t>
      </w:r>
    </w:p>
    <w:p>
      <w:pPr>
        <w:numPr>
          <w:numId w:val="23"/>
        </w:numPr>
        <w:spacing w:before="120" w:after="120" w:line="288" w:lineRule="auto"/>
        <w:ind w:left="907"/>
        <w:jc w:val="left"/>
      </w:pPr>
      <w:r>
        <w:rPr>
          <w:rFonts w:eastAsia="等线" w:ascii="Arial" w:cs="Arial" w:hAnsi="Arial"/>
          <w:sz w:val="22"/>
        </w:rPr>
        <w:t>沿路线从剩余总电量的20%（可配置）的点向自车方向沿路搜索（沿路两侧1km（可配置））。搜索到合适的ePOI作为途径地。</w:t>
      </w:r>
    </w:p>
    <w:p>
      <w:pPr>
        <w:numPr>
          <w:numId w:val="24"/>
        </w:numPr>
        <w:spacing w:before="120" w:after="120" w:line="288" w:lineRule="auto"/>
        <w:ind w:left="907"/>
        <w:jc w:val="left"/>
      </w:pPr>
      <w:r>
        <w:rPr>
          <w:rFonts w:eastAsia="等线" w:ascii="Arial" w:cs="Arial" w:hAnsi="Arial"/>
          <w:sz w:val="22"/>
        </w:rPr>
        <w:t>每次选定一个充电站作为途径地后需重新算路，并确认充电站途径地是否可达，如不可达则重新查找充电站。如果可达则到iii。</w:t>
      </w:r>
    </w:p>
    <w:p>
      <w:pPr>
        <w:numPr>
          <w:numId w:val="25"/>
        </w:numPr>
        <w:spacing w:before="120" w:after="120" w:line="288" w:lineRule="auto"/>
        <w:ind w:left="907"/>
        <w:jc w:val="left"/>
      </w:pPr>
      <w:r>
        <w:rPr>
          <w:rFonts w:eastAsia="等线" w:ascii="Arial" w:cs="Arial" w:hAnsi="Arial"/>
          <w:sz w:val="22"/>
        </w:rPr>
        <w:t>确认到达目的地时是否还能剩余总电量的20%（可配置），如不能，则重复i，ii。如果能到达，则不再继续添加。</w:t>
      </w:r>
    </w:p>
    <w:p>
      <w:pPr>
        <w:numPr>
          <w:numId w:val="26"/>
        </w:numPr>
        <w:spacing w:before="120" w:after="120" w:line="288" w:lineRule="auto"/>
        <w:ind w:left="453"/>
        <w:jc w:val="left"/>
      </w:pPr>
      <w:r>
        <w:rPr>
          <w:rFonts w:eastAsia="等线" w:ascii="Arial" w:cs="Arial" w:hAnsi="Arial"/>
          <w:sz w:val="22"/>
        </w:rPr>
        <w:t>添加充电站时需要考虑如下因素：</w:t>
      </w:r>
    </w:p>
    <w:p>
      <w:pPr>
        <w:numPr>
          <w:numId w:val="27"/>
        </w:numPr>
        <w:spacing w:before="120" w:after="120" w:line="288" w:lineRule="auto"/>
        <w:ind w:left="907"/>
        <w:jc w:val="left"/>
      </w:pPr>
      <w:r>
        <w:rPr>
          <w:rFonts w:eastAsia="等线" w:ascii="Arial" w:cs="Arial" w:hAnsi="Arial"/>
          <w:sz w:val="22"/>
        </w:rPr>
        <w:t>充电类型与车辆的充电类型相符。</w:t>
      </w:r>
    </w:p>
    <w:p>
      <w:pPr>
        <w:numPr>
          <w:numId w:val="28"/>
        </w:numPr>
        <w:spacing w:before="120" w:after="120" w:line="288" w:lineRule="auto"/>
        <w:ind w:left="907"/>
        <w:jc w:val="left"/>
      </w:pPr>
      <w:r>
        <w:rPr>
          <w:rFonts w:eastAsia="等线" w:ascii="Arial" w:cs="Arial" w:hAnsi="Arial"/>
          <w:sz w:val="22"/>
        </w:rPr>
        <w:t>优先选择快充类型的充电站，其次为普通充电站。</w:t>
      </w:r>
    </w:p>
    <w:p>
      <w:pPr>
        <w:numPr>
          <w:numId w:val="29"/>
        </w:numPr>
        <w:spacing w:before="120" w:after="120" w:line="288" w:lineRule="auto"/>
        <w:ind w:left="907"/>
        <w:jc w:val="left"/>
      </w:pPr>
      <w:r>
        <w:rPr>
          <w:rFonts w:eastAsia="等线" w:ascii="Arial" w:cs="Arial" w:hAnsi="Arial"/>
          <w:sz w:val="22"/>
        </w:rPr>
        <w:t>保证车辆可到达每个充电站或者途径地/目的地，剩余电量大于电池总电量*20%（可配置）。</w:t>
      </w:r>
    </w:p>
    <w:p>
      <w:pPr>
        <w:numPr>
          <w:numId w:val="30"/>
        </w:numPr>
        <w:spacing w:before="120" w:after="120" w:line="288" w:lineRule="auto"/>
        <w:ind w:left="907"/>
        <w:jc w:val="left"/>
      </w:pPr>
      <w:r>
        <w:rPr>
          <w:rFonts w:eastAsia="等线" w:ascii="Arial" w:cs="Arial" w:hAnsi="Arial"/>
          <w:sz w:val="22"/>
        </w:rPr>
        <w:t>前方第一充电桩优先“车辆到达充电站时间+充电到电池总电量的80%（可配置）的时间”必须在充电站的营业时间之内。</w:t>
      </w:r>
    </w:p>
    <w:p>
      <w:pPr>
        <w:numPr>
          <w:numId w:val="31"/>
        </w:numPr>
        <w:spacing w:before="120" w:after="120" w:line="288" w:lineRule="auto"/>
        <w:ind w:left="907"/>
        <w:jc w:val="left"/>
      </w:pPr>
      <w:r>
        <w:rPr>
          <w:rFonts w:eastAsia="等线" w:ascii="Arial" w:cs="Arial" w:hAnsi="Arial"/>
          <w:sz w:val="22"/>
        </w:rPr>
        <w:t>高速上优先使用SAPA内的充电站。</w:t>
      </w:r>
    </w:p>
    <w:p>
      <w:pPr>
        <w:numPr>
          <w:numId w:val="32"/>
        </w:numPr>
        <w:spacing w:before="120" w:after="120" w:line="288" w:lineRule="auto"/>
        <w:ind w:left="907"/>
        <w:jc w:val="left"/>
      </w:pPr>
      <w:r>
        <w:rPr>
          <w:rFonts w:eastAsia="等线" w:ascii="Arial" w:cs="Arial" w:hAnsi="Arial"/>
          <w:sz w:val="22"/>
        </w:rPr>
        <w:t>SRP添加的充电桩插头类型为用户筛选的充电桩插头，若用户未筛选插头类型，则优先选择车辆销售区域推荐的充电桩插头类型（欧洲-欧标插头）</w:t>
      </w:r>
    </w:p>
    <w:p>
      <w:pPr>
        <w:spacing w:before="120" w:after="120" w:line="288" w:lineRule="auto"/>
        <w:ind w:left="453"/>
        <w:jc w:val="left"/>
      </w:pPr>
    </w:p>
    <w:p>
      <w:pPr>
        <w:numPr>
          <w:numId w:val="33"/>
        </w:numPr>
        <w:spacing w:before="120" w:after="120" w:line="288" w:lineRule="auto"/>
        <w:ind w:left="453"/>
        <w:jc w:val="left"/>
      </w:pPr>
      <w:r>
        <w:rPr>
          <w:rFonts w:eastAsia="等线" w:ascii="Arial" w:cs="Arial" w:hAnsi="Arial"/>
          <w:sz w:val="22"/>
        </w:rPr>
        <w:t>Ferry路线部分不耗电，在添加充电站时不考虑该段路线。</w:t>
      </w:r>
    </w:p>
    <w:p>
      <w:pPr>
        <w:numPr>
          <w:numId w:val="34"/>
        </w:numPr>
        <w:spacing w:before="120" w:after="120" w:line="288" w:lineRule="auto"/>
        <w:ind w:left="453"/>
        <w:jc w:val="left"/>
      </w:pPr>
      <w:r>
        <w:rPr>
          <w:rFonts w:eastAsia="等线" w:ascii="Arial" w:cs="Arial" w:hAnsi="Arial"/>
          <w:sz w:val="22"/>
        </w:rPr>
        <w:t>下面情况需重新计算SRP。</w:t>
      </w:r>
    </w:p>
    <w:p>
      <w:pPr>
        <w:numPr>
          <w:numId w:val="35"/>
        </w:numPr>
        <w:spacing w:before="120" w:after="120" w:line="288" w:lineRule="auto"/>
        <w:ind w:left="907"/>
        <w:jc w:val="left"/>
      </w:pPr>
      <w:r>
        <w:rPr>
          <w:rFonts w:eastAsia="等线" w:ascii="Arial" w:cs="Arial" w:hAnsi="Arial"/>
          <w:sz w:val="22"/>
        </w:rPr>
        <w:t>路线引导开始后，任意经由地或目的不可达（5分钟检查一次，可配）。</w:t>
      </w:r>
    </w:p>
    <w:p>
      <w:pPr>
        <w:numPr>
          <w:numId w:val="36"/>
        </w:numPr>
        <w:spacing w:before="120" w:after="120" w:line="288" w:lineRule="auto"/>
        <w:ind w:left="907"/>
        <w:jc w:val="left"/>
      </w:pPr>
      <w:r>
        <w:rPr>
          <w:rFonts w:eastAsia="等线" w:ascii="Arial" w:cs="Arial" w:hAnsi="Arial"/>
          <w:sz w:val="22"/>
        </w:rPr>
        <w:t>重新规划路线后，目的地不可达。</w:t>
      </w:r>
    </w:p>
    <w:p>
      <w:pPr>
        <w:numPr>
          <w:numId w:val="37"/>
        </w:numPr>
        <w:spacing w:before="120" w:after="120" w:line="288" w:lineRule="auto"/>
        <w:ind w:left="907"/>
        <w:jc w:val="left"/>
      </w:pPr>
      <w:r>
        <w:rPr>
          <w:rFonts w:eastAsia="等线" w:ascii="Arial" w:cs="Arial" w:hAnsi="Arial"/>
          <w:sz w:val="22"/>
        </w:rPr>
        <w:t>添加或者删除途径地后路线不可达。</w:t>
      </w:r>
    </w:p>
    <w:p>
      <w:pPr>
        <w:numPr>
          <w:numId w:val="38"/>
        </w:numPr>
        <w:spacing w:before="120" w:after="120" w:line="288" w:lineRule="auto"/>
        <w:ind w:left="907"/>
        <w:jc w:val="left"/>
      </w:pPr>
      <w:r>
        <w:rPr>
          <w:rFonts w:eastAsia="等线" w:ascii="Arial" w:cs="Arial" w:hAnsi="Arial"/>
          <w:sz w:val="22"/>
        </w:rPr>
        <w:t>引导中，删除添加的充电站。</w:t>
      </w:r>
    </w:p>
    <w:p>
      <w:pPr>
        <w:numPr>
          <w:numId w:val="39"/>
        </w:numPr>
        <w:spacing w:before="120" w:after="120" w:line="288" w:lineRule="auto"/>
        <w:ind w:left="907"/>
        <w:jc w:val="left"/>
      </w:pPr>
      <w:r>
        <w:rPr>
          <w:rFonts w:eastAsia="等线" w:ascii="Arial" w:cs="Arial" w:hAnsi="Arial"/>
          <w:sz w:val="22"/>
        </w:rPr>
        <w:t>路线引导开始后，如果用户自行在路边充电站充电（off road），重新计算SRP。</w:t>
      </w:r>
    </w:p>
    <w:p>
      <w:pPr>
        <w:numPr>
          <w:numId w:val="40"/>
        </w:numPr>
        <w:spacing w:before="120" w:after="120" w:line="288" w:lineRule="auto"/>
        <w:ind w:left="907"/>
        <w:jc w:val="left"/>
      </w:pPr>
      <w:r>
        <w:rPr>
          <w:rFonts w:eastAsia="等线" w:ascii="Arial" w:cs="Arial" w:hAnsi="Arial"/>
          <w:sz w:val="22"/>
        </w:rPr>
        <w:t>Reroute重新计算SRP条件：</w:t>
      </w:r>
    </w:p>
    <w:p>
      <w:pPr>
        <w:numPr>
          <w:numId w:val="41"/>
        </w:numPr>
        <w:spacing w:before="120" w:after="120" w:line="288" w:lineRule="auto"/>
        <w:ind w:left="1360"/>
        <w:jc w:val="left"/>
      </w:pPr>
      <w:r>
        <w:rPr>
          <w:rFonts w:eastAsia="等线" w:ascii="Arial" w:cs="Arial" w:hAnsi="Arial"/>
          <w:sz w:val="22"/>
        </w:rPr>
        <w:t>高速Reroute场景：先Reroute一条无充电桩的路线（不包括用户手动设置充电站作为经由地/目的地），再计算带充电站的SRP路。高速Reroute场景需同时满足如下条件:</w:t>
      </w:r>
    </w:p>
    <w:p>
      <w:pPr>
        <w:numPr>
          <w:numId w:val="42"/>
        </w:numPr>
        <w:spacing w:before="120" w:after="120" w:line="288" w:lineRule="auto"/>
        <w:ind w:left="1814"/>
        <w:jc w:val="left"/>
      </w:pPr>
      <w:r>
        <w:rPr>
          <w:rFonts w:eastAsia="等线" w:ascii="Arial" w:cs="Arial" w:hAnsi="Arial"/>
          <w:sz w:val="22"/>
        </w:rPr>
        <w:t>自车在高速上时，发生Reroute</w:t>
      </w:r>
    </w:p>
    <w:p>
      <w:pPr>
        <w:numPr>
          <w:numId w:val="43"/>
        </w:numPr>
        <w:spacing w:before="120" w:after="120" w:line="288" w:lineRule="auto"/>
        <w:ind w:left="1814"/>
        <w:jc w:val="left"/>
      </w:pPr>
      <w:r>
        <w:rPr>
          <w:rFonts w:eastAsia="等线" w:ascii="Arial" w:cs="Arial" w:hAnsi="Arial"/>
          <w:sz w:val="22"/>
        </w:rPr>
        <w:t>下一途径地为SRP充电桩</w:t>
      </w:r>
    </w:p>
    <w:p>
      <w:pPr>
        <w:numPr>
          <w:numId w:val="44"/>
        </w:numPr>
        <w:spacing w:before="120" w:after="120" w:line="288" w:lineRule="auto"/>
        <w:ind w:left="1814"/>
        <w:jc w:val="left"/>
      </w:pPr>
      <w:r>
        <w:rPr>
          <w:rFonts w:eastAsia="等线" w:ascii="Arial" w:cs="Arial" w:hAnsi="Arial"/>
          <w:sz w:val="22"/>
        </w:rPr>
        <w:t>自车与充电桩距离小于5km</w:t>
      </w:r>
    </w:p>
    <w:p>
      <w:pPr>
        <w:numPr>
          <w:numId w:val="45"/>
        </w:numPr>
        <w:spacing w:before="120" w:after="120" w:line="288" w:lineRule="auto"/>
        <w:ind w:left="1360"/>
        <w:jc w:val="left"/>
      </w:pPr>
      <w:r>
        <w:rPr>
          <w:rFonts w:eastAsia="等线" w:ascii="Arial" w:cs="Arial" w:hAnsi="Arial"/>
          <w:sz w:val="22"/>
        </w:rPr>
        <w:t>其他场景则向下一个自动添加的充电站进行算路，不可达在重新计算SRP路线。</w:t>
      </w:r>
    </w:p>
    <w:p>
      <w:pPr>
        <w:numPr>
          <w:numId w:val="46"/>
        </w:numPr>
        <w:spacing w:before="120" w:after="120" w:line="288" w:lineRule="auto"/>
        <w:ind w:left="453"/>
        <w:jc w:val="left"/>
      </w:pPr>
      <w:r>
        <w:rPr>
          <w:rFonts w:eastAsia="等线" w:ascii="Arial" w:cs="Arial" w:hAnsi="Arial"/>
          <w:sz w:val="22"/>
        </w:rPr>
        <w:t>自动添加的充电站由于非用户触发，不加入目的地历史。</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sz w:val="22"/>
        </w:rPr>
        <w:t>路线计算成功后，提供如下图的路线上的充电站途径地列表，每条List包括：</w:t>
      </w:r>
    </w:p>
    <w:p>
      <w:pPr>
        <w:numPr>
          <w:numId w:val="48"/>
        </w:numPr>
        <w:spacing w:before="120" w:after="120" w:line="288" w:lineRule="auto"/>
        <w:ind w:left="453"/>
        <w:jc w:val="left"/>
      </w:pPr>
      <w:r>
        <w:rPr>
          <w:rFonts w:eastAsia="等线" w:ascii="Arial" w:cs="Arial" w:hAnsi="Arial"/>
          <w:sz w:val="22"/>
        </w:rPr>
        <w:t>充电站名称。</w:t>
      </w:r>
    </w:p>
    <w:p>
      <w:pPr>
        <w:numPr>
          <w:numId w:val="49"/>
        </w:numPr>
        <w:spacing w:before="120" w:after="120" w:line="288" w:lineRule="auto"/>
        <w:ind w:left="453"/>
        <w:jc w:val="left"/>
      </w:pPr>
      <w:r>
        <w:rPr>
          <w:rFonts w:eastAsia="等线" w:ascii="Arial" w:cs="Arial" w:hAnsi="Arial"/>
          <w:sz w:val="22"/>
        </w:rPr>
        <w:t>到充电站的距离。</w:t>
      </w:r>
    </w:p>
    <w:p>
      <w:pPr>
        <w:numPr>
          <w:numId w:val="50"/>
        </w:numPr>
        <w:spacing w:before="120" w:after="120" w:line="288" w:lineRule="auto"/>
        <w:ind w:left="453"/>
        <w:jc w:val="left"/>
      </w:pPr>
      <w:r>
        <w:rPr>
          <w:rFonts w:eastAsia="等线" w:ascii="Arial" w:cs="Arial" w:hAnsi="Arial"/>
          <w:sz w:val="22"/>
        </w:rPr>
        <w:t>在该充电站需要充到的电量。</w:t>
      </w:r>
    </w:p>
    <w:p>
      <w:pPr>
        <w:numPr>
          <w:numId w:val="51"/>
        </w:numPr>
        <w:spacing w:before="120" w:after="120" w:line="288" w:lineRule="auto"/>
        <w:ind w:left="453"/>
        <w:jc w:val="left"/>
      </w:pPr>
      <w:r>
        <w:rPr>
          <w:rFonts w:eastAsia="等线" w:ascii="Arial" w:cs="Arial" w:hAnsi="Arial"/>
          <w:sz w:val="22"/>
        </w:rPr>
        <w:t>充电时间</w:t>
      </w:r>
      <w:r>
        <w:rPr>
          <w:rFonts w:eastAsia="等线" w:ascii="Arial" w:cs="Arial" w:hAnsi="Arial"/>
          <w:sz w:val="22"/>
        </w:rPr>
        <w:t>（</w:t>
      </w:r>
      <w:r>
        <w:rPr>
          <w:rFonts w:eastAsia="等线" w:ascii="Arial" w:cs="Arial" w:hAnsi="Arial"/>
          <w:b w:val="true"/>
          <w:sz w:val="22"/>
        </w:rPr>
        <w:t>依赖：</w:t>
      </w:r>
      <w:r>
        <w:rPr>
          <w:rFonts w:eastAsia="等线" w:ascii="Arial" w:cs="Arial" w:hAnsi="Arial"/>
          <w:sz w:val="22"/>
        </w:rPr>
        <w:t>提供充电曲线，总电量 或 当前电量和当前电量百分比）</w:t>
      </w:r>
    </w:p>
    <w:p>
      <w:pPr>
        <w:numPr>
          <w:numId w:val="52"/>
        </w:numPr>
        <w:spacing w:before="120" w:after="120" w:line="288" w:lineRule="auto"/>
        <w:ind w:left="907"/>
        <w:jc w:val="left"/>
      </w:pPr>
      <w:r>
        <w:rPr>
          <w:rFonts w:eastAsia="等线" w:ascii="Arial" w:cs="Arial" w:hAnsi="Arial"/>
          <w:b w:val="true"/>
          <w:sz w:val="22"/>
        </w:rPr>
        <w:t>计算方法：</w:t>
      </w:r>
    </w:p>
    <w:p>
      <w:pPr>
        <w:spacing w:before="120" w:after="120" w:line="288" w:lineRule="auto"/>
        <w:ind w:left="907" w:firstLine="420"/>
        <w:jc w:val="left"/>
      </w:pPr>
      <w:r>
        <w:rPr>
          <w:rFonts w:eastAsia="等线" w:ascii="Arial" w:cs="Arial" w:hAnsi="Arial"/>
          <w:sz w:val="22"/>
        </w:rPr>
        <w:t>充电用时（h） = 需要充电的电量(kwh)/充电功率(kw)</w:t>
      </w:r>
    </w:p>
    <w:p>
      <w:pPr>
        <w:spacing w:before="120" w:after="120" w:line="288" w:lineRule="auto"/>
        <w:ind w:left="907" w:firstLine="420"/>
        <w:jc w:val="left"/>
      </w:pPr>
      <w:r>
        <w:rPr>
          <w:rFonts w:eastAsia="等线" w:ascii="Arial" w:cs="Arial" w:hAnsi="Arial"/>
          <w:sz w:val="22"/>
        </w:rPr>
        <w:t>充电功率 (kw) = min(充电桩最大功率，充电曲线功率)</w:t>
      </w:r>
    </w:p>
    <w:p>
      <w:pPr>
        <w:spacing w:before="120" w:after="120" w:line="288" w:lineRule="auto"/>
        <w:ind w:left="907" w:firstLine="420"/>
        <w:jc w:val="left"/>
      </w:pPr>
      <w:r>
        <w:rPr>
          <w:rFonts w:eastAsia="等线" w:ascii="Arial" w:cs="Arial" w:hAnsi="Arial"/>
          <w:sz w:val="22"/>
        </w:rPr>
        <w:t>需要充电的电量(kwh) = （出站SOC – 进站SOC）* 总电量(kwh)</w:t>
      </w:r>
    </w:p>
    <w:p>
      <w:pPr>
        <w:spacing w:before="120" w:after="120" w:line="288" w:lineRule="auto"/>
        <w:ind w:left="907" w:firstLine="420"/>
        <w:jc w:val="left"/>
      </w:pPr>
      <w:r>
        <w:rPr>
          <w:rFonts w:eastAsia="等线" w:ascii="Arial" w:cs="Arial" w:hAnsi="Arial"/>
          <w:sz w:val="22"/>
        </w:rPr>
        <w:t>进站SOC(%) = 到充电桩的剩余电量/总电量。</w:t>
      </w:r>
    </w:p>
    <w:p>
      <w:pPr>
        <w:spacing w:before="120" w:after="120" w:line="288" w:lineRule="auto"/>
        <w:ind w:left="907" w:firstLine="420"/>
        <w:jc w:val="left"/>
      </w:pPr>
      <w:r>
        <w:rPr>
          <w:rFonts w:eastAsia="等线" w:ascii="Arial" w:cs="Arial" w:hAnsi="Arial"/>
          <w:sz w:val="22"/>
        </w:rPr>
        <w:t>出站SOC(%) = 80%</w:t>
      </w:r>
    </w:p>
    <w:p>
      <w:pPr>
        <w:spacing w:before="120" w:after="120" w:line="288" w:lineRule="auto"/>
        <w:ind w:left="907" w:firstLine="420"/>
        <w:jc w:val="left"/>
      </w:pPr>
      <w:r>
        <w:rPr>
          <w:rFonts w:eastAsia="等线" w:ascii="Arial" w:cs="Arial" w:hAnsi="Arial"/>
          <w:sz w:val="22"/>
        </w:rPr>
        <w:t>总电量(kwh) = 当前电量/当前电量百分比</w:t>
      </w:r>
    </w:p>
    <w:p>
      <w:pPr>
        <w:numPr>
          <w:numId w:val="53"/>
        </w:numPr>
        <w:spacing w:before="120" w:after="120" w:line="288" w:lineRule="auto"/>
        <w:ind w:left="453"/>
        <w:jc w:val="left"/>
      </w:pPr>
      <w:r>
        <w:rPr>
          <w:rFonts w:eastAsia="等线" w:ascii="Arial" w:cs="Arial" w:hAnsi="Arial"/>
          <w:sz w:val="22"/>
        </w:rPr>
        <w:t>插头类型</w:t>
      </w:r>
    </w:p>
    <w:p>
      <w:pPr>
        <w:numPr>
          <w:numId w:val="54"/>
        </w:numPr>
        <w:spacing w:before="120" w:after="120" w:line="288" w:lineRule="auto"/>
        <w:ind w:left="453"/>
        <w:jc w:val="left"/>
      </w:pPr>
      <w:r>
        <w:rPr>
          <w:rFonts w:eastAsia="等线" w:ascii="Arial" w:cs="Arial" w:hAnsi="Arial"/>
          <w:sz w:val="22"/>
        </w:rPr>
        <w:t>充电功率</w:t>
      </w:r>
    </w:p>
    <w:p>
      <w:pPr>
        <w:numPr>
          <w:numId w:val="55"/>
        </w:numPr>
        <w:spacing w:before="120" w:after="120" w:line="288" w:lineRule="auto"/>
        <w:ind w:left="453"/>
        <w:jc w:val="left"/>
      </w:pPr>
      <w:r>
        <w:rPr>
          <w:rFonts w:eastAsia="等线" w:ascii="Arial" w:cs="Arial" w:hAnsi="Arial"/>
          <w:sz w:val="22"/>
        </w:rPr>
        <w:t>空满状态</w:t>
      </w:r>
    </w:p>
    <w:p>
      <w:pPr>
        <w:numPr>
          <w:numId w:val="56"/>
        </w:numPr>
        <w:spacing w:before="120" w:after="120" w:line="288" w:lineRule="auto"/>
        <w:ind w:left="0"/>
        <w:jc w:val="left"/>
      </w:pPr>
      <w:r>
        <w:rPr>
          <w:rFonts w:eastAsia="等线" w:ascii="Arial" w:cs="Arial" w:hAnsi="Arial"/>
          <w:sz w:val="22"/>
        </w:rPr>
        <w:t>当即将到达自动添加的充电站时，使用Popup以及语音提示用户“您已到达充电站，需要充电到x%”(Reaching charge point, charge to x%)。</w:t>
      </w:r>
    </w:p>
    <w:p>
      <w:pPr>
        <w:numPr>
          <w:numId w:val="57"/>
        </w:numPr>
        <w:spacing w:before="120" w:after="120" w:line="288" w:lineRule="auto"/>
        <w:ind w:left="0"/>
        <w:jc w:val="left"/>
      </w:pPr>
      <w:r>
        <w:rPr>
          <w:rFonts w:eastAsia="等线" w:ascii="Arial" w:cs="Arial" w:hAnsi="Arial"/>
          <w:sz w:val="22"/>
        </w:rPr>
        <w:t>未能计算出可达目的地的SRP时，使用语音以及popup提示用户“目的地不可达，未找到沿路充电站，请注意充电”。</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3.3 </w:t>
      </w:r>
      <w:r>
        <w:rPr>
          <w:rFonts w:eastAsia="等线" w:ascii="Arial" w:cs="Arial" w:hAnsi="Arial"/>
          <w:b w:val="true"/>
          <w:sz w:val="32"/>
        </w:rPr>
        <w:t>低电量提醒</w:t>
      </w:r>
      <w:bookmarkEnd w:id="6"/>
    </w:p>
    <w:p>
      <w:pPr>
        <w:spacing w:before="120" w:after="120" w:line="288" w:lineRule="auto"/>
        <w:ind w:left="0"/>
        <w:jc w:val="left"/>
      </w:pPr>
      <w:r>
        <w:rPr>
          <w:rFonts w:eastAsia="等线" w:ascii="Arial" w:cs="Arial" w:hAnsi="Arial"/>
          <w:sz w:val="22"/>
        </w:rPr>
        <w:t>在车辆低电量时，提醒低电量并自动推荐合适的充电桩。</w:t>
      </w:r>
    </w:p>
    <w:p>
      <w:pPr>
        <w:spacing w:before="120" w:after="120" w:line="288" w:lineRule="auto"/>
        <w:ind w:left="0" w:firstLine="0"/>
        <w:jc w:val="left"/>
      </w:pPr>
    </w:p>
    <w:p>
      <w:pPr>
        <w:numPr>
          <w:numId w:val="58"/>
        </w:numPr>
        <w:spacing w:before="120" w:after="120" w:line="288" w:lineRule="auto"/>
        <w:ind w:left="0"/>
        <w:jc w:val="left"/>
      </w:pPr>
      <w:r>
        <w:rPr>
          <w:rFonts w:eastAsia="等线" w:ascii="Arial" w:cs="Arial" w:hAnsi="Arial"/>
          <w:sz w:val="22"/>
        </w:rPr>
        <w:t>电量低定义：当车辆的电量低于一定范围或者车辆通知导航app低电信号时，则导航认为车辆处于低电量状态。</w:t>
      </w:r>
    </w:p>
    <w:p>
      <w:pPr>
        <w:spacing w:before="120" w:after="120" w:line="288" w:lineRule="auto"/>
        <w:ind w:left="0"/>
        <w:jc w:val="left"/>
      </w:pPr>
    </w:p>
    <w:p>
      <w:pPr>
        <w:numPr>
          <w:numId w:val="59"/>
        </w:numPr>
        <w:spacing w:before="120" w:after="120" w:line="288" w:lineRule="auto"/>
        <w:ind w:left="0"/>
        <w:jc w:val="left"/>
      </w:pPr>
      <w:r>
        <w:rPr>
          <w:rFonts w:eastAsia="等线" w:ascii="Arial" w:cs="Arial" w:hAnsi="Arial"/>
          <w:sz w:val="22"/>
        </w:rPr>
        <w:t>当电量低时：</w:t>
      </w:r>
    </w:p>
    <w:p>
      <w:pPr>
        <w:numPr>
          <w:numId w:val="60"/>
        </w:numPr>
        <w:spacing w:before="120" w:after="120" w:line="288" w:lineRule="auto"/>
        <w:ind w:left="453"/>
        <w:jc w:val="left"/>
      </w:pPr>
      <w:r>
        <w:rPr>
          <w:rFonts w:eastAsia="等线" w:ascii="Arial" w:cs="Arial" w:hAnsi="Arial"/>
          <w:sz w:val="22"/>
        </w:rPr>
        <w:t>弹出popup提示“电量低，可达里程仅n km，请及时充电。”同时进行语音提示。</w:t>
      </w:r>
    </w:p>
    <w:p>
      <w:pPr>
        <w:numPr>
          <w:numId w:val="61"/>
        </w:numPr>
        <w:spacing w:before="120" w:after="120" w:line="288" w:lineRule="auto"/>
        <w:ind w:left="453"/>
        <w:jc w:val="left"/>
      </w:pPr>
      <w:r>
        <w:rPr>
          <w:rFonts w:eastAsia="等线" w:ascii="Arial" w:cs="Arial" w:hAnsi="Arial"/>
          <w:sz w:val="22"/>
        </w:rPr>
        <w:t>在地图上描画自车周边一定范围的充电站。</w:t>
      </w:r>
    </w:p>
    <w:p>
      <w:pPr>
        <w:numPr>
          <w:numId w:val="62"/>
        </w:numPr>
        <w:spacing w:before="120" w:after="120" w:line="288" w:lineRule="auto"/>
        <w:ind w:left="453"/>
        <w:jc w:val="left"/>
      </w:pPr>
      <w:r>
        <w:rPr>
          <w:rFonts w:eastAsia="等线" w:ascii="Arial" w:cs="Arial" w:hAnsi="Arial"/>
          <w:sz w:val="22"/>
        </w:rPr>
        <w:t>在地图主页面显示低电量button，当用户点击后，显示充电站列表。列表与地图的充电站数据一致。</w:t>
      </w:r>
    </w:p>
    <w:p>
      <w:pPr>
        <w:numPr>
          <w:numId w:val="63"/>
        </w:numPr>
        <w:spacing w:before="120" w:after="120" w:line="288" w:lineRule="auto"/>
        <w:ind w:left="453"/>
        <w:jc w:val="left"/>
      </w:pPr>
      <w:r>
        <w:rPr>
          <w:rFonts w:eastAsia="等线" w:ascii="Arial" w:cs="Arial" w:hAnsi="Arial"/>
          <w:sz w:val="22"/>
        </w:rPr>
        <w:t>每隔一定时间或者自车位置变更，更新地图上充电站Icon以及充电站列表。</w:t>
      </w:r>
    </w:p>
    <w:p>
      <w:pPr>
        <w:numPr>
          <w:numId w:val="64"/>
        </w:numPr>
        <w:spacing w:before="120" w:after="120" w:line="288" w:lineRule="auto"/>
        <w:ind w:left="453"/>
        <w:jc w:val="left"/>
      </w:pPr>
      <w:r>
        <w:rPr>
          <w:rFonts w:eastAsia="等线" w:ascii="Arial" w:cs="Arial" w:hAnsi="Arial"/>
          <w:sz w:val="22"/>
        </w:rPr>
        <w:t>当车辆电量状态变为非低电量时，不描画地图上的充电站Icon以及低电量button。</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如下图所示，低电时在自车周边显示充电站，以及低电量button。</w:t>
      </w:r>
    </w:p>
    <w:p>
      <w:pPr>
        <w:spacing w:before="120" w:after="120" w:line="288" w:lineRule="auto"/>
        <w:ind w:left="0"/>
        <w:jc w:val="center"/>
      </w:pPr>
      <w:r>
        <w:drawing>
          <wp:inline distT="0" distR="0" distB="0" distL="0">
            <wp:extent cx="5257800" cy="2733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733675"/>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3.4 </w:t>
      </w:r>
      <w:r>
        <w:rPr>
          <w:rFonts w:eastAsia="等线" w:ascii="Arial" w:cs="Arial" w:hAnsi="Arial"/>
          <w:b w:val="true"/>
          <w:sz w:val="32"/>
        </w:rPr>
        <w:t>显示可续航范围</w:t>
      </w:r>
      <w:bookmarkEnd w:id="7"/>
    </w:p>
    <w:p>
      <w:pPr>
        <w:numPr>
          <w:numId w:val="65"/>
        </w:numPr>
        <w:spacing w:before="120" w:after="120" w:line="288" w:lineRule="auto"/>
        <w:ind w:left="0"/>
        <w:jc w:val="left"/>
      </w:pPr>
      <w:r>
        <w:rPr>
          <w:rFonts w:eastAsia="等线" w:ascii="Arial" w:cs="Arial" w:hAnsi="Arial"/>
          <w:sz w:val="22"/>
        </w:rPr>
        <w:t>可续航范围的显示，当用户点击地图主页续航范围button时，在地图上显示由两个不规则的图形分成的三个范围，如下图中A、B、C：</w:t>
      </w:r>
    </w:p>
    <w:p>
      <w:pPr>
        <w:numPr>
          <w:numId w:val="66"/>
        </w:numPr>
        <w:spacing w:before="120" w:after="120" w:line="288" w:lineRule="auto"/>
        <w:ind w:left="453"/>
        <w:jc w:val="left"/>
      </w:pPr>
      <w:r>
        <w:rPr>
          <w:rFonts w:eastAsia="等线" w:ascii="Arial" w:cs="Arial" w:hAnsi="Arial"/>
          <w:sz w:val="22"/>
        </w:rPr>
        <w:t>范围A，是一定可达的区域。车辆剩余能量*0.7的范围。</w:t>
      </w:r>
    </w:p>
    <w:p>
      <w:pPr>
        <w:numPr>
          <w:numId w:val="67"/>
        </w:numPr>
        <w:spacing w:before="120" w:after="120" w:line="288" w:lineRule="auto"/>
        <w:ind w:left="453"/>
        <w:jc w:val="left"/>
      </w:pPr>
      <w:r>
        <w:rPr>
          <w:rFonts w:eastAsia="等线" w:ascii="Arial" w:cs="Arial" w:hAnsi="Arial"/>
          <w:sz w:val="22"/>
        </w:rPr>
        <w:t>范围B，是不一定可达的区域。车辆剩余能量*0.95的范围。</w:t>
      </w:r>
    </w:p>
    <w:p>
      <w:pPr>
        <w:numPr>
          <w:numId w:val="68"/>
        </w:numPr>
        <w:spacing w:before="120" w:after="120" w:line="288" w:lineRule="auto"/>
        <w:ind w:left="453"/>
        <w:jc w:val="left"/>
      </w:pPr>
      <w:r>
        <w:rPr>
          <w:rFonts w:eastAsia="等线" w:ascii="Arial" w:cs="Arial" w:hAnsi="Arial"/>
          <w:sz w:val="22"/>
        </w:rPr>
        <w:t>范围C，是不可达的区域。</w:t>
      </w:r>
    </w:p>
    <w:p>
      <w:pPr>
        <w:numPr>
          <w:numId w:val="69"/>
        </w:numPr>
        <w:spacing w:before="120" w:after="120" w:line="288" w:lineRule="auto"/>
        <w:ind w:left="453"/>
        <w:jc w:val="left"/>
      </w:pPr>
      <w:r>
        <w:rPr>
          <w:rFonts w:eastAsia="等线" w:ascii="Arial" w:cs="Arial" w:hAnsi="Arial"/>
          <w:sz w:val="22"/>
        </w:rPr>
        <w:t>A、B、C三个范围需使用不同的颜色进行区分。</w:t>
      </w:r>
    </w:p>
    <w:p>
      <w:pPr>
        <w:spacing w:before="120" w:after="120" w:line="288" w:lineRule="auto"/>
        <w:ind w:left="0"/>
        <w:jc w:val="center"/>
      </w:pPr>
      <w:r>
        <w:drawing>
          <wp:inline distT="0" distR="0" distB="0" distL="0">
            <wp:extent cx="5257800" cy="3952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952875"/>
                    </a:xfrm>
                    <a:prstGeom prst="rect">
                      <a:avLst/>
                    </a:prstGeom>
                  </pic:spPr>
                </pic:pic>
              </a:graphicData>
            </a:graphic>
          </wp:inline>
        </w:drawing>
      </w:r>
    </w:p>
    <w:p>
      <w:pPr>
        <w:numPr>
          <w:numId w:val="70"/>
        </w:numPr>
        <w:spacing w:before="120" w:after="120" w:line="288" w:lineRule="auto"/>
        <w:ind w:left="0"/>
        <w:jc w:val="left"/>
      </w:pPr>
      <w:r>
        <w:rPr>
          <w:rFonts w:eastAsia="等线" w:ascii="Arial" w:cs="Arial" w:hAnsi="Arial"/>
          <w:sz w:val="22"/>
        </w:rPr>
        <w:t>可续航范围描画要求：</w:t>
      </w:r>
    </w:p>
    <w:p>
      <w:pPr>
        <w:numPr>
          <w:numId w:val="71"/>
        </w:numPr>
        <w:spacing w:before="120" w:after="120" w:line="288" w:lineRule="auto"/>
        <w:ind w:left="453"/>
        <w:jc w:val="left"/>
      </w:pPr>
      <w:r>
        <w:rPr>
          <w:rFonts w:eastAsia="等线" w:ascii="Arial" w:cs="Arial" w:hAnsi="Arial"/>
          <w:sz w:val="22"/>
        </w:rPr>
        <w:t>描画范围从自车位置开始的所有可能到达的最远路线的终点连接成的平滑闭合的轮廓。</w:t>
      </w:r>
    </w:p>
    <w:p>
      <w:pPr>
        <w:numPr>
          <w:numId w:val="72"/>
        </w:numPr>
        <w:spacing w:before="120" w:after="120" w:line="288" w:lineRule="auto"/>
        <w:ind w:left="453"/>
        <w:jc w:val="left"/>
      </w:pPr>
      <w:r>
        <w:rPr>
          <w:rFonts w:eastAsia="等线" w:ascii="Arial" w:cs="Arial" w:hAnsi="Arial"/>
          <w:sz w:val="22"/>
        </w:rPr>
        <w:t>以包含B范围的比例尺描画。</w:t>
      </w:r>
    </w:p>
    <w:p>
      <w:pPr>
        <w:numPr>
          <w:numId w:val="73"/>
        </w:numPr>
        <w:spacing w:before="120" w:after="120" w:line="288" w:lineRule="auto"/>
        <w:ind w:left="453"/>
        <w:jc w:val="left"/>
      </w:pPr>
      <w:r>
        <w:rPr>
          <w:rFonts w:eastAsia="等线" w:ascii="Arial" w:cs="Arial" w:hAnsi="Arial"/>
          <w:sz w:val="22"/>
        </w:rPr>
        <w:t>描画在任意地图模式下。</w:t>
      </w:r>
    </w:p>
    <w:p>
      <w:pPr>
        <w:numPr>
          <w:numId w:val="74"/>
        </w:numPr>
        <w:spacing w:before="120" w:after="120" w:line="288" w:lineRule="auto"/>
        <w:ind w:left="453"/>
        <w:jc w:val="left"/>
      </w:pPr>
      <w:r>
        <w:rPr>
          <w:rFonts w:eastAsia="等线" w:ascii="Arial" w:cs="Arial" w:hAnsi="Arial"/>
          <w:sz w:val="22"/>
        </w:rPr>
        <w:t>描画在50km（可配置）及以下的比例尺。</w:t>
      </w:r>
    </w:p>
    <w:p>
      <w:pPr>
        <w:numPr>
          <w:numId w:val="75"/>
        </w:numPr>
        <w:spacing w:before="120" w:after="120" w:line="288" w:lineRule="auto"/>
        <w:ind w:left="453"/>
        <w:jc w:val="left"/>
      </w:pPr>
      <w:r>
        <w:rPr>
          <w:rFonts w:eastAsia="等线" w:ascii="Arial" w:cs="Arial" w:hAnsi="Arial"/>
          <w:sz w:val="22"/>
        </w:rPr>
        <w:t>描画在背景层和道路层之间。</w:t>
      </w:r>
    </w:p>
    <w:p>
      <w:pPr>
        <w:numPr>
          <w:numId w:val="76"/>
        </w:numPr>
        <w:spacing w:before="120" w:after="120" w:line="288" w:lineRule="auto"/>
        <w:ind w:left="453"/>
        <w:jc w:val="left"/>
      </w:pPr>
      <w:r>
        <w:rPr>
          <w:rFonts w:eastAsia="等线" w:ascii="Arial" w:cs="Arial" w:hAnsi="Arial"/>
          <w:sz w:val="22"/>
        </w:rPr>
        <w:t>由于Ferry不消耗电量，计算路线终点时排除ferry的距离。</w:t>
      </w:r>
    </w:p>
    <w:p>
      <w:pPr>
        <w:numPr>
          <w:numId w:val="77"/>
        </w:numPr>
        <w:spacing w:before="120" w:after="120" w:line="288" w:lineRule="auto"/>
        <w:ind w:left="0"/>
        <w:jc w:val="left"/>
      </w:pPr>
      <w:r>
        <w:rPr>
          <w:rFonts w:eastAsia="等线" w:ascii="Arial" w:cs="Arial" w:hAnsi="Arial"/>
          <w:sz w:val="22"/>
        </w:rPr>
        <w:t>可续航范围的更新：</w:t>
      </w:r>
    </w:p>
    <w:p>
      <w:pPr>
        <w:numPr>
          <w:numId w:val="78"/>
        </w:numPr>
        <w:spacing w:before="120" w:after="120" w:line="288" w:lineRule="auto"/>
        <w:ind w:left="453"/>
        <w:jc w:val="left"/>
      </w:pPr>
      <w:r>
        <w:rPr>
          <w:rFonts w:eastAsia="等线" w:ascii="Arial" w:cs="Arial" w:hAnsi="Arial"/>
          <w:sz w:val="22"/>
        </w:rPr>
        <w:t>每隔一定时间。</w:t>
      </w:r>
    </w:p>
    <w:p>
      <w:pPr>
        <w:numPr>
          <w:numId w:val="79"/>
        </w:numPr>
        <w:spacing w:before="120" w:after="120" w:line="288" w:lineRule="auto"/>
        <w:ind w:left="453"/>
        <w:jc w:val="left"/>
      </w:pPr>
      <w:r>
        <w:rPr>
          <w:rFonts w:eastAsia="等线" w:ascii="Arial" w:cs="Arial" w:hAnsi="Arial"/>
          <w:sz w:val="22"/>
        </w:rPr>
        <w:t>在电量显著下降或上升。</w:t>
      </w:r>
    </w:p>
    <w:p>
      <w:pPr>
        <w:numPr>
          <w:numId w:val="80"/>
        </w:numPr>
        <w:spacing w:before="120" w:after="120" w:line="288" w:lineRule="auto"/>
        <w:ind w:left="0"/>
        <w:jc w:val="left"/>
      </w:pPr>
      <w:r>
        <w:rPr>
          <w:rFonts w:eastAsia="等线" w:ascii="Arial" w:cs="Arial" w:hAnsi="Arial"/>
          <w:sz w:val="22"/>
        </w:rPr>
        <w:t>当用户点击续航范围画页内的显示充电站button时，显示续航范围内的所有充电站，并且可以显示充电站列表，以便用户选择。具体请参考UED。</w:t>
      </w:r>
    </w:p>
    <w:p>
      <w:pPr>
        <w:spacing w:before="120" w:after="120" w:line="288" w:lineRule="auto"/>
        <w:ind w:left="0" w:firstLine="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3.5 </w:t>
      </w:r>
      <w:r>
        <w:rPr>
          <w:rFonts w:eastAsia="等线" w:ascii="Arial" w:cs="Arial" w:hAnsi="Arial"/>
          <w:b w:val="true"/>
          <w:sz w:val="32"/>
        </w:rPr>
        <w:t>充电站地图</w:t>
      </w:r>
      <w:bookmarkEnd w:id="8"/>
    </w:p>
    <w:p>
      <w:pPr>
        <w:spacing w:before="120" w:after="120" w:line="288" w:lineRule="auto"/>
        <w:ind w:left="0" w:firstLine="0"/>
        <w:jc w:val="left"/>
      </w:pPr>
      <w:r>
        <w:rPr>
          <w:rFonts w:eastAsia="等线" w:ascii="Arial" w:cs="Arial" w:hAnsi="Arial"/>
          <w:sz w:val="22"/>
        </w:rPr>
        <w:t>用户点击充电站地图button时，打开充电站地图，向用户直观展示当前地图范围内的充电站分布情况。</w:t>
      </w:r>
    </w:p>
    <w:p>
      <w:pPr>
        <w:numPr>
          <w:numId w:val="81"/>
        </w:numPr>
        <w:spacing w:before="120" w:after="120" w:line="288" w:lineRule="auto"/>
        <w:ind w:left="453"/>
        <w:jc w:val="left"/>
      </w:pPr>
      <w:r>
        <w:rPr>
          <w:rFonts w:eastAsia="等线" w:ascii="Arial" w:cs="Arial" w:hAnsi="Arial"/>
          <w:sz w:val="22"/>
        </w:rPr>
        <w:t>显示当前地图范围内的充电站Icon。</w:t>
      </w:r>
    </w:p>
    <w:p>
      <w:pPr>
        <w:numPr>
          <w:numId w:val="82"/>
        </w:numPr>
        <w:spacing w:before="120" w:after="120" w:line="288" w:lineRule="auto"/>
        <w:ind w:left="453"/>
        <w:jc w:val="left"/>
      </w:pPr>
      <w:r>
        <w:rPr>
          <w:rFonts w:eastAsia="等线" w:ascii="Arial" w:cs="Arial" w:hAnsi="Arial"/>
          <w:sz w:val="22"/>
        </w:rPr>
        <w:t>可拾取地图上的充电站POI，不可拾取其他地图元素。</w:t>
      </w:r>
    </w:p>
    <w:p>
      <w:pPr>
        <w:numPr>
          <w:numId w:val="83"/>
        </w:numPr>
        <w:spacing w:before="120" w:after="120" w:line="288" w:lineRule="auto"/>
        <w:ind w:left="453"/>
        <w:jc w:val="left"/>
      </w:pPr>
      <w:r>
        <w:rPr>
          <w:rFonts w:eastAsia="等线" w:ascii="Arial" w:cs="Arial" w:hAnsi="Arial"/>
          <w:sz w:val="22"/>
        </w:rPr>
        <w:t>滚动或者缩放地图时，充电站Icon随之变化。</w:t>
      </w:r>
    </w:p>
    <w:p>
      <w:pPr>
        <w:spacing w:before="120" w:after="120" w:line="288" w:lineRule="auto"/>
        <w:ind w:left="0" w:firstLine="42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3.6 </w:t>
      </w:r>
      <w:r>
        <w:rPr>
          <w:rFonts w:eastAsia="等线" w:ascii="Arial" w:cs="Arial" w:hAnsi="Arial"/>
          <w:b w:val="true"/>
          <w:sz w:val="32"/>
        </w:rPr>
        <w:t>目的地充电站推荐</w:t>
      </w:r>
      <w:bookmarkEnd w:id="9"/>
    </w:p>
    <w:p>
      <w:pPr>
        <w:spacing w:before="120" w:after="120" w:line="288" w:lineRule="auto"/>
        <w:ind w:left="0" w:firstLine="0"/>
        <w:jc w:val="left"/>
      </w:pPr>
      <w:r>
        <w:rPr>
          <w:rFonts w:eastAsia="等线" w:ascii="Arial" w:cs="Arial" w:hAnsi="Arial"/>
          <w:sz w:val="22"/>
        </w:rPr>
        <w:t>当自车接近目的地时，提供目的地周边充电站，以便用户充电。</w:t>
      </w:r>
    </w:p>
    <w:p>
      <w:pPr>
        <w:spacing w:before="120" w:after="120" w:line="288" w:lineRule="auto"/>
        <w:ind w:left="0" w:firstLine="0"/>
        <w:jc w:val="left"/>
      </w:pPr>
    </w:p>
    <w:p>
      <w:pPr>
        <w:numPr>
          <w:numId w:val="84"/>
        </w:numPr>
        <w:spacing w:before="120" w:after="120" w:line="288" w:lineRule="auto"/>
        <w:ind w:left="0"/>
        <w:jc w:val="left"/>
      </w:pPr>
      <w:r>
        <w:rPr>
          <w:rFonts w:eastAsia="等线" w:ascii="Arial" w:cs="Arial" w:hAnsi="Arial"/>
          <w:sz w:val="22"/>
        </w:rPr>
        <w:t>同时满足以下条件时提示：</w:t>
      </w:r>
    </w:p>
    <w:p>
      <w:pPr>
        <w:numPr>
          <w:numId w:val="85"/>
        </w:numPr>
        <w:spacing w:before="120" w:after="120" w:line="288" w:lineRule="auto"/>
        <w:ind w:left="453"/>
        <w:jc w:val="left"/>
      </w:pPr>
      <w:r>
        <w:rPr>
          <w:rFonts w:eastAsia="等线" w:ascii="Arial" w:cs="Arial" w:hAnsi="Arial"/>
          <w:sz w:val="22"/>
        </w:rPr>
        <w:t>20% ＜ 自车剩余电量 ＜ 50% （可配置）。</w:t>
      </w:r>
    </w:p>
    <w:p>
      <w:pPr>
        <w:numPr>
          <w:numId w:val="86"/>
        </w:numPr>
        <w:spacing w:before="120" w:after="120" w:line="288" w:lineRule="auto"/>
        <w:ind w:left="453"/>
        <w:jc w:val="left"/>
      </w:pPr>
      <w:r>
        <w:rPr>
          <w:rFonts w:eastAsia="等线" w:ascii="Arial" w:cs="Arial" w:hAnsi="Arial"/>
          <w:sz w:val="22"/>
        </w:rPr>
        <w:t>目的地周边检索范围内有充电站。</w:t>
      </w:r>
    </w:p>
    <w:p>
      <w:pPr>
        <w:numPr>
          <w:numId w:val="87"/>
        </w:numPr>
        <w:spacing w:before="120" w:after="120" w:line="288" w:lineRule="auto"/>
        <w:ind w:left="453"/>
        <w:jc w:val="left"/>
      </w:pPr>
      <w:r>
        <w:rPr>
          <w:rFonts w:eastAsia="等线" w:ascii="Arial" w:cs="Arial" w:hAnsi="Arial"/>
          <w:sz w:val="22"/>
        </w:rPr>
        <w:t>目的地不是充电站。</w:t>
      </w:r>
    </w:p>
    <w:p>
      <w:pPr>
        <w:numPr>
          <w:numId w:val="88"/>
        </w:numPr>
        <w:spacing w:before="120" w:after="120" w:line="288" w:lineRule="auto"/>
        <w:ind w:left="453"/>
        <w:jc w:val="left"/>
      </w:pPr>
      <w:r>
        <w:rPr>
          <w:rFonts w:eastAsia="等线" w:ascii="Arial" w:cs="Arial" w:hAnsi="Arial"/>
          <w:sz w:val="22"/>
        </w:rPr>
        <w:t>目的地不在高速上。</w:t>
      </w:r>
    </w:p>
    <w:p>
      <w:pPr>
        <w:numPr>
          <w:numId w:val="89"/>
        </w:numPr>
        <w:spacing w:before="120" w:after="120" w:line="288" w:lineRule="auto"/>
        <w:ind w:left="0"/>
        <w:jc w:val="left"/>
      </w:pPr>
      <w:r>
        <w:rPr>
          <w:rFonts w:eastAsia="等线" w:ascii="Arial" w:cs="Arial" w:hAnsi="Arial"/>
          <w:sz w:val="22"/>
        </w:rPr>
        <w:t>目的地周边充电站检索结果显示的时机：自车离目的地小于一定距离。</w:t>
      </w:r>
    </w:p>
    <w:p>
      <w:pPr>
        <w:numPr>
          <w:numId w:val="90"/>
        </w:numPr>
        <w:spacing w:before="120" w:after="120" w:line="288" w:lineRule="auto"/>
        <w:ind w:left="0"/>
        <w:jc w:val="left"/>
      </w:pPr>
      <w:r>
        <w:rPr>
          <w:rFonts w:eastAsia="等线" w:ascii="Arial" w:cs="Arial" w:hAnsi="Arial"/>
          <w:sz w:val="22"/>
        </w:rPr>
        <w:t>目的地周边充电站检索的范围：800m（可配置）</w:t>
      </w:r>
    </w:p>
    <w:p>
      <w:pPr>
        <w:numPr>
          <w:numId w:val="91"/>
        </w:numPr>
        <w:spacing w:before="120" w:after="120" w:line="288" w:lineRule="auto"/>
        <w:ind w:left="0"/>
        <w:jc w:val="left"/>
      </w:pPr>
      <w:r>
        <w:rPr>
          <w:rFonts w:eastAsia="等线" w:ascii="Arial" w:cs="Arial" w:hAnsi="Arial"/>
          <w:sz w:val="22"/>
        </w:rPr>
        <w:t>周围充电站的显示：</w:t>
      </w:r>
    </w:p>
    <w:p>
      <w:pPr>
        <w:numPr>
          <w:numId w:val="92"/>
        </w:numPr>
        <w:spacing w:before="120" w:after="120" w:line="288" w:lineRule="auto"/>
        <w:ind w:left="453"/>
        <w:jc w:val="left"/>
      </w:pPr>
      <w:r>
        <w:rPr>
          <w:rFonts w:eastAsia="等线" w:ascii="Arial" w:cs="Arial" w:hAnsi="Arial"/>
          <w:sz w:val="22"/>
        </w:rPr>
        <w:t>充电站描画在地图上。</w:t>
      </w:r>
    </w:p>
    <w:p>
      <w:pPr>
        <w:numPr>
          <w:numId w:val="93"/>
        </w:numPr>
        <w:spacing w:before="120" w:after="120" w:line="288" w:lineRule="auto"/>
        <w:ind w:left="453"/>
        <w:jc w:val="left"/>
      </w:pPr>
      <w:r>
        <w:rPr>
          <w:rFonts w:eastAsia="等线" w:ascii="Arial" w:cs="Arial" w:hAnsi="Arial"/>
          <w:sz w:val="22"/>
        </w:rPr>
        <w:t>充电站Icon描画比例尺5km及以下（可调整）。</w:t>
      </w:r>
    </w:p>
    <w:p>
      <w:pPr>
        <w:numPr>
          <w:numId w:val="94"/>
        </w:numPr>
        <w:spacing w:before="120" w:after="120" w:line="288" w:lineRule="auto"/>
        <w:ind w:left="453"/>
        <w:jc w:val="left"/>
      </w:pPr>
      <w:r>
        <w:rPr>
          <w:rFonts w:eastAsia="等线" w:ascii="Arial" w:cs="Arial" w:hAnsi="Arial"/>
          <w:sz w:val="22"/>
        </w:rPr>
        <w:t>从地图上拾取充电站后，显示充电站详情并可收藏和计算路线（详细参考UE）。</w:t>
      </w:r>
    </w:p>
    <w:p>
      <w:pPr>
        <w:numPr>
          <w:numId w:val="95"/>
        </w:numPr>
        <w:spacing w:before="120" w:after="120" w:line="288" w:lineRule="auto"/>
        <w:ind w:left="0"/>
        <w:jc w:val="left"/>
      </w:pPr>
      <w:r>
        <w:rPr>
          <w:rFonts w:eastAsia="等线" w:ascii="Arial" w:cs="Arial" w:hAnsi="Arial"/>
          <w:sz w:val="22"/>
        </w:rPr>
        <w:t>语音提示：</w:t>
      </w:r>
    </w:p>
    <w:p>
      <w:pPr>
        <w:numPr>
          <w:numId w:val="96"/>
        </w:numPr>
        <w:spacing w:before="120" w:after="120" w:line="288" w:lineRule="auto"/>
        <w:ind w:left="453"/>
        <w:jc w:val="left"/>
      </w:pPr>
      <w:r>
        <w:rPr>
          <w:rFonts w:eastAsia="等线" w:ascii="Arial" w:cs="Arial" w:hAnsi="Arial"/>
          <w:sz w:val="22"/>
        </w:rPr>
        <w:t>提示内容：已为您推荐目的地附近充电站。</w:t>
      </w:r>
    </w:p>
    <w:p>
      <w:pPr>
        <w:numPr>
          <w:numId w:val="97"/>
        </w:numPr>
        <w:spacing w:before="120" w:after="120" w:line="288" w:lineRule="auto"/>
        <w:ind w:left="453"/>
        <w:jc w:val="left"/>
      </w:pPr>
      <w:r>
        <w:rPr>
          <w:rFonts w:eastAsia="等线" w:ascii="Arial" w:cs="Arial" w:hAnsi="Arial"/>
          <w:sz w:val="22"/>
        </w:rPr>
        <w:t>提示时机：一次算路后，从无目的地附近充电站推荐到有目的地附近充电站推荐时，进行语音提示。对于一个目的地仅进行一次语音提示。</w:t>
      </w:r>
    </w:p>
    <w:p>
      <w:pPr>
        <w:numPr>
          <w:numId w:val="98"/>
        </w:numPr>
        <w:spacing w:before="120" w:after="120" w:line="288" w:lineRule="auto"/>
        <w:ind w:left="0"/>
        <w:jc w:val="left"/>
      </w:pPr>
      <w:r>
        <w:rPr>
          <w:rFonts w:eastAsia="等线" w:ascii="Arial" w:cs="Arial" w:hAnsi="Arial"/>
          <w:sz w:val="22"/>
        </w:rPr>
        <w:t>目的地周边充电站检索结果消去的时机，满足以下条件之一：</w:t>
      </w:r>
    </w:p>
    <w:p>
      <w:pPr>
        <w:numPr>
          <w:numId w:val="99"/>
        </w:numPr>
        <w:spacing w:before="120" w:after="120" w:line="288" w:lineRule="auto"/>
        <w:ind w:left="453"/>
        <w:jc w:val="left"/>
      </w:pPr>
      <w:r>
        <w:rPr>
          <w:rFonts w:eastAsia="等线" w:ascii="Arial" w:cs="Arial" w:hAnsi="Arial"/>
          <w:sz w:val="22"/>
        </w:rPr>
        <w:t>停止当前路线引导。</w:t>
      </w:r>
    </w:p>
    <w:p>
      <w:pPr>
        <w:numPr>
          <w:numId w:val="100"/>
        </w:numPr>
        <w:spacing w:before="120" w:after="120" w:line="288" w:lineRule="auto"/>
        <w:ind w:left="453"/>
        <w:jc w:val="left"/>
      </w:pPr>
      <w:r>
        <w:rPr>
          <w:rFonts w:eastAsia="等线" w:ascii="Arial" w:cs="Arial" w:hAnsi="Arial"/>
          <w:sz w:val="22"/>
        </w:rPr>
        <w:t>开始新目的地引导。</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3.7 </w:t>
      </w:r>
      <w:r>
        <w:rPr>
          <w:rFonts w:eastAsia="等线" w:ascii="Arial" w:cs="Arial" w:hAnsi="Arial"/>
          <w:b w:val="true"/>
          <w:sz w:val="32"/>
        </w:rPr>
        <w:t>到达目的后的剩余电量</w:t>
      </w:r>
      <w:bookmarkEnd w:id="10"/>
    </w:p>
    <w:p>
      <w:pPr>
        <w:numPr>
          <w:numId w:val="101"/>
        </w:numPr>
        <w:spacing w:before="120" w:after="120" w:line="288" w:lineRule="auto"/>
        <w:ind w:left="0"/>
        <w:jc w:val="left"/>
      </w:pPr>
      <w:r>
        <w:rPr>
          <w:rFonts w:eastAsia="等线" w:ascii="Arial" w:cs="Arial" w:hAnsi="Arial"/>
          <w:sz w:val="22"/>
        </w:rPr>
        <w:t>在用户进行路线规划后，在路线规划页面显示预计的到达目的地后的剩余电量。以便用户确认当前电量是否足够到达目的地。如下图路线中对应的电量。</w:t>
      </w:r>
    </w:p>
    <w:p>
      <w:pPr>
        <w:spacing w:before="120" w:after="120" w:line="288" w:lineRule="auto"/>
        <w:ind w:left="0"/>
        <w:jc w:val="center"/>
      </w:pPr>
      <w:r>
        <w:drawing>
          <wp:inline distT="0" distR="0" distB="0" distL="0">
            <wp:extent cx="5257800" cy="27813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81300"/>
                    </a:xfrm>
                    <a:prstGeom prst="rect">
                      <a:avLst/>
                    </a:prstGeom>
                  </pic:spPr>
                </pic:pic>
              </a:graphicData>
            </a:graphic>
          </wp:inline>
        </w:drawing>
      </w:r>
    </w:p>
    <w:p>
      <w:pPr>
        <w:numPr>
          <w:numId w:val="102"/>
        </w:numPr>
        <w:spacing w:before="120" w:after="120" w:line="288" w:lineRule="auto"/>
        <w:ind w:left="0"/>
        <w:jc w:val="left"/>
      </w:pPr>
      <w:r>
        <w:rPr>
          <w:rFonts w:eastAsia="等线" w:ascii="Arial" w:cs="Arial" w:hAnsi="Arial"/>
          <w:sz w:val="22"/>
        </w:rPr>
        <w:t>引导过程中，实时显示到达目的地剩余电量，以缓解用户续航焦虑。</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3.8 </w:t>
      </w:r>
      <w:r>
        <w:rPr>
          <w:rFonts w:eastAsia="等线" w:ascii="Arial" w:cs="Arial" w:hAnsi="Arial"/>
          <w:b w:val="true"/>
          <w:sz w:val="32"/>
        </w:rPr>
        <w:t>节能路线</w:t>
      </w:r>
      <w:bookmarkEnd w:id="11"/>
    </w:p>
    <w:p>
      <w:pPr>
        <w:spacing w:before="120" w:after="120" w:line="288" w:lineRule="auto"/>
        <w:ind w:left="0"/>
        <w:jc w:val="left"/>
      </w:pPr>
      <w:r>
        <w:rPr>
          <w:rFonts w:eastAsia="等线" w:ascii="Arial" w:cs="Arial" w:hAnsi="Arial"/>
          <w:sz w:val="22"/>
        </w:rPr>
        <w:t>当用户期待使用尽量少的电量到达目的地时，用户可选择以节能路线的算路条件规划路线。在使用节能路线规划路线时，会考虑减少上坡，避免拥堵等因素，以减少电量消耗。</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054260">
    <w:lvl>
      <w:start w:val="1"/>
      <w:numFmt w:val="decimal"/>
      <w:suff w:val="tab"/>
      <w:lvlText w:val="%1."/>
      <w:rPr>
        <w:color w:val="3370ff"/>
      </w:rPr>
    </w:lvl>
  </w:abstractNum>
  <w:abstractNum w:abstractNumId="1054261">
    <w:lvl>
      <w:start w:val="1"/>
      <w:numFmt w:val="lowerLetter"/>
      <w:suff w:val="tab"/>
      <w:lvlText w:val="%1."/>
      <w:rPr>
        <w:color w:val="3370ff"/>
      </w:rPr>
    </w:lvl>
  </w:abstractNum>
  <w:abstractNum w:abstractNumId="1054262">
    <w:lvl>
      <w:start w:val="2"/>
      <w:numFmt w:val="lowerLetter"/>
      <w:suff w:val="tab"/>
      <w:lvlText w:val="%1."/>
      <w:rPr>
        <w:color w:val="3370ff"/>
      </w:rPr>
    </w:lvl>
  </w:abstractNum>
  <w:abstractNum w:abstractNumId="1054263">
    <w:lvl>
      <w:start w:val="2"/>
      <w:numFmt w:val="decimal"/>
      <w:suff w:val="tab"/>
      <w:lvlText w:val="%1."/>
      <w:rPr>
        <w:color w:val="3370ff"/>
      </w:rPr>
    </w:lvl>
  </w:abstractNum>
  <w:abstractNum w:abstractNumId="1054264">
    <w:lvl>
      <w:start w:val="1"/>
      <w:numFmt w:val="lowerLetter"/>
      <w:suff w:val="tab"/>
      <w:lvlText w:val="%1."/>
      <w:rPr>
        <w:color w:val="3370ff"/>
      </w:rPr>
    </w:lvl>
  </w:abstractNum>
  <w:abstractNum w:abstractNumId="1054265">
    <w:lvl>
      <w:start w:val="2"/>
      <w:numFmt w:val="lowerLetter"/>
      <w:suff w:val="tab"/>
      <w:lvlText w:val="%1."/>
      <w:rPr>
        <w:color w:val="3370ff"/>
      </w:rPr>
    </w:lvl>
  </w:abstractNum>
  <w:abstractNum w:abstractNumId="1054266">
    <w:lvl>
      <w:start w:val="3"/>
      <w:numFmt w:val="lowerLetter"/>
      <w:suff w:val="tab"/>
      <w:lvlText w:val="%1."/>
      <w:rPr>
        <w:color w:val="3370ff"/>
      </w:rPr>
    </w:lvl>
  </w:abstractNum>
  <w:abstractNum w:abstractNumId="1054267">
    <w:lvl>
      <w:start w:val="3"/>
      <w:numFmt w:val="decimal"/>
      <w:suff w:val="tab"/>
      <w:lvlText w:val="%1."/>
      <w:rPr>
        <w:color w:val="3370ff"/>
      </w:rPr>
    </w:lvl>
  </w:abstractNum>
  <w:abstractNum w:abstractNumId="1054268">
    <w:lvl>
      <w:start w:val="1"/>
      <w:numFmt w:val="decimal"/>
      <w:suff w:val="tab"/>
      <w:lvlText w:val="%1."/>
      <w:rPr>
        <w:color w:val="3370ff"/>
      </w:rPr>
    </w:lvl>
  </w:abstractNum>
  <w:abstractNum w:abstractNumId="1054269">
    <w:lvl>
      <w:start w:val="1"/>
      <w:numFmt w:val="lowerLetter"/>
      <w:suff w:val="tab"/>
      <w:lvlText w:val="%1."/>
      <w:rPr>
        <w:color w:val="3370ff"/>
      </w:rPr>
    </w:lvl>
  </w:abstractNum>
  <w:abstractNum w:abstractNumId="1054270">
    <w:lvl>
      <w:start w:val="2"/>
      <w:numFmt w:val="lowerLetter"/>
      <w:suff w:val="tab"/>
      <w:lvlText w:val="%1."/>
      <w:rPr>
        <w:color w:val="3370ff"/>
      </w:rPr>
    </w:lvl>
  </w:abstractNum>
  <w:abstractNum w:abstractNumId="1054271">
    <w:lvl>
      <w:start w:val="3"/>
      <w:numFmt w:val="lowerLetter"/>
      <w:suff w:val="tab"/>
      <w:lvlText w:val="%1."/>
      <w:rPr>
        <w:color w:val="3370ff"/>
      </w:rPr>
    </w:lvl>
  </w:abstractNum>
  <w:abstractNum w:abstractNumId="1054272">
    <w:lvl>
      <w:start w:val="4"/>
      <w:numFmt w:val="lowerLetter"/>
      <w:suff w:val="tab"/>
      <w:lvlText w:val="%1."/>
      <w:rPr>
        <w:color w:val="3370ff"/>
      </w:rPr>
    </w:lvl>
  </w:abstractNum>
  <w:abstractNum w:abstractNumId="1054273">
    <w:lvl>
      <w:start w:val="2"/>
      <w:numFmt w:val="decimal"/>
      <w:suff w:val="tab"/>
      <w:lvlText w:val="%1."/>
      <w:rPr>
        <w:color w:val="3370ff"/>
      </w:rPr>
    </w:lvl>
  </w:abstractNum>
  <w:abstractNum w:abstractNumId="1054274">
    <w:lvl>
      <w:start w:val="1"/>
      <w:numFmt w:val="lowerLetter"/>
      <w:suff w:val="tab"/>
      <w:lvlText w:val="%1."/>
      <w:rPr>
        <w:color w:val="3370ff"/>
      </w:rPr>
    </w:lvl>
  </w:abstractNum>
  <w:abstractNum w:abstractNumId="1054275">
    <w:lvl>
      <w:start w:val="2"/>
      <w:numFmt w:val="lowerLetter"/>
      <w:suff w:val="tab"/>
      <w:lvlText w:val="%1."/>
      <w:rPr>
        <w:color w:val="3370ff"/>
      </w:rPr>
    </w:lvl>
  </w:abstractNum>
  <w:abstractNum w:abstractNumId="1054276">
    <w:lvl>
      <w:numFmt w:val="bullet"/>
      <w:suff w:val="tab"/>
      <w:lvlText w:val="▪"/>
      <w:rPr>
        <w:color w:val="3370ff"/>
        <w:sz w:val="11"/>
      </w:rPr>
    </w:lvl>
  </w:abstractNum>
  <w:abstractNum w:abstractNumId="1054277">
    <w:lvl>
      <w:numFmt w:val="bullet"/>
      <w:suff w:val="tab"/>
      <w:lvlText w:val="▪"/>
      <w:rPr>
        <w:color w:val="3370ff"/>
        <w:sz w:val="11"/>
      </w:rPr>
    </w:lvl>
  </w:abstractNum>
  <w:abstractNum w:abstractNumId="1054278">
    <w:lvl>
      <w:numFmt w:val="bullet"/>
      <w:suff w:val="tab"/>
      <w:lvlText w:val="•"/>
      <w:rPr>
        <w:color w:val="3370ff"/>
      </w:rPr>
    </w:lvl>
  </w:abstractNum>
  <w:abstractNum w:abstractNumId="1054279">
    <w:lvl>
      <w:numFmt w:val="bullet"/>
      <w:suff w:val="tab"/>
      <w:lvlText w:val="•"/>
      <w:rPr>
        <w:color w:val="3370ff"/>
      </w:rPr>
    </w:lvl>
  </w:abstractNum>
  <w:abstractNum w:abstractNumId="1054280">
    <w:lvl>
      <w:start w:val="3"/>
      <w:numFmt w:val="decimal"/>
      <w:suff w:val="tab"/>
      <w:lvlText w:val="%1."/>
      <w:rPr>
        <w:color w:val="3370ff"/>
      </w:rPr>
    </w:lvl>
  </w:abstractNum>
  <w:abstractNum w:abstractNumId="1054281">
    <w:lvl>
      <w:start w:val="1"/>
      <w:numFmt w:val="lowerLetter"/>
      <w:suff w:val="tab"/>
      <w:lvlText w:val="%1."/>
      <w:rPr>
        <w:color w:val="3370ff"/>
      </w:rPr>
    </w:lvl>
  </w:abstractNum>
  <w:abstractNum w:abstractNumId="1054282">
    <w:lvl>
      <w:start w:val="1"/>
      <w:numFmt w:val="lowerRoman"/>
      <w:suff w:val="tab"/>
      <w:lvlText w:val="%1."/>
      <w:rPr>
        <w:color w:val="3370ff"/>
      </w:rPr>
    </w:lvl>
  </w:abstractNum>
  <w:abstractNum w:abstractNumId="1054283">
    <w:lvl>
      <w:start w:val="2"/>
      <w:numFmt w:val="lowerRoman"/>
      <w:suff w:val="tab"/>
      <w:lvlText w:val="%1."/>
      <w:rPr>
        <w:color w:val="3370ff"/>
      </w:rPr>
    </w:lvl>
  </w:abstractNum>
  <w:abstractNum w:abstractNumId="1054284">
    <w:lvl>
      <w:start w:val="3"/>
      <w:numFmt w:val="lowerRoman"/>
      <w:suff w:val="tab"/>
      <w:lvlText w:val="%1."/>
      <w:rPr>
        <w:color w:val="3370ff"/>
      </w:rPr>
    </w:lvl>
  </w:abstractNum>
  <w:abstractNum w:abstractNumId="1054285">
    <w:lvl>
      <w:start w:val="2"/>
      <w:numFmt w:val="lowerLetter"/>
      <w:suff w:val="tab"/>
      <w:lvlText w:val="%1."/>
      <w:rPr>
        <w:color w:val="3370ff"/>
      </w:rPr>
    </w:lvl>
  </w:abstractNum>
  <w:abstractNum w:abstractNumId="1054286">
    <w:lvl>
      <w:numFmt w:val="bullet"/>
      <w:suff w:val="tab"/>
      <w:lvlText w:val="▪"/>
      <w:rPr>
        <w:color w:val="3370ff"/>
        <w:sz w:val="11"/>
      </w:rPr>
    </w:lvl>
  </w:abstractNum>
  <w:abstractNum w:abstractNumId="1054287">
    <w:lvl>
      <w:numFmt w:val="bullet"/>
      <w:suff w:val="tab"/>
      <w:lvlText w:val="▪"/>
      <w:rPr>
        <w:color w:val="3370ff"/>
        <w:sz w:val="11"/>
      </w:rPr>
    </w:lvl>
  </w:abstractNum>
  <w:abstractNum w:abstractNumId="1054288">
    <w:lvl>
      <w:numFmt w:val="bullet"/>
      <w:suff w:val="tab"/>
      <w:lvlText w:val="▪"/>
      <w:rPr>
        <w:color w:val="3370ff"/>
        <w:sz w:val="11"/>
      </w:rPr>
    </w:lvl>
  </w:abstractNum>
  <w:abstractNum w:abstractNumId="1054289">
    <w:lvl>
      <w:numFmt w:val="bullet"/>
      <w:suff w:val="tab"/>
      <w:lvlText w:val="▪"/>
      <w:rPr>
        <w:color w:val="3370ff"/>
        <w:sz w:val="11"/>
      </w:rPr>
    </w:lvl>
  </w:abstractNum>
  <w:abstractNum w:abstractNumId="1054290">
    <w:lvl>
      <w:numFmt w:val="bullet"/>
      <w:suff w:val="tab"/>
      <w:lvlText w:val="▪"/>
      <w:rPr>
        <w:color w:val="3370ff"/>
        <w:sz w:val="11"/>
      </w:rPr>
    </w:lvl>
  </w:abstractNum>
  <w:abstractNum w:abstractNumId="1054291">
    <w:lvl>
      <w:numFmt w:val="bullet"/>
      <w:suff w:val="tab"/>
      <w:lvlText w:val="▪"/>
      <w:rPr>
        <w:color w:val="3370ff"/>
        <w:sz w:val="11"/>
      </w:rPr>
    </w:lvl>
  </w:abstractNum>
  <w:abstractNum w:abstractNumId="1054292">
    <w:lvl>
      <w:start w:val="3"/>
      <w:numFmt w:val="lowerLetter"/>
      <w:suff w:val="tab"/>
      <w:lvlText w:val="%1."/>
      <w:rPr>
        <w:color w:val="3370ff"/>
      </w:rPr>
    </w:lvl>
  </w:abstractNum>
  <w:abstractNum w:abstractNumId="1054293">
    <w:lvl>
      <w:start w:val="4"/>
      <w:numFmt w:val="lowerLetter"/>
      <w:suff w:val="tab"/>
      <w:lvlText w:val="%1."/>
      <w:rPr>
        <w:color w:val="3370ff"/>
      </w:rPr>
    </w:lvl>
  </w:abstractNum>
  <w:abstractNum w:abstractNumId="1054294">
    <w:lvl>
      <w:numFmt w:val="bullet"/>
      <w:suff w:val="tab"/>
      <w:lvlText w:val="▪"/>
      <w:rPr>
        <w:color w:val="3370ff"/>
        <w:sz w:val="11"/>
      </w:rPr>
    </w:lvl>
  </w:abstractNum>
  <w:abstractNum w:abstractNumId="1054295">
    <w:lvl>
      <w:numFmt w:val="bullet"/>
      <w:suff w:val="tab"/>
      <w:lvlText w:val="▪"/>
      <w:rPr>
        <w:color w:val="3370ff"/>
        <w:sz w:val="11"/>
      </w:rPr>
    </w:lvl>
  </w:abstractNum>
  <w:abstractNum w:abstractNumId="1054296">
    <w:lvl>
      <w:numFmt w:val="bullet"/>
      <w:suff w:val="tab"/>
      <w:lvlText w:val="▪"/>
      <w:rPr>
        <w:color w:val="3370ff"/>
        <w:sz w:val="11"/>
      </w:rPr>
    </w:lvl>
  </w:abstractNum>
  <w:abstractNum w:abstractNumId="1054297">
    <w:lvl>
      <w:numFmt w:val="bullet"/>
      <w:suff w:val="tab"/>
      <w:lvlText w:val="▪"/>
      <w:rPr>
        <w:color w:val="3370ff"/>
        <w:sz w:val="11"/>
      </w:rPr>
    </w:lvl>
  </w:abstractNum>
  <w:abstractNum w:abstractNumId="1054298">
    <w:lvl>
      <w:numFmt w:val="bullet"/>
      <w:suff w:val="tab"/>
      <w:lvlText w:val="▪"/>
      <w:rPr>
        <w:color w:val="3370ff"/>
        <w:sz w:val="11"/>
      </w:rPr>
    </w:lvl>
  </w:abstractNum>
  <w:abstractNum w:abstractNumId="1054299">
    <w:lvl>
      <w:numFmt w:val="bullet"/>
      <w:suff w:val="tab"/>
      <w:lvlText w:val="▪"/>
      <w:rPr>
        <w:color w:val="3370ff"/>
        <w:sz w:val="11"/>
      </w:rPr>
    </w:lvl>
  </w:abstractNum>
  <w:abstractNum w:abstractNumId="1054300">
    <w:lvl>
      <w:start w:val="1"/>
      <w:numFmt w:val="decimal"/>
      <w:suff w:val="tab"/>
      <w:lvlText w:val="%1."/>
      <w:rPr>
        <w:color w:val="3370ff"/>
      </w:rPr>
    </w:lvl>
  </w:abstractNum>
  <w:abstractNum w:abstractNumId="1054301">
    <w:lvl>
      <w:start w:val="1"/>
      <w:numFmt w:val="lowerLetter"/>
      <w:suff w:val="tab"/>
      <w:lvlText w:val="%1."/>
      <w:rPr>
        <w:color w:val="3370ff"/>
      </w:rPr>
    </w:lvl>
  </w:abstractNum>
  <w:abstractNum w:abstractNumId="1054302">
    <w:lvl>
      <w:start w:val="2"/>
      <w:numFmt w:val="lowerLetter"/>
      <w:suff w:val="tab"/>
      <w:lvlText w:val="%1."/>
      <w:rPr>
        <w:color w:val="3370ff"/>
      </w:rPr>
    </w:lvl>
  </w:abstractNum>
  <w:abstractNum w:abstractNumId="1054303">
    <w:lvl>
      <w:start w:val="3"/>
      <w:numFmt w:val="lowerLetter"/>
      <w:suff w:val="tab"/>
      <w:lvlText w:val="%1."/>
      <w:rPr>
        <w:color w:val="3370ff"/>
      </w:rPr>
    </w:lvl>
  </w:abstractNum>
  <w:abstractNum w:abstractNumId="1054304">
    <w:lvl>
      <w:start w:val="2"/>
      <w:numFmt w:val="decimal"/>
      <w:suff w:val="tab"/>
      <w:lvlText w:val="%1."/>
      <w:rPr>
        <w:color w:val="3370ff"/>
      </w:rPr>
    </w:lvl>
  </w:abstractNum>
  <w:abstractNum w:abstractNumId="1054305">
    <w:lvl>
      <w:start w:val="5"/>
      <w:numFmt w:val="lowerLetter"/>
      <w:suff w:val="tab"/>
      <w:lvlText w:val="%1."/>
      <w:rPr>
        <w:color w:val="3370ff"/>
      </w:rPr>
    </w:lvl>
  </w:abstractNum>
  <w:abstractNum w:abstractNumId="1054306">
    <w:lvl>
      <w:start w:val="4"/>
      <w:numFmt w:val="decimal"/>
      <w:suff w:val="tab"/>
      <w:lvlText w:val="%1."/>
      <w:rPr>
        <w:color w:val="3370ff"/>
      </w:rPr>
    </w:lvl>
  </w:abstractNum>
  <w:abstractNum w:abstractNumId="1054307">
    <w:lvl>
      <w:numFmt w:val="bullet"/>
      <w:suff w:val="tab"/>
      <w:lvlText w:val="￮"/>
      <w:rPr>
        <w:color w:val="3370ff"/>
      </w:rPr>
    </w:lvl>
  </w:abstractNum>
  <w:abstractNum w:abstractNumId="1054308">
    <w:lvl>
      <w:numFmt w:val="bullet"/>
      <w:suff w:val="tab"/>
      <w:lvlText w:val="￮"/>
      <w:rPr>
        <w:color w:val="3370ff"/>
      </w:rPr>
    </w:lvl>
  </w:abstractNum>
  <w:abstractNum w:abstractNumId="1054309">
    <w:lvl>
      <w:numFmt w:val="bullet"/>
      <w:suff w:val="tab"/>
      <w:lvlText w:val="￮"/>
      <w:rPr>
        <w:color w:val="3370ff"/>
      </w:rPr>
    </w:lvl>
  </w:abstractNum>
  <w:abstractNum w:abstractNumId="1054310">
    <w:lvl>
      <w:numFmt w:val="bullet"/>
      <w:suff w:val="tab"/>
      <w:lvlText w:val="￮"/>
      <w:rPr>
        <w:color w:val="3370ff"/>
      </w:rPr>
    </w:lvl>
  </w:abstractNum>
  <w:abstractNum w:abstractNumId="1054311">
    <w:lvl>
      <w:numFmt w:val="bullet"/>
      <w:suff w:val="tab"/>
      <w:lvlText w:val="▪"/>
      <w:rPr>
        <w:color w:val="3370ff"/>
        <w:sz w:val="11"/>
      </w:rPr>
    </w:lvl>
  </w:abstractNum>
  <w:abstractNum w:abstractNumId="1054312">
    <w:lvl>
      <w:numFmt w:val="bullet"/>
      <w:suff w:val="tab"/>
      <w:lvlText w:val="￮"/>
      <w:rPr>
        <w:color w:val="3370ff"/>
      </w:rPr>
    </w:lvl>
  </w:abstractNum>
  <w:abstractNum w:abstractNumId="1054313">
    <w:lvl>
      <w:numFmt w:val="bullet"/>
      <w:suff w:val="tab"/>
      <w:lvlText w:val="￮"/>
      <w:rPr>
        <w:color w:val="3370ff"/>
      </w:rPr>
    </w:lvl>
  </w:abstractNum>
  <w:abstractNum w:abstractNumId="1054314">
    <w:lvl>
      <w:numFmt w:val="bullet"/>
      <w:suff w:val="tab"/>
      <w:lvlText w:val="￮"/>
      <w:rPr>
        <w:color w:val="3370ff"/>
      </w:rPr>
    </w:lvl>
  </w:abstractNum>
  <w:abstractNum w:abstractNumId="1054315">
    <w:lvl>
      <w:start w:val="5"/>
      <w:numFmt w:val="decimal"/>
      <w:suff w:val="tab"/>
      <w:lvlText w:val="%1."/>
      <w:rPr>
        <w:color w:val="3370ff"/>
      </w:rPr>
    </w:lvl>
  </w:abstractNum>
  <w:abstractNum w:abstractNumId="1054316">
    <w:lvl>
      <w:start w:val="6"/>
      <w:numFmt w:val="decimal"/>
      <w:suff w:val="tab"/>
      <w:lvlText w:val="%1."/>
      <w:rPr>
        <w:color w:val="3370ff"/>
      </w:rPr>
    </w:lvl>
  </w:abstractNum>
  <w:abstractNum w:abstractNumId="1054317">
    <w:lvl>
      <w:start w:val="1"/>
      <w:numFmt w:val="decimal"/>
      <w:suff w:val="tab"/>
      <w:lvlText w:val="%1."/>
      <w:rPr>
        <w:color w:val="3370ff"/>
      </w:rPr>
    </w:lvl>
  </w:abstractNum>
  <w:abstractNum w:abstractNumId="1054318">
    <w:lvl>
      <w:start w:val="2"/>
      <w:numFmt w:val="decimal"/>
      <w:suff w:val="tab"/>
      <w:lvlText w:val="%1."/>
      <w:rPr>
        <w:color w:val="3370ff"/>
      </w:rPr>
    </w:lvl>
  </w:abstractNum>
  <w:abstractNum w:abstractNumId="1054319">
    <w:lvl>
      <w:start w:val="1"/>
      <w:numFmt w:val="lowerLetter"/>
      <w:suff w:val="tab"/>
      <w:lvlText w:val="%1."/>
      <w:rPr>
        <w:color w:val="3370ff"/>
      </w:rPr>
    </w:lvl>
  </w:abstractNum>
  <w:abstractNum w:abstractNumId="1054320">
    <w:lvl>
      <w:start w:val="2"/>
      <w:numFmt w:val="lowerLetter"/>
      <w:suff w:val="tab"/>
      <w:lvlText w:val="%1."/>
      <w:rPr>
        <w:color w:val="3370ff"/>
      </w:rPr>
    </w:lvl>
  </w:abstractNum>
  <w:abstractNum w:abstractNumId="1054321">
    <w:lvl>
      <w:start w:val="3"/>
      <w:numFmt w:val="lowerLetter"/>
      <w:suff w:val="tab"/>
      <w:lvlText w:val="%1."/>
      <w:rPr>
        <w:color w:val="3370ff"/>
      </w:rPr>
    </w:lvl>
  </w:abstractNum>
  <w:abstractNum w:abstractNumId="1054322">
    <w:lvl>
      <w:start w:val="4"/>
      <w:numFmt w:val="lowerLetter"/>
      <w:suff w:val="tab"/>
      <w:lvlText w:val="%1."/>
      <w:rPr>
        <w:color w:val="3370ff"/>
      </w:rPr>
    </w:lvl>
  </w:abstractNum>
  <w:abstractNum w:abstractNumId="1054323">
    <w:lvl>
      <w:start w:val="5"/>
      <w:numFmt w:val="lowerLetter"/>
      <w:suff w:val="tab"/>
      <w:lvlText w:val="%1."/>
      <w:rPr>
        <w:color w:val="3370ff"/>
      </w:rPr>
    </w:lvl>
  </w:abstractNum>
  <w:abstractNum w:abstractNumId="1054324">
    <w:lvl>
      <w:start w:val="1"/>
      <w:numFmt w:val="decimal"/>
      <w:suff w:val="tab"/>
      <w:lvlText w:val="%1."/>
      <w:rPr>
        <w:color w:val="3370ff"/>
      </w:rPr>
    </w:lvl>
  </w:abstractNum>
  <w:abstractNum w:abstractNumId="1054325">
    <w:lvl>
      <w:numFmt w:val="bullet"/>
      <w:suff w:val="tab"/>
      <w:lvlText w:val="￮"/>
      <w:rPr>
        <w:color w:val="3370ff"/>
      </w:rPr>
    </w:lvl>
  </w:abstractNum>
  <w:abstractNum w:abstractNumId="1054326">
    <w:lvl>
      <w:numFmt w:val="bullet"/>
      <w:suff w:val="tab"/>
      <w:lvlText w:val="￮"/>
      <w:rPr>
        <w:color w:val="3370ff"/>
      </w:rPr>
    </w:lvl>
  </w:abstractNum>
  <w:abstractNum w:abstractNumId="1054327">
    <w:lvl>
      <w:numFmt w:val="bullet"/>
      <w:suff w:val="tab"/>
      <w:lvlText w:val="￮"/>
      <w:rPr>
        <w:color w:val="3370ff"/>
      </w:rPr>
    </w:lvl>
  </w:abstractNum>
  <w:abstractNum w:abstractNumId="1054328">
    <w:lvl>
      <w:numFmt w:val="bullet"/>
      <w:suff w:val="tab"/>
      <w:lvlText w:val="￮"/>
      <w:rPr>
        <w:color w:val="3370ff"/>
      </w:rPr>
    </w:lvl>
  </w:abstractNum>
  <w:abstractNum w:abstractNumId="1054329">
    <w:lvl>
      <w:start w:val="2"/>
      <w:numFmt w:val="decimal"/>
      <w:suff w:val="tab"/>
      <w:lvlText w:val="%1."/>
      <w:rPr>
        <w:color w:val="3370ff"/>
      </w:rPr>
    </w:lvl>
  </w:abstractNum>
  <w:abstractNum w:abstractNumId="1054330">
    <w:lvl>
      <w:numFmt w:val="bullet"/>
      <w:suff w:val="tab"/>
      <w:lvlText w:val="￮"/>
      <w:rPr>
        <w:color w:val="3370ff"/>
      </w:rPr>
    </w:lvl>
  </w:abstractNum>
  <w:abstractNum w:abstractNumId="1054331">
    <w:lvl>
      <w:numFmt w:val="bullet"/>
      <w:suff w:val="tab"/>
      <w:lvlText w:val="￮"/>
      <w:rPr>
        <w:color w:val="3370ff"/>
      </w:rPr>
    </w:lvl>
  </w:abstractNum>
  <w:abstractNum w:abstractNumId="1054332">
    <w:lvl>
      <w:numFmt w:val="bullet"/>
      <w:suff w:val="tab"/>
      <w:lvlText w:val="￮"/>
      <w:rPr>
        <w:color w:val="3370ff"/>
      </w:rPr>
    </w:lvl>
  </w:abstractNum>
  <w:abstractNum w:abstractNumId="1054333">
    <w:lvl>
      <w:numFmt w:val="bullet"/>
      <w:suff w:val="tab"/>
      <w:lvlText w:val="￮"/>
      <w:rPr>
        <w:color w:val="3370ff"/>
      </w:rPr>
    </w:lvl>
  </w:abstractNum>
  <w:abstractNum w:abstractNumId="1054334">
    <w:lvl>
      <w:numFmt w:val="bullet"/>
      <w:suff w:val="tab"/>
      <w:lvlText w:val="￮"/>
      <w:rPr>
        <w:color w:val="3370ff"/>
      </w:rPr>
    </w:lvl>
  </w:abstractNum>
  <w:abstractNum w:abstractNumId="1054335">
    <w:lvl>
      <w:numFmt w:val="bullet"/>
      <w:suff w:val="tab"/>
      <w:lvlText w:val="￮"/>
      <w:rPr>
        <w:color w:val="3370ff"/>
      </w:rPr>
    </w:lvl>
  </w:abstractNum>
  <w:abstractNum w:abstractNumId="1054336">
    <w:lvl>
      <w:start w:val="3"/>
      <w:numFmt w:val="decimal"/>
      <w:suff w:val="tab"/>
      <w:lvlText w:val="%1."/>
      <w:rPr>
        <w:color w:val="3370ff"/>
      </w:rPr>
    </w:lvl>
  </w:abstractNum>
  <w:abstractNum w:abstractNumId="1054337">
    <w:lvl>
      <w:start w:val="1"/>
      <w:numFmt w:val="lowerLetter"/>
      <w:suff w:val="tab"/>
      <w:lvlText w:val="%1."/>
      <w:rPr>
        <w:color w:val="3370ff"/>
      </w:rPr>
    </w:lvl>
  </w:abstractNum>
  <w:abstractNum w:abstractNumId="1054338">
    <w:lvl>
      <w:start w:val="2"/>
      <w:numFmt w:val="lowerLetter"/>
      <w:suff w:val="tab"/>
      <w:lvlText w:val="%1."/>
      <w:rPr>
        <w:color w:val="3370ff"/>
      </w:rPr>
    </w:lvl>
  </w:abstractNum>
  <w:abstractNum w:abstractNumId="1054339">
    <w:lvl>
      <w:start w:val="4"/>
      <w:numFmt w:val="decimal"/>
      <w:suff w:val="tab"/>
      <w:lvlText w:val="%1."/>
      <w:rPr>
        <w:color w:val="3370ff"/>
      </w:rPr>
    </w:lvl>
  </w:abstractNum>
  <w:abstractNum w:abstractNumId="1054340">
    <w:lvl>
      <w:start w:val="1"/>
      <w:numFmt w:val="lowerLetter"/>
      <w:suff w:val="tab"/>
      <w:lvlText w:val="%1."/>
      <w:rPr>
        <w:color w:val="3370ff"/>
      </w:rPr>
    </w:lvl>
  </w:abstractNum>
  <w:abstractNum w:abstractNumId="1054341">
    <w:lvl>
      <w:start w:val="2"/>
      <w:numFmt w:val="lowerLetter"/>
      <w:suff w:val="tab"/>
      <w:lvlText w:val="%1."/>
      <w:rPr>
        <w:color w:val="3370ff"/>
      </w:rPr>
    </w:lvl>
  </w:abstractNum>
  <w:abstractNum w:abstractNumId="1054342">
    <w:lvl>
      <w:start w:val="3"/>
      <w:numFmt w:val="lowerLetter"/>
      <w:suff w:val="tab"/>
      <w:lvlText w:val="%1."/>
      <w:rPr>
        <w:color w:val="3370ff"/>
      </w:rPr>
    </w:lvl>
  </w:abstractNum>
  <w:abstractNum w:abstractNumId="1054343">
    <w:lvl>
      <w:start w:val="1"/>
      <w:numFmt w:val="decimal"/>
      <w:suff w:val="tab"/>
      <w:lvlText w:val="%1."/>
      <w:rPr>
        <w:color w:val="3370ff"/>
      </w:rPr>
    </w:lvl>
  </w:abstractNum>
  <w:abstractNum w:abstractNumId="1054344">
    <w:lvl>
      <w:start w:val="1"/>
      <w:numFmt w:val="lowerLetter"/>
      <w:suff w:val="tab"/>
      <w:lvlText w:val="%1."/>
      <w:rPr>
        <w:color w:val="3370ff"/>
      </w:rPr>
    </w:lvl>
  </w:abstractNum>
  <w:abstractNum w:abstractNumId="1054345">
    <w:lvl>
      <w:start w:val="2"/>
      <w:numFmt w:val="lowerLetter"/>
      <w:suff w:val="tab"/>
      <w:lvlText w:val="%1."/>
      <w:rPr>
        <w:color w:val="3370ff"/>
      </w:rPr>
    </w:lvl>
  </w:abstractNum>
  <w:abstractNum w:abstractNumId="1054346">
    <w:lvl>
      <w:start w:val="3"/>
      <w:numFmt w:val="lowerLetter"/>
      <w:suff w:val="tab"/>
      <w:lvlText w:val="%1."/>
      <w:rPr>
        <w:color w:val="3370ff"/>
      </w:rPr>
    </w:lvl>
  </w:abstractNum>
  <w:abstractNum w:abstractNumId="1054347">
    <w:lvl>
      <w:start w:val="4"/>
      <w:numFmt w:val="lowerLetter"/>
      <w:suff w:val="tab"/>
      <w:lvlText w:val="%1."/>
      <w:rPr>
        <w:color w:val="3370ff"/>
      </w:rPr>
    </w:lvl>
  </w:abstractNum>
  <w:abstractNum w:abstractNumId="1054348">
    <w:lvl>
      <w:start w:val="2"/>
      <w:numFmt w:val="decimal"/>
      <w:suff w:val="tab"/>
      <w:lvlText w:val="%1."/>
      <w:rPr>
        <w:color w:val="3370ff"/>
      </w:rPr>
    </w:lvl>
  </w:abstractNum>
  <w:abstractNum w:abstractNumId="1054349">
    <w:lvl>
      <w:start w:val="3"/>
      <w:numFmt w:val="decimal"/>
      <w:suff w:val="tab"/>
      <w:lvlText w:val="%1."/>
      <w:rPr>
        <w:color w:val="3370ff"/>
      </w:rPr>
    </w:lvl>
  </w:abstractNum>
  <w:abstractNum w:abstractNumId="1054350">
    <w:lvl>
      <w:start w:val="4"/>
      <w:numFmt w:val="decimal"/>
      <w:suff w:val="tab"/>
      <w:lvlText w:val="%1."/>
      <w:rPr>
        <w:color w:val="3370ff"/>
      </w:rPr>
    </w:lvl>
  </w:abstractNum>
  <w:abstractNum w:abstractNumId="1054351">
    <w:lvl>
      <w:start w:val="1"/>
      <w:numFmt w:val="lowerLetter"/>
      <w:suff w:val="tab"/>
      <w:lvlText w:val="%1."/>
      <w:rPr>
        <w:color w:val="3370ff"/>
      </w:rPr>
    </w:lvl>
  </w:abstractNum>
  <w:abstractNum w:abstractNumId="1054352">
    <w:lvl>
      <w:start w:val="2"/>
      <w:numFmt w:val="lowerLetter"/>
      <w:suff w:val="tab"/>
      <w:lvlText w:val="%1."/>
      <w:rPr>
        <w:color w:val="3370ff"/>
      </w:rPr>
    </w:lvl>
  </w:abstractNum>
  <w:abstractNum w:abstractNumId="1054353">
    <w:lvl>
      <w:start w:val="3"/>
      <w:numFmt w:val="lowerLetter"/>
      <w:suff w:val="tab"/>
      <w:lvlText w:val="%1."/>
      <w:rPr>
        <w:color w:val="3370ff"/>
      </w:rPr>
    </w:lvl>
  </w:abstractNum>
  <w:abstractNum w:abstractNumId="1054354">
    <w:lvl>
      <w:start w:val="5"/>
      <w:numFmt w:val="decimal"/>
      <w:suff w:val="tab"/>
      <w:lvlText w:val="%1."/>
      <w:rPr>
        <w:color w:val="3370ff"/>
      </w:rPr>
    </w:lvl>
  </w:abstractNum>
  <w:abstractNum w:abstractNumId="1054355">
    <w:lvl>
      <w:start w:val="1"/>
      <w:numFmt w:val="lowerLetter"/>
      <w:suff w:val="tab"/>
      <w:lvlText w:val="%1."/>
      <w:rPr>
        <w:color w:val="3370ff"/>
      </w:rPr>
    </w:lvl>
  </w:abstractNum>
  <w:abstractNum w:abstractNumId="1054356">
    <w:lvl>
      <w:start w:val="2"/>
      <w:numFmt w:val="lowerLetter"/>
      <w:suff w:val="tab"/>
      <w:lvlText w:val="%1."/>
      <w:rPr>
        <w:color w:val="3370ff"/>
      </w:rPr>
    </w:lvl>
  </w:abstractNum>
  <w:abstractNum w:abstractNumId="1054357">
    <w:lvl>
      <w:start w:val="6"/>
      <w:numFmt w:val="decimal"/>
      <w:suff w:val="tab"/>
      <w:lvlText w:val="%1."/>
      <w:rPr>
        <w:color w:val="3370ff"/>
      </w:rPr>
    </w:lvl>
  </w:abstractNum>
  <w:abstractNum w:abstractNumId="1054358">
    <w:lvl>
      <w:start w:val="1"/>
      <w:numFmt w:val="lowerLetter"/>
      <w:suff w:val="tab"/>
      <w:lvlText w:val="%1."/>
      <w:rPr>
        <w:color w:val="3370ff"/>
      </w:rPr>
    </w:lvl>
  </w:abstractNum>
  <w:abstractNum w:abstractNumId="1054359">
    <w:lvl>
      <w:start w:val="2"/>
      <w:numFmt w:val="lowerLetter"/>
      <w:suff w:val="tab"/>
      <w:lvlText w:val="%1."/>
      <w:rPr>
        <w:color w:val="3370ff"/>
      </w:rPr>
    </w:lvl>
  </w:abstractNum>
  <w:abstractNum w:abstractNumId="1054360">
    <w:lvl>
      <w:start w:val="1"/>
      <w:numFmt w:val="decimal"/>
      <w:suff w:val="tab"/>
      <w:lvlText w:val="%1."/>
      <w:rPr>
        <w:color w:val="3370ff"/>
      </w:rPr>
    </w:lvl>
  </w:abstractNum>
  <w:abstractNum w:abstractNumId="1054361">
    <w:lvl>
      <w:start w:val="2"/>
      <w:numFmt w:val="decimal"/>
      <w:suff w:val="tab"/>
      <w:lvlText w:val="%1."/>
      <w:rPr>
        <w:color w:val="3370ff"/>
      </w:rPr>
    </w:lvl>
  </w:abstractNum>
  <w:num w:numId="1">
    <w:abstractNumId w:val="1054260"/>
  </w:num>
  <w:num w:numId="2">
    <w:abstractNumId w:val="1054261"/>
  </w:num>
  <w:num w:numId="3">
    <w:abstractNumId w:val="1054262"/>
  </w:num>
  <w:num w:numId="4">
    <w:abstractNumId w:val="1054263"/>
  </w:num>
  <w:num w:numId="5">
    <w:abstractNumId w:val="1054264"/>
  </w:num>
  <w:num w:numId="6">
    <w:abstractNumId w:val="1054265"/>
  </w:num>
  <w:num w:numId="7">
    <w:abstractNumId w:val="1054266"/>
  </w:num>
  <w:num w:numId="8">
    <w:abstractNumId w:val="1054267"/>
  </w:num>
  <w:num w:numId="9">
    <w:abstractNumId w:val="1054268"/>
  </w:num>
  <w:num w:numId="10">
    <w:abstractNumId w:val="1054269"/>
  </w:num>
  <w:num w:numId="11">
    <w:abstractNumId w:val="1054270"/>
  </w:num>
  <w:num w:numId="12">
    <w:abstractNumId w:val="1054271"/>
  </w:num>
  <w:num w:numId="13">
    <w:abstractNumId w:val="1054272"/>
  </w:num>
  <w:num w:numId="14">
    <w:abstractNumId w:val="1054273"/>
  </w:num>
  <w:num w:numId="15">
    <w:abstractNumId w:val="1054274"/>
  </w:num>
  <w:num w:numId="16">
    <w:abstractNumId w:val="1054275"/>
  </w:num>
  <w:num w:numId="17">
    <w:abstractNumId w:val="1054276"/>
  </w:num>
  <w:num w:numId="18">
    <w:abstractNumId w:val="1054277"/>
  </w:num>
  <w:num w:numId="19">
    <w:abstractNumId w:val="1054278"/>
  </w:num>
  <w:num w:numId="20">
    <w:abstractNumId w:val="1054279"/>
  </w:num>
  <w:num w:numId="21">
    <w:abstractNumId w:val="1054280"/>
  </w:num>
  <w:num w:numId="22">
    <w:abstractNumId w:val="1054281"/>
  </w:num>
  <w:num w:numId="23">
    <w:abstractNumId w:val="1054282"/>
  </w:num>
  <w:num w:numId="24">
    <w:abstractNumId w:val="1054283"/>
  </w:num>
  <w:num w:numId="25">
    <w:abstractNumId w:val="1054284"/>
  </w:num>
  <w:num w:numId="26">
    <w:abstractNumId w:val="1054285"/>
  </w:num>
  <w:num w:numId="27">
    <w:abstractNumId w:val="1054286"/>
  </w:num>
  <w:num w:numId="28">
    <w:abstractNumId w:val="1054287"/>
  </w:num>
  <w:num w:numId="29">
    <w:abstractNumId w:val="1054288"/>
  </w:num>
  <w:num w:numId="30">
    <w:abstractNumId w:val="1054289"/>
  </w:num>
  <w:num w:numId="31">
    <w:abstractNumId w:val="1054290"/>
  </w:num>
  <w:num w:numId="32">
    <w:abstractNumId w:val="1054291"/>
  </w:num>
  <w:num w:numId="33">
    <w:abstractNumId w:val="1054292"/>
  </w:num>
  <w:num w:numId="34">
    <w:abstractNumId w:val="1054293"/>
  </w:num>
  <w:num w:numId="35">
    <w:abstractNumId w:val="1054294"/>
  </w:num>
  <w:num w:numId="36">
    <w:abstractNumId w:val="1054295"/>
  </w:num>
  <w:num w:numId="37">
    <w:abstractNumId w:val="1054296"/>
  </w:num>
  <w:num w:numId="38">
    <w:abstractNumId w:val="1054297"/>
  </w:num>
  <w:num w:numId="39">
    <w:abstractNumId w:val="1054298"/>
  </w:num>
  <w:num w:numId="40">
    <w:abstractNumId w:val="1054299"/>
  </w:num>
  <w:num w:numId="41">
    <w:abstractNumId w:val="1054300"/>
  </w:num>
  <w:num w:numId="42">
    <w:abstractNumId w:val="1054301"/>
  </w:num>
  <w:num w:numId="43">
    <w:abstractNumId w:val="1054302"/>
  </w:num>
  <w:num w:numId="44">
    <w:abstractNumId w:val="1054303"/>
  </w:num>
  <w:num w:numId="45">
    <w:abstractNumId w:val="1054304"/>
  </w:num>
  <w:num w:numId="46">
    <w:abstractNumId w:val="1054305"/>
  </w:num>
  <w:num w:numId="47">
    <w:abstractNumId w:val="1054306"/>
  </w:num>
  <w:num w:numId="48">
    <w:abstractNumId w:val="1054307"/>
  </w:num>
  <w:num w:numId="49">
    <w:abstractNumId w:val="1054308"/>
  </w:num>
  <w:num w:numId="50">
    <w:abstractNumId w:val="1054309"/>
  </w:num>
  <w:num w:numId="51">
    <w:abstractNumId w:val="1054310"/>
  </w:num>
  <w:num w:numId="52">
    <w:abstractNumId w:val="1054311"/>
  </w:num>
  <w:num w:numId="53">
    <w:abstractNumId w:val="1054312"/>
  </w:num>
  <w:num w:numId="54">
    <w:abstractNumId w:val="1054313"/>
  </w:num>
  <w:num w:numId="55">
    <w:abstractNumId w:val="1054314"/>
  </w:num>
  <w:num w:numId="56">
    <w:abstractNumId w:val="1054315"/>
  </w:num>
  <w:num w:numId="57">
    <w:abstractNumId w:val="1054316"/>
  </w:num>
  <w:num w:numId="58">
    <w:abstractNumId w:val="1054317"/>
  </w:num>
  <w:num w:numId="59">
    <w:abstractNumId w:val="1054318"/>
  </w:num>
  <w:num w:numId="60">
    <w:abstractNumId w:val="1054319"/>
  </w:num>
  <w:num w:numId="61">
    <w:abstractNumId w:val="1054320"/>
  </w:num>
  <w:num w:numId="62">
    <w:abstractNumId w:val="1054321"/>
  </w:num>
  <w:num w:numId="63">
    <w:abstractNumId w:val="1054322"/>
  </w:num>
  <w:num w:numId="64">
    <w:abstractNumId w:val="1054323"/>
  </w:num>
  <w:num w:numId="65">
    <w:abstractNumId w:val="1054324"/>
  </w:num>
  <w:num w:numId="66">
    <w:abstractNumId w:val="1054325"/>
  </w:num>
  <w:num w:numId="67">
    <w:abstractNumId w:val="1054326"/>
  </w:num>
  <w:num w:numId="68">
    <w:abstractNumId w:val="1054327"/>
  </w:num>
  <w:num w:numId="69">
    <w:abstractNumId w:val="1054328"/>
  </w:num>
  <w:num w:numId="70">
    <w:abstractNumId w:val="1054329"/>
  </w:num>
  <w:num w:numId="71">
    <w:abstractNumId w:val="1054330"/>
  </w:num>
  <w:num w:numId="72">
    <w:abstractNumId w:val="1054331"/>
  </w:num>
  <w:num w:numId="73">
    <w:abstractNumId w:val="1054332"/>
  </w:num>
  <w:num w:numId="74">
    <w:abstractNumId w:val="1054333"/>
  </w:num>
  <w:num w:numId="75">
    <w:abstractNumId w:val="1054334"/>
  </w:num>
  <w:num w:numId="76">
    <w:abstractNumId w:val="1054335"/>
  </w:num>
  <w:num w:numId="77">
    <w:abstractNumId w:val="1054336"/>
  </w:num>
  <w:num w:numId="78">
    <w:abstractNumId w:val="1054337"/>
  </w:num>
  <w:num w:numId="79">
    <w:abstractNumId w:val="1054338"/>
  </w:num>
  <w:num w:numId="80">
    <w:abstractNumId w:val="1054339"/>
  </w:num>
  <w:num w:numId="81">
    <w:abstractNumId w:val="1054340"/>
  </w:num>
  <w:num w:numId="82">
    <w:abstractNumId w:val="1054341"/>
  </w:num>
  <w:num w:numId="83">
    <w:abstractNumId w:val="1054342"/>
  </w:num>
  <w:num w:numId="84">
    <w:abstractNumId w:val="1054343"/>
  </w:num>
  <w:num w:numId="85">
    <w:abstractNumId w:val="1054344"/>
  </w:num>
  <w:num w:numId="86">
    <w:abstractNumId w:val="1054345"/>
  </w:num>
  <w:num w:numId="87">
    <w:abstractNumId w:val="1054346"/>
  </w:num>
  <w:num w:numId="88">
    <w:abstractNumId w:val="1054347"/>
  </w:num>
  <w:num w:numId="89">
    <w:abstractNumId w:val="1054348"/>
  </w:num>
  <w:num w:numId="90">
    <w:abstractNumId w:val="1054349"/>
  </w:num>
  <w:num w:numId="91">
    <w:abstractNumId w:val="1054350"/>
  </w:num>
  <w:num w:numId="92">
    <w:abstractNumId w:val="1054351"/>
  </w:num>
  <w:num w:numId="93">
    <w:abstractNumId w:val="1054352"/>
  </w:num>
  <w:num w:numId="94">
    <w:abstractNumId w:val="1054353"/>
  </w:num>
  <w:num w:numId="95">
    <w:abstractNumId w:val="1054354"/>
  </w:num>
  <w:num w:numId="96">
    <w:abstractNumId w:val="1054355"/>
  </w:num>
  <w:num w:numId="97">
    <w:abstractNumId w:val="1054356"/>
  </w:num>
  <w:num w:numId="98">
    <w:abstractNumId w:val="1054357"/>
  </w:num>
  <w:num w:numId="99">
    <w:abstractNumId w:val="1054358"/>
  </w:num>
  <w:num w:numId="100">
    <w:abstractNumId w:val="1054359"/>
  </w:num>
  <w:num w:numId="101">
    <w:abstractNumId w:val="1054360"/>
  </w:num>
  <w:num w:numId="102">
    <w:abstractNumId w:val="10543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2025-09-01T05:39:31Z</dcterms:created>
  <dc:creator>Apache POI</dc:creator>
</cp:coreProperties>
</file>