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学习古诗</w:t>
      </w:r>
    </w:p>
    <w:p>
      <w:pPr>
        <w:pStyle w:val="Heading1"/>
      </w:pPr>
      <w:r>
        <w:t>教学重点</w:t>
      </w:r>
    </w:p>
    <w:p>
      <w:pPr>
        <w:pStyle w:val="ListBullet"/>
      </w:pPr>
      <w:r>
        <w:t>静夜思</w:t>
      </w:r>
    </w:p>
    <w:p>
      <w:pPr>
        <w:pStyle w:val="Heading1"/>
      </w:pPr>
      <w:r>
        <w:t>教学难点</w:t>
      </w:r>
    </w:p>
    <w:p>
      <w:r>
        <w:t>了解背景</w:t>
      </w:r>
    </w:p>
    <w:p>
      <w:pPr>
        <w:pStyle w:val="Heading1"/>
      </w:pPr>
      <w:r>
        <w:t>学生情况</w:t>
      </w:r>
    </w:p>
    <w:p>
      <w:r>
        <w:t>基础一般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