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962FF"/>
        </w:rPr>
        <w:t>Sustainability Report 2026</w:t>
      </w:r>
    </w:p>
    <w:p>
      <w:pPr>
        <w:jc w:val="right"/>
      </w:pPr>
      <w:r>
        <w:rPr>
          <w:b/>
          <w:color w:val="2962FF"/>
          <w:sz w:val="22"/>
        </w:rPr>
        <w:t xml:space="preserve">  SAFE  </w:t>
      </w:r>
    </w:p>
    <w:p>
      <w:r>
        <w:t>The company achieved carbon neutrality across all operations. Solar panels now provide 60% of headquarters electricity. Our supply chain emissions decreased 22% through partnerships with certified green vendors.</w:t>
      </w:r>
    </w:p>
    <w:p/>
    <w:p>
      <w:r>
        <w:rPr>
          <w:b/>
        </w:rPr>
        <w:t>This document is classified as: SAFE</w:t>
      </w:r>
    </w:p>
    <w:p>
      <w:r>
        <w:t>The company achieved carbon neutrality across all operations. Solar panels now provide 60% of headquarters electricity. Our supply chain emissions decreased 22% through partnerships with certified green vendors.</w:t>
      </w:r>
    </w:p>
    <w:p/>
    <w:p>
      <w:r>
        <w:rPr>
          <w:color w:val="969696"/>
          <w:sz w:val="18"/>
        </w:rPr>
        <w:t>AI Content Safety POC â€”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