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Customer Success Stories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Case Studies</w:t>
      </w:r>
    </w:p>
    <w:p>
      <w:pPr>
        <w:spacing w:after="300"/>
      </w:pPr>
      <w:r>
        <w:t xml:space="preserve">Acme Corporation Transformation:
Our comprehensive solution helped Acme reduce operational costs by 35% while improving customer satisfaction by 28%. Implementation took 4 months with zero downtime. Key metrics:
- Processing time: 8 hours → 45 minutes (89% reduction)
- Error rate: 5% → 0.3% (94% improvement)
- Customer retention: 88% → 96% (9% increase)
- ROI: 320% in first year</w:t>
      </w:r>
    </w:p>
    <w:p>
      <w:pPr>
        <w:spacing w:after="300"/>
      </w:pPr>
      <w:r>
        <w:t xml:space="preserve">Global Finance Inc. Digital Modernization:
By migrating to our cloud platform, GFI enhanced security while scaling to support 10M+ transactions daily. Results:
- System availability: 95% → 99.97%
- Average response time: 2s → 150ms
- Compliance certifications: 8 new standards achieved
- Cost savings: $12M annually</w:t>
      </w:r>
    </w:p>
    <w:p>
      <w:pPr>
        <w:spacing w:after="300"/>
      </w:pPr>
      <w:r>
        <w:t xml:space="preserve">Tech Startup Rapid Growth:
Supporting a high-growth startup from 50 to 500 employees with infrastructure that scales seamlessly.
- User base growth: 100K → 5M (5000% expansion)
- Infrastructure cost per user: $0.50 → $0.08 (84% improvement)
- Feature release cycle: 2 weeks → 3 days
- System uptime: 99.95% maintained throughout growth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2026-05-12T23:51:59.217Z</dcterms:created>
  <dcterms:modified xsi:type="dcterms:W3CDTF">2026-05-12T23:51:59.217Z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