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Q3 2025 Financial Report</w:t>
      </w:r>
    </w:p>
    <w:p>
      <w:pPr>
        <w:spacing w:after="400"/>
      </w:pPr>
      <w:r>
        <w:t xml:space="preserve">Generated: 2026-05-12</w:t>
      </w:r>
    </w:p>
    <w:p>
      <w:pPr>
        <w:spacing w:after="300"/>
      </w:pPr>
      <w:r>
        <w:t xml:space="preserve">Executive Summary</w:t>
      </w:r>
    </w:p>
    <w:p>
      <w:pPr>
        <w:spacing w:after="300"/>
      </w:pPr>
      <w:r>
        <w:t xml:space="preserve">Our company achieved strong financial performance in Q3 2025, with revenue growth of 15% year-over-year. Total revenue reached $2.3 billion, exceeding market expectations by 12%.</w:t>
      </w:r>
    </w:p>
    <w:p>
      <w:pPr>
        <w:spacing w:after="300"/>
      </w:pPr>
      <w:r>
        <w:t xml:space="preserve">Key Performance Indicators:
• Revenue: $2.3B (↑15% YoY)
• Profit Margin: 22% (↑3% improvement)
• Operating Expenses: $1.8B (↓8% optimization)
• Market Share: 18.5% (↑2.1% growth)
• Customer Satisfaction: 94% (↑4% increase)</w:t>
      </w:r>
    </w:p>
    <w:p>
      <w:pPr>
        <w:spacing w:after="300"/>
      </w:pPr>
      <w:r>
        <w:t xml:space="preserve">Strategic Initiatives:
1. Cloud Migration: Successfully migrated 85% of infrastructure
2. AI Integration: Deployed machine learning across 12 business units
3. Talent Development: Hired 250 engineers, retention rate 96%
4. Market Expansion: Entered 8 new markets in APAC region</w:t>
      </w:r>
    </w:p>
    <w:p>
      <w:pPr>
        <w:spacing w:after="300"/>
      </w:pPr>
      <w:r>
        <w:t xml:space="preserve">Outlook:
We project Q4 revenue of $2.5B with continued growth momentum. Investment in R&amp;D will increase to 18% of budget to support innovation initiatives.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2026-05-12T23:51:59.434Z</dcterms:created>
  <dcterms:modified xsi:type="dcterms:W3CDTF">2026-05-12T23:51:59.434Z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