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Company Culture and Values</w:t>
      </w:r>
    </w:p>
    <w:p>
      <w:pPr>
        <w:spacing w:after="400"/>
      </w:pPr>
      <w:r>
        <w:t xml:space="preserve">Generated: 2026-05-12</w:t>
      </w:r>
    </w:p>
    <w:p>
      <w:pPr>
        <w:spacing w:after="300"/>
      </w:pPr>
      <w:r>
        <w:t xml:space="preserve">Our Values</w:t>
      </w:r>
    </w:p>
    <w:p>
      <w:pPr>
        <w:spacing w:after="300"/>
      </w:pPr>
      <w:r>
        <w:t xml:space="preserve">At the heart of our organization are five core values that guide every decision and action we take.</w:t>
      </w:r>
    </w:p>
    <w:p>
      <w:pPr>
        <w:spacing w:after="300"/>
      </w:pPr>
      <w:r>
        <w:t xml:space="preserve">Innovation: We encourage creative thinking and calculated risk-taking. Our innovation lab processes 500+ ideas monthly, with 10% moving to prototyping stage.</w:t>
      </w:r>
    </w:p>
    <w:p>
      <w:pPr>
        <w:spacing w:after="300"/>
      </w:pPr>
      <w:r>
        <w:t xml:space="preserve">Integrity: We maintain the highest ethical standards in all business dealings. Our ethics committee reviews quarterly compliance across 15 departments.</w:t>
      </w:r>
    </w:p>
    <w:p>
      <w:pPr>
        <w:spacing w:after="300"/>
      </w:pPr>
      <w:r>
        <w:t xml:space="preserve">Collaboration: We believe in the power of diverse teams working together. Cross-functional projects show 40% better outcomes than siloed approaches.</w:t>
      </w:r>
    </w:p>
    <w:p>
      <w:pPr>
        <w:spacing w:after="300"/>
      </w:pPr>
      <w:r>
        <w:t xml:space="preserve">Excellence: We strive for exceptional quality in everything we do. Our defect rate is 0.02%, among the lowest in the industry.</w:t>
      </w:r>
    </w:p>
    <w:p>
      <w:pPr>
        <w:spacing w:after="300"/>
      </w:pPr>
      <w:r>
        <w:t xml:space="preserve">Sustainability: We're committed to environmental and social responsibility. Carbon neutral operations achieved in 2024, targeting carbon negative by 2027.</w:t>
      </w:r>
    </w:p>
    <w:p>
      <w:pPr>
        <w:spacing w:after="300"/>
      </w:pPr>
      <w:r>
        <w:t xml:space="preserve">People Development:
• Average training hours per employee: 48 hours/year
• Leadership development program: 85% internal promotions
• Diversity: 52% women, 48 different nationalities
• Employee satisfaction: 92% (industry average: 74%)</w:t>
      </w:r>
    </w:p>
    <w:p>
      <w:pPr>
        <w:spacing w:after="300"/>
      </w:pPr>
      <w:r>
        <w:t xml:space="preserve">Community Impact:
• $5M annual charitable donations
• 2,000 employee volunteer hours per quarter
• STEM education programs supporting 500+ students
• Environmental conservation projects in 12 countries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2026-05-12T23:51:59.729Z</dcterms:created>
  <dcterms:modified xsi:type="dcterms:W3CDTF">2026-05-12T23:51:59.729Z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