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sz w:val="36"/>
        </w:rPr>
        <w:t>Design specification - EMP040</w:t>
      </w:r>
    </w:p>
    <w:p>
      <w:pPr>
        <w:pStyle w:val="Heading2"/>
      </w:pPr>
      <w:r>
        <w:t>Document Metadata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Author</w:t>
            </w:r>
          </w:p>
        </w:tc>
        <w:tc>
          <w:tcPr>
            <w:tcW w:type="dxa" w:w="4320"/>
          </w:tcPr>
          <w:p>
            <w:r>
              <w:t>Skyler Chen</w:t>
            </w:r>
          </w:p>
        </w:tc>
      </w:tr>
      <w:tr>
        <w:tc>
          <w:tcPr>
            <w:tcW w:type="dxa" w:w="4320"/>
          </w:tcPr>
          <w:p>
            <w:r>
              <w:t>Role / Department</w:t>
            </w:r>
          </w:p>
        </w:tc>
        <w:tc>
          <w:tcPr>
            <w:tcW w:type="dxa" w:w="4320"/>
          </w:tcPr>
          <w:p>
            <w:r>
              <w:t>Engineer | Engineering</w:t>
            </w:r>
          </w:p>
        </w:tc>
      </w:tr>
      <w:tr>
        <w:tc>
          <w:tcPr>
            <w:tcW w:type="dxa" w:w="4320"/>
          </w:tcPr>
          <w:p>
            <w:r>
              <w:t>Location</w:t>
            </w:r>
          </w:p>
        </w:tc>
        <w:tc>
          <w:tcPr>
            <w:tcW w:type="dxa" w:w="4320"/>
          </w:tcPr>
          <w:p>
            <w:r>
              <w:t>Fremont</w:t>
            </w:r>
          </w:p>
        </w:tc>
      </w:tr>
      <w:tr>
        <w:tc>
          <w:tcPr>
            <w:tcW w:type="dxa" w:w="4320"/>
          </w:tcPr>
          <w:p>
            <w:r>
              <w:t>Last Modified</w:t>
            </w:r>
          </w:p>
        </w:tc>
        <w:tc>
          <w:tcPr>
            <w:tcW w:type="dxa" w:w="4320"/>
          </w:tcPr>
          <w:p>
            <w:r>
              <w:t>2025-02-13</w:t>
            </w:r>
          </w:p>
        </w:tc>
      </w:tr>
    </w:tbl>
    <w:p/>
    <w:p>
      <w:pPr>
        <w:pStyle w:val="Heading2"/>
      </w:pPr>
      <w:r>
        <w:t>Specification</w:t>
      </w:r>
    </w:p>
    <w:p>
      <w:r>
        <w:t>Design Specification: Microservices Event Bus Architecture</w:t>
      </w:r>
    </w:p>
    <w:p>
      <w:r>
        <w:t>Version: 1.5</w:t>
      </w:r>
    </w:p>
    <w:p>
      <w:r>
        <w:t>This specification describes the event-driven architecture for the microservices platform. Services communicate via Azure Service Bus topics. Dead-letter queues are monitored with alerting thresholds. Schema registry enforces backward-compatible contract evolution.</w:t>
      </w:r>
    </w:p>
    <w:p>
      <w:pPr>
        <w:pStyle w:val="Heading2"/>
      </w:pPr>
      <w:r>
        <w:t>Author Competencies</w:t>
      </w:r>
    </w:p>
    <w:p>
      <w:r>
        <w:t>Azure AI, Synapse, Kusto, SQL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