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EMP048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Jamie Brown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Engineer | Engineering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Fremont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2025-02-21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Microservices Event Bus Architecture</w:t>
      </w:r>
    </w:p>
    <w:p>
      <w:r>
        <w:t>Version: 1.5</w:t>
      </w:r>
    </w:p>
    <w:p>
      <w:r>
        <w:t>This specification describes the event-driven architecture for the microservices platform. Services communicate via Azure Service Bus topics. Dead-letter queues are monitored with alerting thresholds. Schema registry enforces backward-compatible contract evolution.</w:t>
      </w:r>
    </w:p>
    <w:p>
      <w:pPr>
        <w:pStyle w:val="Heading2"/>
      </w:pPr>
      <w:r>
        <w:t>Author Competencies</w:t>
      </w:r>
    </w:p>
    <w:p>
      <w:r>
        <w:t>Power BI, MLOps, Synapse,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