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6"/>
        </w:rPr>
        <w:t>Design specification - EMP060</w:t>
      </w:r>
    </w:p>
    <w:p>
      <w:pPr>
        <w:pStyle w:val="Heading2"/>
      </w:pPr>
      <w:r>
        <w:t>Document Metadata</w:t>
      </w:r>
    </w:p>
    <w:tbl>
      <w:tblPr>
        <w:tblStyle w:val="TableGrid"/>
        <w:tblW w:type="auto" w:w="0"/>
        <w:tblLook w:firstColumn="1" w:firstRow="1" w:lastColumn="0" w:lastRow="0" w:noHBand="0" w:noVBand="1" w:val="04A0"/>
      </w:tblPr>
      <w:tblGrid>
        <w:gridCol w:w="4320"/>
        <w:gridCol w:w="4320"/>
      </w:tblGrid>
      <w:tr>
        <w:tc>
          <w:tcPr>
            <w:tcW w:type="dxa" w:w="4320"/>
          </w:tcPr>
          <w:p>
            <w:r>
              <w:t>Author</w:t>
            </w:r>
          </w:p>
        </w:tc>
        <w:tc>
          <w:tcPr>
            <w:tcW w:type="dxa" w:w="4320"/>
          </w:tcPr>
          <w:p>
            <w:r>
              <w:t>Skyler Chen</w:t>
            </w:r>
          </w:p>
        </w:tc>
      </w:tr>
      <w:tr>
        <w:tc>
          <w:tcPr>
            <w:tcW w:type="dxa" w:w="4320"/>
          </w:tcPr>
          <w:p>
            <w:r>
              <w:t>Role / Department</w:t>
            </w:r>
          </w:p>
        </w:tc>
        <w:tc>
          <w:tcPr>
            <w:tcW w:type="dxa" w:w="4320"/>
          </w:tcPr>
          <w:p>
            <w:r>
              <w:t>Analyst | Finance</w:t>
            </w:r>
          </w:p>
        </w:tc>
      </w:tr>
      <w:tr>
        <w:tc>
          <w:tcPr>
            <w:tcW w:type="dxa" w:w="4320"/>
          </w:tcPr>
          <w:p>
            <w:r>
              <w:t>Location</w:t>
            </w:r>
          </w:p>
        </w:tc>
        <w:tc>
          <w:tcPr>
            <w:tcW w:type="dxa" w:w="4320"/>
          </w:tcPr>
          <w:p>
            <w:r>
              <w:t>Hsinchu</w:t>
            </w:r>
          </w:p>
        </w:tc>
      </w:tr>
      <w:tr>
        <w:tc>
          <w:tcPr>
            <w:tcW w:type="dxa" w:w="4320"/>
          </w:tcPr>
          <w:p>
            <w:r>
              <w:t>Last Modified</w:t>
            </w:r>
          </w:p>
        </w:tc>
        <w:tc>
          <w:tcPr>
            <w:tcW w:type="dxa" w:w="4320"/>
          </w:tcPr>
          <w:p>
            <w:r>
              <w:t>2025-03-05</w:t>
            </w:r>
          </w:p>
        </w:tc>
      </w:tr>
    </w:tbl>
    <w:p/>
    <w:p>
      <w:pPr>
        <w:pStyle w:val="Heading2"/>
      </w:pPr>
      <w:r>
        <w:t>Specification</w:t>
      </w:r>
    </w:p>
    <w:p>
      <w:r>
        <w:t>Design Specification: Automated P&amp;L Reporting Module</w:t>
      </w:r>
    </w:p>
    <w:p>
      <w:r>
        <w:t>Version: 3.0</w:t>
      </w:r>
    </w:p>
    <w:p>
      <w:r>
        <w:t>This specification details the design of the automated profit and loss reporting pipeline. Source data is extracted from the ERP system nightly. Transformations are applied in the Fabric dataflow and results published to the Power BI semantic model by 06:00 daily.</w:t>
      </w:r>
    </w:p>
    <w:p>
      <w:pPr>
        <w:pStyle w:val="Heading2"/>
      </w:pPr>
      <w:r>
        <w:t>Author Competencies</w:t>
      </w:r>
    </w:p>
    <w:p>
      <w:r>
        <w:t>MLOps, Ontology, Fabric, Synapse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