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ptos Display" w:hAnsi="Aptos Display"/>
          <w:b/>
          <w:color w:val="0078D4"/>
          <w:sz w:val="22"/>
        </w:rPr>
        <w:t>INTERACTIVE CHIP LAB</w:t>
      </w:r>
    </w:p>
    <w:p>
      <w:pPr>
        <w:spacing w:after="40"/>
      </w:pPr>
      <w:r>
        <w:rPr>
          <w:rFonts w:ascii="Aptos Display" w:hAnsi="Aptos Display"/>
          <w:b/>
          <w:color w:val="17365D"/>
          <w:sz w:val="50"/>
        </w:rPr>
        <w:t>Interactive Chip Simulation and Education Website</w:t>
      </w:r>
    </w:p>
    <w:p>
      <w:pPr>
        <w:spacing w:after="240"/>
      </w:pPr>
      <w:r>
        <w:rPr>
          <w:color w:val="505050"/>
          <w:sz w:val="24"/>
        </w:rPr>
        <w:t>Technical Requirements and Architecture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Document owner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&amp; Engineering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2026-08-25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 for review</w:t>
            </w:r>
          </w:p>
        </w:tc>
      </w:tr>
    </w:tbl>
    <w:p/>
    <w:p>
      <w:pPr>
        <w:pStyle w:val="Heading1"/>
      </w:pPr>
      <w:r>
        <w:t>1. Purpose, Context, and Constraints</w:t>
      </w:r>
    </w:p>
    <w:p>
      <w:r>
        <w:t>The solution is a responsive browser application for visual digital-circuit and simplified processor education. Angular, TypeScript, and Ionic deliver a shared web/PWA interface. Python FastAPI services manage identity context, projects, learning content, submissions, sharing, and administration. A deterministic simulation engine runs in a Web Worker for low-latency interaction; the server validates saved netlists and executes authoritative assessment tests where required.</w:t>
      </w:r>
    </w:p>
    <w:p>
      <w:pPr>
        <w:pStyle w:val="Heading1"/>
      </w:pPr>
      <w:r>
        <w:t>2. Approved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Tier / capability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Rationale / constraints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Angular 20+, TypeScript 5.x, Ionic 8+, RxJS, Angular CDK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Responsive web/PWA, accessible components, shared tablet/mobile patterns; use currently supported versions at implementation start.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Canvas and waveform UI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HTML Canvas or SVG rendering behind an Angular adapter; Web Worker communication via typed messages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Benchmark both rendering modes; retain semantic DOM controls outside the canvas.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APIs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Python 3.12+, FastAPI, Pydantic v2, SQLAlchemy 2, Alembic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Typed OpenAPI contracts, validation, async I/O, migrations.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Simulation core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TypeScript engine in Web Worker for interactive execution; Python reference validator/test runner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 versioned netlist schema and shared golden vectors prevent semantic drift.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Database for PostgreSQL Flexible Server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Relational projects, versions, courses, assignments, roles, submissions, and audit metadata.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Cache / jobs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Cache for Redis and Azure Service Bus when scale requires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Rate limits, short-lived session state, background assessment and exports; optional for initial pilot.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Object storage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Blob Storage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Exports, thumbnails, lesson assets, and large immutable artifacts.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Identity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Microsoft Entra External ID / Entra ID using OIDC and OAuth 2.0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Support organization users and invited learners; anonymous sandbox has no durable private data.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Hosting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Static Web Apps or App Service for UI; Azure Container Apps for APIs/workers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Confirm choice through networking, cost, and scale review.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OpenTelemetry, Application Insights, Log Analytics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End-to-end correlation without logging circuit contents or tokens by default.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CI/CD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GitHub Actions; Bicep for infrastructure as code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Protected environments, approvals, signed artifacts, repeatable deployments.</w:t>
            </w:r>
          </w:p>
        </w:tc>
      </w:tr>
    </w:tbl>
    <w:p>
      <w:pPr>
        <w:pStyle w:val="Heading1"/>
      </w:pPr>
      <w:r>
        <w:t>3. Architecture and Components</w:t>
      </w:r>
    </w:p>
    <w:p>
      <w:r>
        <w:t>Logical flow: Browser / Ionic PWA -&gt; Azure Front Door + WAF -&gt; UI hosting -&gt; APIM -&gt; FastAPI services -&gt; PostgreSQL / Blob Storage. The browser simulation worker communicates only with the Angular application. Background assessment workers consume queued jobs and write results through application services.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Interfaces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Runtime / hosting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Angular/Ionic application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Workspace, editor shell, lessons, projects, waveform UI, accessibility, offline shell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HTTPS APIs; typed worker messages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Static Web Apps or App Service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Web team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Circuit renderer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Selection, placement, wiring, zoom/pan, visual state; no domain persistence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Angular state store; rendering adapter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Browser main thread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Web team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Simulation Web Worker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Compile netlist, event queue, clocks, probes, breakpoints, deterministic state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Versioned postMessage contract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Browser worker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Simulation team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API gateway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JWT validation, routing, quotas, headers, CORS, observability policies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HTTPS REST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API Management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 team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Project API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Projects, revisions, components, sharing, import/export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/ JSON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Python FastAPI / Container Apps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API team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Learning API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Courses, lessons, progress, assignments, submissions, automated checks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/ JSON; job queue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Python FastAPI + worker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API team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 API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Roles, content workflow, moderation, audit queries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/ JSON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Python FastAPI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 team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 stores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Transactional metadata, immutable assets, optional cache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SQL, Blob, Redis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Azure services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Data/platform</w:t>
            </w:r>
          </w:p>
        </w:tc>
      </w:tr>
    </w:tbl>
    <w:p>
      <w:pPr>
        <w:pStyle w:val="Heading1"/>
      </w:pPr>
      <w:r>
        <w:t>4. Domain and Simulation Model</w:t>
      </w:r>
    </w:p>
    <w:p>
      <w:pPr>
        <w:numPr>
          <w:ilvl w:val="0"/>
          <w:numId w:val="2"/>
        </w:numPr>
      </w:pPr>
      <w:r>
        <w:t>Project -&gt; ordered Revisions -&gt; graph of ComponentInstance, Port, Net, Probe, Clock, and SubcircuitReference.</w:t>
      </w:r>
    </w:p>
    <w:p>
      <w:pPr>
        <w:numPr>
          <w:ilvl w:val="0"/>
          <w:numId w:val="2"/>
        </w:numPr>
      </w:pPr>
      <w:r>
        <w:t>Signals use width-aware bit vectors with 0, 1, X (unknown), and Z (high impedance). Multi-driver resolution and combinational-loop detection are explicit.</w:t>
      </w:r>
    </w:p>
    <w:p>
      <w:pPr>
        <w:numPr>
          <w:ilvl w:val="0"/>
          <w:numId w:val="2"/>
        </w:numPr>
      </w:pPr>
      <w:r>
        <w:t>Compilation validates IDs, port compatibility, widths, connectivity, cycles, and component parameters, then produces an indexed execution graph.</w:t>
      </w:r>
    </w:p>
    <w:p>
      <w:pPr>
        <w:numPr>
          <w:ilvl w:val="0"/>
          <w:numId w:val="2"/>
        </w:numPr>
      </w:pPr>
      <w:r>
        <w:t>The event queue is ordered by logical timestamp and stable sequence number. Reset and seeded random sources produce reproducible results.</w:t>
      </w:r>
    </w:p>
    <w:p>
      <w:pPr>
        <w:numPr>
          <w:ilvl w:val="0"/>
          <w:numId w:val="2"/>
        </w:numPr>
      </w:pPr>
      <w:r>
        <w:t>Waveform capture stores transitions rather than every tick and enforces sample/time/memory limits.</w:t>
      </w:r>
    </w:p>
    <w:p>
      <w:pPr>
        <w:numPr>
          <w:ilvl w:val="0"/>
          <w:numId w:val="2"/>
        </w:numPr>
      </w:pPr>
      <w:r>
        <w:t>Saved netlists include schemaVersion, engineVersion, and content hash. Migrations are explicit and reversible where possible.</w:t>
      </w:r>
    </w:p>
    <w:p>
      <w:pPr>
        <w:pStyle w:val="Heading1"/>
      </w:pPr>
      <w:r>
        <w:t>5. API and Integration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API / route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Method / protocol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Authorization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Key behavior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/v1/projects, /v1/projects/{id}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JSON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Owner, editor, viewer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Cursor pagination; ETag/If-Match optimistic concurrency; idempotent create.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/v1/projects/{id}/revisions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 / autosave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POST, GET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Owner/editor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Content hash deduplication; immutable revision; conflict response includes latest version.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/v1/projects/{id}/share-links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POST, DELETE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Scoped, expiring, revocable token; never expose owner-private metadata.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/v1/catalog/components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Public or authenticated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Versioned catalog; cacheable ETag; capability flags.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/v1/lessons, /v1/progress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JSON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Learner / educator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 content hidden; progress writes idempotent.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/v1/assignments/{id}/submissions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UI / worker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POST, GET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Learner / educator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Locks referenced revision; enqueues authoritative tests; status polling or SSE.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/v1/admin/*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 UI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 JSON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Admin/content author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Step-up auth for sensitive actions; full audit.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/health/live, /health/ready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HTTPS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Restricted where appropriate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secrets or dependency details in public response.</w:t>
            </w:r>
          </w:p>
        </w:tc>
      </w:tr>
    </w:tbl>
    <w:p>
      <w:r>
        <w:t>Contract rules: JSON uses camelCase externally; UTC ISO 8601 timestamps; RFC 9457 problem details; correlation IDs propagated end to end; OpenAPI is generated and version controlled; breaking changes require a new major route. Default request body limit is 2 MB and project import limit is 10 MB, subject to load testing.</w:t>
      </w:r>
    </w:p>
    <w:p>
      <w:pPr>
        <w:pStyle w:val="Heading1"/>
      </w:pPr>
      <w:r>
        <w:t>6. Data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Store / entity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Model / source of truth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Retention / recovery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PostgreSQL: users, organizations, memberships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Profiles and RBAC references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Relational / application DB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Confidential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Account life + policy; PITR enabled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PostgreSQL: projects, revisions, shares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Project metadata and immutable version graph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Relational + JSONB netlist / application DB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content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Active life; deleted revisions 90 days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PostgreSQL: lessons, progress, assignments, submissions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Learning workflow and evaluation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Relational / application DB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Confidential; may be education record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Policy-approved; export/delete supported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Blob Storage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Lesson assets, thumbnails, exports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Object / application service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content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Lifecycle rules; soft delete/versioning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Audit log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Security and administrative events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Append-oriented telemetry store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Confidential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365 days default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Redis (optional)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Cache, distributed rate limit, short-lived jobs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Ephemeral / never source of truth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Internal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TTL only</w:t>
            </w:r>
          </w:p>
        </w:tc>
      </w:tr>
    </w:tbl>
    <w:p>
      <w:pPr>
        <w:pStyle w:val="Heading1"/>
      </w:pPr>
      <w:r>
        <w:t>7. Security, Privacy, and Threat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Validation evidence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Identity and access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OIDC Authorization Code + PKCE; API validates issuer, audience, signature, expiry, and scopes; RBAC roles Learner, Educator, Content Author, Admin.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Automated auth tests and access review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Tenant/object authorization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Every resource query is constrained by subject and organization; share tokens are hashed, scoped, expiring, and revocable.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IDOR test suite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Secrets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identities for Azure resources; Key Vault for remaining secrets; no credentials in browser bundles, logs, source, or pipelines.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Secret scan and configuration review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Application security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Schema validation, output encoding, CSP, dependency pinning/scanning, CSRF protection where cookie auth is used, safe import parsing.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SAST, DAST, dependency scan, penetration test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Abuse and availability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Per-user/IP quotas, project complexity limits, worker time budgets, queue backpressure, WAF rules.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Load and abuse tests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Privacy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Collect minimum profile data; consent and age/education obligations assessed before pilot; export/delete workflows; telemetry pseudonymized.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Privacy review and data-flow inventory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Supply chain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Locked dependencies, SBOM, signed build artifacts, protected branches/environments, provenance retained.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Pipeline evidence</w:t>
            </w:r>
          </w:p>
        </w:tc>
      </w:tr>
    </w:tbl>
    <w:p>
      <w:pPr>
        <w:pStyle w:val="Heading1"/>
      </w:pPr>
      <w:r>
        <w:t>8. Non-Functional Technical Targets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Measurement / gate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Availability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99.9% monthly API availability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Synthetic tests and SLO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API performance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p95 read &lt; 500 ms; write &lt; 750 ms at agreed pilot load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k6/Locust test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Editor performance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p95 editing action &lt; 100 ms; 60 FPS target during ordinary manipulation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Browser benchmarks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Simulation scale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1,000 components / 10,000 nets baseline; configurable hard limits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Golden benchmark projects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Resilience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RPO &lt;= 15 min; RTO &lt;= 4 h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Restore exercise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Accessibility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WCAG 2.2 AA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axe + keyboard + screen-reader audit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Traces, metrics, logs, alerts; correlation coverage &gt;= 95% of API requests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Operational readiness review</w:t>
            </w:r>
          </w:p>
        </w:tc>
      </w:tr>
    </w:tbl>
    <w:p>
      <w:pPr>
        <w:pStyle w:val="Heading1"/>
      </w:pPr>
      <w:r>
        <w:t>9. Environments and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472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Deployment gate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Dev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Feature integration and automated tests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Synthetic only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 checks</w:t>
            </w:r>
          </w:p>
        </w:tc>
      </w:tr>
      <w:tr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Test / UAT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End-to-end, accessibility, load, and user acceptance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Synthetic or approved masked data</w:t>
            </w:r>
          </w:p>
        </w:tc>
        <w:tc>
          <w:tcPr>
            <w:tcW w:type="dxa" w:w="2472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QA + Product</w:t>
            </w:r>
          </w:p>
        </w:tc>
      </w:tr>
      <w:tr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Production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Live service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Approved production classifications</w:t>
            </w:r>
          </w:p>
        </w:tc>
        <w:tc>
          <w:tcPr>
            <w:tcW w:type="dxa" w:w="24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Release approver + change control</w:t>
            </w:r>
          </w:p>
        </w:tc>
      </w:tr>
    </w:tbl>
    <w:p>
      <w:r>
        <w:t>Configuration includes API base URL, identity authority/client ID, feature flags, complexity limits, autosave interval, share-link maximum lifetime, telemetry sampling, and component-catalog version. Secret values are supplied through managed configuration and Key Vault, never this document.</w:t>
      </w:r>
    </w:p>
    <w:p>
      <w:pPr>
        <w:pStyle w:val="Heading1"/>
      </w:pPr>
      <w:r>
        <w:t>10. Build, Test, Deploy, and Operate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Required checks / artifacts</w:t>
            </w:r>
          </w:p>
        </w:tc>
        <w:tc>
          <w:tcPr>
            <w:tcW w:type="dxa" w:w="3297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Approval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Angular strict compile, ESLint, Python lint/type check, unit tests, OpenAPI diff, SBOM, secret/dependency/SAST scans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Automated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Test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Component tests, worker golden vectors, API integration/contract tests, E2E browser tests, accessibility, performance, security, migration test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QA / Security as applicable</w:t>
            </w:r>
          </w:p>
        </w:tc>
      </w:tr>
      <w:tr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Deploy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Bicep what-if, immutable image, database migration plan, backup verification, canary or staged rollout, smoke tests, rollback</w:t>
            </w:r>
          </w:p>
        </w:tc>
        <w:tc>
          <w:tcPr>
            <w:tcW w:type="dxa" w:w="3297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Release approver</w:t>
            </w:r>
          </w:p>
        </w:tc>
      </w:tr>
      <w:tr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Operate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Dashboards, alert routing, runbooks, on-call ownership, cost budgets, incident and recovery exercises</w:t>
            </w:r>
          </w:p>
        </w:tc>
        <w:tc>
          <w:tcPr>
            <w:tcW w:type="dxa" w:w="3297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Operations owner</w:t>
            </w:r>
          </w:p>
        </w:tc>
      </w:tr>
    </w:tbl>
    <w:p>
      <w:pPr>
        <w:pStyle w:val="Heading1"/>
      </w:pPr>
      <w:r>
        <w:t>11. Key Risks and Architecture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Mitigation / decision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ADR-001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Decision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 interactive simulation client-side or server-side.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Client Web Worker is primary; Python validator is authoritative for graded submissions.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Proposed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TR-002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Canvas may be inaccessible to keyboard and screen-reader users.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Keep all commands in semantic DOM; provide keyboard navigation, properties panel, netlist outline, and text equivalents.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TR-003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Malicious or accidental circuit complexity may exhaust CPU/memory.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Complexity quotas, compile checks, time budgets, worker termination, API upload limits.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TR-004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TypeScript and Python engines may diverge.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Versioned schema, shared golden vectors, differential tests, one published semantic specification.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TR-005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Constraint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Final hosting/database choices depend on budget, tenant, and networking standards.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Architecture review before production; preserve portable service boundaries.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</w:tbl>
    <w:p>
      <w:pPr>
        <w:pStyle w:val="Heading1"/>
      </w:pPr>
      <w:r>
        <w:t>12. Technical Approval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Comments</w:t>
            </w:r>
          </w:p>
        </w:tc>
        <w:tc>
          <w:tcPr>
            <w:tcW w:type="dxa" w:w="1978"/>
            <w:vAlign w:val="center"/>
            <w:shd w:fill="0078D4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Solution Architect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Engineering Lead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Security / Privacy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Operations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978"/>
            <w:vAlign w:val="center"/>
            <w:shd w:fill="F7FAFC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</w:tbl>
    <w:sectPr>
      <w:footerReference w:type="default" r:id="rId8"/>
      <w:pgSz w:w="11906" w:h="16838" w:orient="portrait"/>
      <w:pgMar w:top="936" w:right="1008" w:bottom="93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Interactive Chip Lab  |  Product specification  |  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multiLevelType w:val="singleLevel"/>
    <w:lvl w:ilvl="0">
      <w:start w:val="1"/>
      <w:numFmt w:val="bullet"/>
      <w:lvlText w:val="•"/>
      <w:suff w:val="tab"/>
      <w:pPr>
        <w:tabs>
          <w:tab w:val="num" w:pos="420"/>
        </w:tabs>
        <w:ind w:left="420" w:hanging="240"/>
      </w:pPr>
    </w:lvl>
  </w:abstract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Normal">
    <w:name w:val="Normal"/>
    <w:rPr>
      <w:rFonts w:ascii="Aptos" w:hAnsi="Aptos"/>
      <w:sz w:val="19"/>
    </w:rPr>
  </w:style>
  <w:style w:type="paragraph" w:customStyle="1" w:styleId="Heading1">
    <w:name w:val="heading 1"/>
    <w:rPr>
      <w:rFonts w:ascii="Aptos Display" w:hAnsi="Aptos Display"/>
      <w:b/>
      <w:color w:val="0078D4"/>
      <w:sz w:val="34"/>
    </w:rPr>
  </w:style>
  <w:style w:type="paragraph" w:customStyle="1" w:styleId="Heading2">
    <w:name w:val="heading 2"/>
    <w:rPr>
      <w:rFonts w:ascii="Aptos Display" w:hAnsi="Aptos Display"/>
      <w:b/>
      <w:color w:val="17365D"/>
      <w:sz w:val="26"/>
    </w:rPr>
  </w:style>
  <w:style w:type="paragraph" w:customStyle="1" w:styleId="Heading3">
    <w:name w:val="heading 3"/>
    <w:rPr>
      <w:rFonts w:ascii="Aptos" w:hAnsi="Aptos"/>
      <w:b/>
      <w:color w:val="17365D"/>
      <w:sz w:val="22"/>
    </w:rPr>
  </w:style>
  <w:style w:type="paragraph" w:customStyle="1" w:styleId="ListBullet">
    <w:name w:val="List Bullet"/>
  </w:style>
  <w:style w:type="paragraph" w:customStyle="1" w:styleId="ListBullet2">
    <w:name w:val="List Bullet 2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Un-named</cp:lastModifiedBy>
  <cp:revision>1</cp:revision>
  <dcterms:created xsi:type="dcterms:W3CDTF">2026-08-24T15:44:50.583Z</dcterms:created>
  <dcterms:modified xsi:type="dcterms:W3CDTF">2026-08-24T15:44:50.583Z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