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7B8"/>
          <w:sz w:val="40"/>
          <w:szCs w:val="40"/>
        </w:rPr>
        <w:t xml:space="preserve">Safety Incident Reporting</w:t>
      </w:r>
    </w:p>
    <w:p>
      <w:pPr>
        <w:spacing w:after="220"/>
        <w:jc w:val="center"/>
      </w:pPr>
      <w:r>
        <w:rPr>
          <w:b/>
          <w:bCs/>
          <w:color w:val="1F2937"/>
          <w:sz w:val="30"/>
          <w:szCs w:val="30"/>
        </w:rPr>
        <w:t xml:space="preserve">Technical Requirements and Architecture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Document 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Version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Michael Yaacoub, Sr Solution Engineer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2026-08-24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w:t>
            </w:r>
          </w:p>
        </w:tc>
      </w:tr>
    </w:tbl>
    <w:p>
      <w:pPr>
        <w:spacing w:after="120"/>
      </w:pPr>
      <w:r>
        <w:t xml:space="preserve"/>
      </w:r>
    </w:p>
    <w:p>
      <w:pPr>
        <w:spacing w:after="120"/>
      </w:pPr>
      <w:r>
        <w:t xml:space="preserve">Use this document to confirm the approved stack, component boundaries, integrations, quality targets, and delivery requirements before code generation.</w:t>
      </w:r>
    </w:p>
    <w:p>
      <w:pPr>
        <w:pStyle w:val="Heading1"/>
        <w:spacing w:after="100" w:before="280"/>
      </w:pPr>
      <w:r>
        <w:t xml:space="preserve">1. Purpose, Context, and Constraints</w:t>
      </w:r>
    </w:p>
    <w:p>
      <w:pPr>
        <w:spacing w:after="120"/>
      </w:pPr>
      <w:r>
        <w:rPr>
          <w:i/>
          <w:iCs/>
          <w:color w:val="5B6470"/>
        </w:rPr>
        <w:t xml:space="preserve">A mobile-first incident reporting application available to every employee and contractor on site, built as an Ionic and Angular client over a Python FastAPI service layer on Azure App Service. This solution is the system of record for incidents, corrective actions and investigation records; the employee directory and site hierarchy are read from upstream systems. The dominant constraints are irreversible anonymity, jurisdiction-specific statutory clocks, and the requirement that reporting works with no connectivity anywhere on site. An agent workflow in Microsoft Foundry with the Microsoft Agent Framework drafts a classification rationale and suggests similar prior incidents for the safety lead to review, with every model call routed through Azure API Management.</w:t>
      </w:r>
    </w:p>
    <w:p>
      <w:pPr>
        <w:pStyle w:val="Heading1"/>
        <w:spacing w:after="100" w:before="280"/>
      </w:pPr>
      <w:r>
        <w:t xml:space="preserve">2. Default Technology Stack</w:t>
      </w:r>
    </w:p>
    <w:p>
      <w:pPr>
        <w:spacing w:after="120"/>
      </w:pPr>
      <w:r>
        <w:t xml:space="preserve">Confirm each default or replace it with an approved alternative.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Tier / capability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Default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Project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Rationale / constraints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Front End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Angular 18, TypeScript, Ionic 8</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codebase across personal phones, kiosk devices and the safety lead's browser view, with camera and speech-to-text access and a service worker backing offline submission.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Use default: Python 3.12, FastAPI</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typed request models generate the OpenAPI contract and make the anonymity rules explicit at the boundary.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 (SQL Server) or Azure Cosmos DB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SQL Database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Incidents, actions, verifications and sign-offs are relational, and close-out must commit several tables in one transaction; the anonymity rule is simpler to prove against a fixed schema.</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Foundry project with a classification-rationale agent and a similar-incident retrieval agent; workflow pauses for safety lead review before any output is shown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Classification is a regulated decision, so the model explains and suggests but never decides.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AI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API Management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Single APIM route for all model traffic, managed-identity authentication, per-user quotas, content safety and correlation headers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One enforcement and observability point, and one place to prove that anonymised prompts are enforced.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OTP where approved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Entra ID for all users; the anonymous path authenticates the device and discards the user association before the record is written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Authentication prevents abuse while the discard step makes anonymity genuine rather than cosmetic.</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Optional storage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Storage Account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Required: Blob storage for incident photographs and signature images, immutable once the investigation closes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Evidence must be retained per jurisdiction and provably unaltered.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Hosting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Azure App Service, Premium v3, active-active across two regions behind Front Door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Incidents do not follow shift patterns, so the availability target is continuous.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CI/CD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 or Azure Pipelines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GitHub Actions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standard with build provenance and environment protection in place.</w:t>
            </w:r>
          </w:p>
        </w:tc>
      </w:tr>
    </w:tbl>
    <w:p>
      <w:pPr>
        <w:pStyle w:val="Heading1"/>
        <w:spacing w:after="100" w:before="280"/>
      </w:pPr>
      <w:r>
        <w:t xml:space="preserve">3. Architecture and Components</w:t>
      </w:r>
    </w:p>
    <w:p>
      <w:pPr>
        <w:spacing w:after="120"/>
      </w:pPr>
      <w:r>
        <w:rPr>
          <w:b/>
          <w:bCs/>
          <w:color w:val="0067B8"/>
        </w:rPr>
        <w:t xml:space="preserve">Context diagram: reporters on phones or a site kiosk reach the Ionic client, which submits to the FastAPI incident service on App Service; the service classifies against the severity matrix, starts the statutory clock, dispatches notifications through Graph and Teams, reads site and directory data from upstream systems, stores incidents and actions in Azure SQL and evidence in Blob storage, and routes agent traffic through APIM to Foundry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Component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Responsibility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Interfaces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Runtime / hosting</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Reporter mobile client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Renders the capture form, triage view, action list and close-out, and owns offline submission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reporter interaction. Outbound: incident API, camera, speech-to-text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Ionic 8 and Angular 18 on iOS and Android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Safety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Incident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Owns incident state, the anonymity rule, corrective actions, verification and close-out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mobile client, safety lead web view. Outbound: Azure SQL, Blob storage, notification dispatcher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FastAPI on Azure App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Safety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Classification engine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Applies the severity matrix, selects the escalation path and starts the jurisdiction's statutory clock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incident service. Outbound: configuration store, statutory clock table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Safety Systems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Notification dispatcher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Delivers alerts by push, email and Teams with fallback and full delivery logging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classification engine. Outbound: Microsoft Graph, Teams, push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Python 3.12 on Azure Functions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Investigation assistant workflow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Drafts a classification rationale and retrieves similar prior incidents for the safety lead to review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Inbound: incident service. Outbound: APIM to Foundry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Foundry with the Microsoft Agent Framework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AI Engineering team</w:t>
            </w:r>
          </w:p>
        </w:tc>
      </w:tr>
    </w:tbl>
    <w:p>
      <w:pPr>
        <w:pStyle w:val="Heading1"/>
        <w:spacing w:after="100" w:before="280"/>
      </w:pPr>
      <w:r>
        <w:t xml:space="preserve">4. API and Integration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API / system</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Consumer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Protocol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Authentication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SLA / timeout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Failure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Graph, mail and Teams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Notification dispatcher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5 second timeout, 99.9 percent 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Fall back to the next channel in the escalation order, log every attempt, and page the on-call safety lead if no channel succeeds within 5 minutes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Employee directory and site hierarchy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Incident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2 second timeout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Three retries with backoff; on exhaustion accept the report with a free-text location rather than block reporting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Statutory export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Incident service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File over SFTP with a signed manifest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Certificate based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Daily batch window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Retry the batch for 24 hours, alert the safety manager, and never alter the closed record to satisfy an export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Foundry model deployments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Investigation assistant through APIM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REST over HTTPS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 identity at the gateway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10 second timeout, per-user quota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Fail closed: the safety lead classifies from the matrix with no drafted rationale</w:t>
            </w:r>
          </w:p>
        </w:tc>
      </w:tr>
    </w:tbl>
    <w:p>
      <w:pPr>
        <w:pStyle w:val="Heading1"/>
        <w:spacing w:after="100" w:before="280"/>
      </w:pPr>
      <w:r>
        <w:t xml:space="preserve">5. Data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Store / entity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Model</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Source of truth</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Retention / recovery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Incident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Report, classification, statutory clock state and investigation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may contain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 jurisdiction, minimum 7 years; RPO 5 minutes, RTO 2 hours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Corrective action and verification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Owner, due date, control tag, evidence and verifier</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internal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 jurisdiction, minimum 7 years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Closed investigation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Immutable close-out with root cause, actions and signatures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Relational, append-only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regulatory record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 jurisdiction, write-once; restore tested twice a year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Incident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Photographs and signature images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Blob</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This application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may contain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Per jurisdiction under an immutability policy</w:t>
            </w:r>
          </w:p>
        </w:tc>
      </w:tr>
    </w:tbl>
    <w:p>
      <w:pPr>
        <w:pStyle w:val="Heading1"/>
        <w:spacing w:after="100" w:before="280"/>
      </w:pPr>
      <w:r>
        <w:t xml:space="preserve">6. Foundry, Microsoft Agent Framework, and APIM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Model execution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model calls route through the configured APIM gateway.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Workflow ownership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Microsoft Agent Framework owns topology and human-in-the-loop pause/resume behavior.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Agent configuration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Two agents in one Foundry project: classification-rationale (drafts the reasoning behind a matrix result in plain language) and similar-incident retrieval (returns prior incidents with comparable circumstances). Standard reasoning deployment, 4,000 token ceiling, tools limited to the read-only incident index. The workflow pauses for safety lead review, and the accept or reject decision is recorded against the incident.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APIM policies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Managed-identity authentication at the gateway, 30 calls per user per hour, two retries on transient failures, content safety on prompt and completion, request and response logging with personal data redacted before storage, and a correlation header propagated from client to model call.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Guardrails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Prompts carry incident circumstances only. Reporter identity, injured-party identity and any free-text naming a person are stripped before the call, and anonymous incidents are excluded from retrieval corpora entirely. The agents may not classify, notify, assign an action or close an incident, and may not infer identity from circumstantial detail.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Every call emits prompt identifier, agent identifier, model deployment, token counts, project, calling user, review outcome, workflow run identifier and correlation identifier to Application Insights, retained 90 days, with a monthly review of redaction effectiveness.</w:t>
            </w:r>
          </w:p>
        </w:tc>
      </w:tr>
    </w:tbl>
    <w:p>
      <w:pPr>
        <w:pStyle w:val="Heading1"/>
        <w:spacing w:after="100" w:before="280"/>
      </w:pPr>
      <w:r>
        <w:t xml:space="preserve">7. Security and Privacy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Control area</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Validation evidence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and access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Role-based access with least privilege: reporter, safety lead, investigation owner, action owner, verifier and auditor; incident detail is role-scoped and anonymous reports expose no reporter field to any role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access recertification and an anonymity test case in every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Secrets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All secrets in Azure Key Vault referenced by managed identity; no secret values in source control or pipeline variables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Secret scanning on every pull request and a Key Vault reference audit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Network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Private endpoints for Azure SQL, Blob storage and APIM; App Service reachable only through Front Door with a web application firewall; egress restricted to declared destinations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Network validation test and firewall rule review each release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Data protection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TLS 1.2 or higher in transit and service-managed keys at rest; personal data minimised to what the statutory return requires, excluded from logs and from non-production environments, and held within the jurisdiction's residency boundary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Privacy impact assessment and a masked-data verification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Application security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Input validation on every endpoint, dependency and container scanning, a maintained threat model with explicit anonymity threat cases, and annual penetration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Pipeline scan results and the signed penetration test report</w:t>
            </w:r>
          </w:p>
        </w:tc>
      </w:tr>
    </w:tbl>
    <w:p>
      <w:pPr>
        <w:pStyle w:val="Heading1"/>
        <w:spacing w:after="100" w:before="280"/>
      </w:pPr>
      <w:r>
        <w:t xml:space="preserve">8. Non-Functional Technical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Category</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Target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Measurement /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99.95 percent monthly, 24 hours a day, because incidents do not follow shift patterns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Availability SLO in Azure Monitor, reviewed monthly</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Performance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Report submission acknowledged in under 2 seconds and notification dispatched within 5 minutes of classification, at 300 concurrent reporters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Load test at 2 times peak, plus a notification timing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Scalability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18,000 employees and contractors across 24 sites, 1,400 reports per month, peak concurrency after a site-wide event, scaling to five times normal load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Capacity test simulating a site-wide event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Reliability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Active-active across two regions, retries with backoff and channel fallback on notification, offline submission preserved on the device, RPO 5 minutes and RTO 2 hours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Quarterly regional failover exercise and a disconnected-device test</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Observability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Structured logs, notification delivery metrics, statutory clock dashboards, traces correlated from client to model call, alerts on clock breach risk and notification failure, retained 90 days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Operational readiness review and monthly service review</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Accessibility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WCAG 2.2 AA across the mobile client, the kiosk experience and the safety lead web view</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axe scan in the pipeline and an annual manual audit with assistive technology</w:t>
            </w:r>
          </w:p>
        </w:tc>
      </w:tr>
    </w:tbl>
    <w:p>
      <w:pPr>
        <w:pStyle w:val="Heading1"/>
        <w:spacing w:after="100" w:before="280"/>
      </w:pPr>
      <w:r>
        <w:t xml:space="preserve">9. Environments and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Environment</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Purpose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Subscription / resource group</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Data classification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 gate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Development and integration testing with synthetic data only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sub-eng-dev / rg-sir-dev</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Synthetic, no production records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Automatic on pull-request merge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 / UAT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System, contract, accessibility and user acceptance testing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sub-eng-test / rg-sir-test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Masked copy of production, Confidential, may contain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sign-off before promotion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Live service for all users in scope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sub-eng-prod / rg-sir-prod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Confidential, regulatory record with personal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Change advisory board approval and successful UAT</w:t>
            </w:r>
          </w:p>
        </w:tc>
      </w:tr>
    </w:tbl>
    <w:p>
      <w:pPr>
        <w:spacing w:after="120"/>
      </w:pPr>
      <w:r>
        <w:rPr>
          <w:i/>
          <w:iCs/>
          <w:color w:val="5B6470"/>
        </w:rPr>
        <w:t xml:space="preserve">Configuration is held per environment in App Configuration, with feature flags gating offline capture, agent assistance and the progressive rollout of each new screen. The application team owns application settings, the integration team owns endpoint and timeout settings, and platform operations owns infrastructure settings. Secret values live in Key Vault and are referenced rather than copied; no secret value appears in this document or in any environment file.</w:t>
      </w:r>
    </w:p>
    <w:p>
      <w:pPr>
        <w:pStyle w:val="Heading1"/>
        <w:spacing w:after="100" w:before="280"/>
      </w:pPr>
      <w:r>
        <w:t xml:space="preserve">10. Build, Test, Deploy, and Operate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Stage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Required checks / artifacts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Approval</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Build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Compile, lint, unit tests above the agreed coverage floor, dependency vulnerability scan, secret scan, infrastructure-as-code validation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Automated gate, blocking on any high-severity finding</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Test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and contract tests, security testing, automated and manual accessibility audit, signed user acceptance evidence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QA lead and business product owner</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Deploy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Infrastructure-as-code plan and apply, build provenance attestation, database migration dry run, progressive rollout with health gates, smoke tests, and an attached rollback plan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Release manager, with automatic rollback on gate failure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Operate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Dashboards, alert routing, on-call runbook, monthly service review, and quarterly access recertification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Service owner</w:t>
            </w:r>
          </w:p>
        </w:tc>
      </w:tr>
    </w:tbl>
    <w:p>
      <w:pPr>
        <w:pStyle w:val="Heading1"/>
        <w:spacing w:after="100" w:before="280"/>
      </w:pPr>
      <w:r>
        <w:t xml:space="preserve">11. Constraints, Risks, and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ID</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Type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Description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Owner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Mitigation / 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Status</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TR-001</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Anonymity could be defeated by correlating incident circumstances with shift or location data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Anonymous records omit reporter, shift and device identifiers, free text is screened for self-identifying content before storage, and anonymous incidents are excluded from retrieval corpora</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TR-002</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Constraint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Statutory notification windows differ by jurisdiction and change without notice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Safety Systems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Windows held in configuration with an effective date, changed through a reviewed pull request, never in code</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Accepted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TR-003</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Decision</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Active-active across two regions rather than a warm standby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24-hour availability target with statutory clocks running does not tolerate a failover gap</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Closed</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TR-004</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Risk</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 notification storm after a site-wide event could exhaust Graph throttling limits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Integration Platform team</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Digest notifications above a per-site threshold, priority queue for reportable incidents, and a load test simulating a site-wide event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Open</w:t>
            </w:r>
          </w:p>
        </w:tc>
      </w:tr>
    </w:tbl>
    <w:p>
      <w:pPr>
        <w:pStyle w:val="Heading1"/>
        <w:spacing w:after="100" w:before="280"/>
      </w:pPr>
      <w:r>
        <w:t xml:space="preserve">12. Technical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8C2CC" w:sz="1"/>
              <w:left w:val="single" w:color="B8C2CC" w:sz="1"/>
              <w:bottom w:val="single" w:color="B8C2CC" w:sz="1"/>
              <w:right w:val="single" w:color="B8C2CC" w:sz="1"/>
            </w:tcBorders>
            <w:shd w:fill="E8F3FA"/>
          </w:tcPr>
          <w:p>
            <w:pPr>
              <w:spacing w:after="0"/>
            </w:pPr>
            <w:r>
              <w:rPr>
                <w:b/>
                <w:bCs/>
              </w:rPr>
              <w:t xml:space="preserve">Reviewer</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Role</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Decision</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Comments</w:t>
            </w:r>
          </w:p>
        </w:tc>
        <w:tc>
          <w:tcPr>
            <w:tcBorders>
              <w:top w:val="single" w:color="B8C2CC" w:sz="1"/>
              <w:left w:val="single" w:color="B8C2CC" w:sz="1"/>
              <w:bottom w:val="single" w:color="B8C2CC" w:sz="1"/>
              <w:right w:val="single" w:color="B8C2CC" w:sz="1"/>
            </w:tcBorders>
            <w:shd w:fill="E8F3FA"/>
          </w:tcPr>
          <w:p>
            <w:pPr>
              <w:spacing w:after="0"/>
            </w:pPr>
            <w:r>
              <w:rPr>
                <w:b/>
                <w:bCs/>
              </w:rPr>
              <w:t xml:space="preserve">Date</w:t>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Solution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Architecture authority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Stack, boundaries and integration contracts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architect</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Security and privacy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Identity, data protection and threat model</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r>
        <w:tc>
          <w:tcPr>
            <w:tcBorders>
              <w:top w:val="single" w:color="B8C2CC" w:sz="1"/>
              <w:left w:val="single" w:color="B8C2CC" w:sz="1"/>
              <w:bottom w:val="single" w:color="B8C2CC" w:sz="1"/>
              <w:right w:val="single" w:color="B8C2CC" w:sz="1"/>
            </w:tcBorders>
          </w:tcPr>
          <w:p>
            <w:pPr>
              <w:spacing w:after="0"/>
            </w:pPr>
            <w:r>
              <w:rPr>
                <w:b w:val="false"/>
                <w:bCs w:val="false"/>
              </w:rPr>
              <w:t xml:space="preserve">Platform lead</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Cloud platform operations</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Pending</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Hosting, environments and operability</w:t>
            </w:r>
          </w:p>
        </w:tc>
        <w:tc>
          <w:tcPr>
            <w:tcBorders>
              <w:top w:val="single" w:color="B8C2CC" w:sz="1"/>
              <w:left w:val="single" w:color="B8C2CC" w:sz="1"/>
              <w:bottom w:val="single" w:color="B8C2CC" w:sz="1"/>
              <w:right w:val="single" w:color="B8C2CC" w:sz="1"/>
            </w:tcBorders>
          </w:tcPr>
          <w:p>
            <w:pPr>
              <w:spacing w:after="0"/>
            </w:pPr>
            <w:r>
              <w:rPr>
                <w:b w:val="false"/>
                <w:bCs w:val="false"/>
              </w:rPr>
              <w:t xml:space="preserve"/>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dc:title>
  <dc:creator>Agentic SDLC</dc:creator>
  <dc:description>Reusable Agentic SDLC project-intake template</dc:description>
  <cp:lastModifiedBy>Un-named</cp:lastModifiedBy>
  <cp:revision>1</cp:revision>
  <dcterms:created xsi:type="dcterms:W3CDTF">2026-08-24T15:44:50.583Z</dcterms:created>
  <dcterms:modified xsi:type="dcterms:W3CDTF">2026-08-24T15:44:50.583Z</dcterms:modified>
</cp:coreProperties>
</file>

<file path=docProps/custom.xml><?xml version="1.0" encoding="utf-8"?>
<Properties xmlns="http://schemas.openxmlformats.org/officeDocument/2006/custom-properties" xmlns:vt="http://schemas.openxmlformats.org/officeDocument/2006/docPropsVTypes"/>
</file>