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7B8"/>
          <w:sz w:val="40"/>
          <w:szCs w:val="40"/>
        </w:rPr>
        <w:t xml:space="preserve">Supplier Quality Nonconformance</w:t>
      </w:r>
    </w:p>
    <w:p>
      <w:pPr>
        <w:spacing w:after="220"/>
        <w:jc w:val="center"/>
      </w:pPr>
      <w:r>
        <w:rPr>
          <w:b/>
          <w:bCs/>
          <w:color w:val="1F2937"/>
          <w:sz w:val="30"/>
          <w:szCs w:val="30"/>
        </w:rPr>
        <w:t xml:space="preserve">Functional and Non-Functional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Document owner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Version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Status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Michael Yaacoub, Sr Solution Engineer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2026-08-24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Draft</w:t>
            </w:r>
          </w:p>
        </w:tc>
      </w:tr>
    </w:tbl>
    <w:p>
      <w:pPr>
        <w:spacing w:after="120"/>
      </w:pPr>
      <w:r>
        <w:t xml:space="preserve"/>
      </w:r>
    </w:p>
    <w:p>
      <w:pPr>
        <w:spacing w:after="120"/>
      </w:pPr>
      <w:r>
        <w:t xml:space="preserve">This template follows the sample requirements structure: purpose and scope, Epic, Features and User Stories, non-functional requirements, traceability, and assumptions.</w:t>
      </w:r>
    </w:p>
    <w:p>
      <w:pPr>
        <w:pStyle w:val="Heading1"/>
        <w:spacing w:after="100" w:before="280"/>
      </w:pPr>
      <w:r>
        <w:t xml:space="preserve">1. Purpose and Scope</w:t>
      </w:r>
    </w:p>
    <w:p>
      <w:pPr>
        <w:pStyle w:val="Heading2"/>
        <w:spacing w:after="100" w:before="160"/>
      </w:pPr>
      <w:r>
        <w:t xml:space="preserve">1.1 Business Problem and Outcome</w:t>
      </w:r>
    </w:p>
    <w:p>
      <w:pPr>
        <w:spacing w:after="120"/>
      </w:pPr>
      <w:r>
        <w:rPr>
          <w:i/>
          <w:iCs/>
          <w:color w:val="5B6470"/>
        </w:rPr>
        <w:t xml:space="preserve">When goods arrive out of specification, the receiving inspector raises a nonconformance on a shared spreadsheet and emails the buyer. Containment depends on someone noticing before the stock is issued to production, supplier corrective action requests are chased by hand, and repeat defects from the same supplier are only visible to whoever happens to remember them. The outcome this release targets is a nonconformance raised at the point of inspection with immediate containment, a tracked corrective action request the supplier answers in the same system, and a disposition decision that cannot be made by the person who raised it.</w:t>
      </w:r>
    </w:p>
    <w:p>
      <w:pPr>
        <w:pStyle w:val="Heading2"/>
        <w:spacing w:after="100" w:before="160"/>
      </w:pPr>
      <w:r>
        <w:t xml:space="preserve">1.2 In Scope</w:t>
      </w:r>
    </w:p>
    <w:p>
      <w:pPr>
        <w:pStyle w:val="ListParagraph"/>
        <w:numPr>
          <w:ilvl w:val="0"/>
          <w:numId w:val="1"/>
        </w:numPr>
        <w:spacing w:after="80"/>
      </w:pPr>
      <w:r>
        <w:t xml:space="preserve">Raising a nonconformance at goods receipt or in process, with defect evidence and affected lot detail</w:t>
      </w:r>
    </w:p>
    <w:p>
      <w:pPr>
        <w:pStyle w:val="ListParagraph"/>
        <w:numPr>
          <w:ilvl w:val="0"/>
          <w:numId w:val="1"/>
        </w:numPr>
        <w:spacing w:after="80"/>
      </w:pPr>
      <w:r>
        <w:t xml:space="preserve">Immediate containment: quarantine hold on the affected lot and downstream lot traceability</w:t>
      </w:r>
    </w:p>
    <w:p>
      <w:pPr>
        <w:pStyle w:val="ListParagraph"/>
        <w:numPr>
          <w:ilvl w:val="0"/>
          <w:numId w:val="1"/>
        </w:numPr>
        <w:spacing w:after="80"/>
      </w:pPr>
      <w:r>
        <w:t xml:space="preserve">Supplier corrective action requests, supplier responses and effectiveness verification</w:t>
      </w:r>
    </w:p>
    <w:p>
      <w:pPr>
        <w:pStyle w:val="ListParagraph"/>
        <w:numPr>
          <w:ilvl w:val="0"/>
          <w:numId w:val="1"/>
        </w:numPr>
        <w:spacing w:after="80"/>
      </w:pPr>
      <w:r>
        <w:t xml:space="preserve">Material review board disposition with segregation of duties and cost-of-quality capture</w:t>
      </w:r>
    </w:p>
    <w:p>
      <w:pPr>
        <w:pStyle w:val="ListParagraph"/>
        <w:numPr>
          <w:ilvl w:val="0"/>
          <w:numId w:val="1"/>
        </w:numPr>
        <w:spacing w:after="80"/>
      </w:pPr>
      <w:r>
        <w:t xml:space="preserve">Offline capture on the receiving dock, with synchronisation when connectivity returns</w:t>
      </w:r>
    </w:p>
    <w:p>
      <w:pPr>
        <w:pStyle w:val="Heading2"/>
        <w:spacing w:after="100" w:before="160"/>
      </w:pPr>
      <w:r>
        <w:t xml:space="preserve">1.3 Out of Scope</w:t>
      </w:r>
    </w:p>
    <w:p>
      <w:pPr>
        <w:pStyle w:val="ListParagraph"/>
        <w:numPr>
          <w:ilvl w:val="0"/>
          <w:numId w:val="1"/>
        </w:numPr>
        <w:spacing w:after="80"/>
      </w:pPr>
      <w:r>
        <w:t xml:space="preserve">Supplier onboarding, approval and commercial scorecard weighting</w:t>
      </w:r>
    </w:p>
    <w:p>
      <w:pPr>
        <w:pStyle w:val="ListParagraph"/>
        <w:numPr>
          <w:ilvl w:val="0"/>
          <w:numId w:val="1"/>
        </w:numPr>
        <w:spacing w:after="80"/>
      </w:pPr>
      <w:r>
        <w:t xml:space="preserve">Purchase order and invoice matching, debit note issuance and financial recovery</w:t>
      </w:r>
    </w:p>
    <w:p>
      <w:pPr>
        <w:pStyle w:val="ListParagraph"/>
        <w:numPr>
          <w:ilvl w:val="0"/>
          <w:numId w:val="1"/>
        </w:numPr>
        <w:spacing w:after="80"/>
      </w:pPr>
      <w:r>
        <w:t xml:space="preserve">Incoming inspection sampling plan design, which remains a quality engineering activity</w:t>
      </w:r>
    </w:p>
    <w:p>
      <w:pPr>
        <w:pStyle w:val="ListParagraph"/>
        <w:numPr>
          <w:ilvl w:val="0"/>
          <w:numId w:val="1"/>
        </w:numPr>
        <w:spacing w:after="80"/>
      </w:pPr>
      <w:r>
        <w:t xml:space="preserve">Production process control charts and in-line statistical process control</w:t>
      </w:r>
    </w:p>
    <w:p>
      <w:pPr>
        <w:pStyle w:val="ListParagraph"/>
        <w:numPr>
          <w:ilvl w:val="0"/>
          <w:numId w:val="1"/>
        </w:numPr>
        <w:spacing w:after="80"/>
      </w:pPr>
      <w:r>
        <w:t xml:space="preserve">New analytics beyond the supplier quality dashboards already in service</w:t>
      </w:r>
    </w:p>
    <w:p>
      <w:pPr>
        <w:pStyle w:val="Heading2"/>
        <w:spacing w:after="100" w:before="160"/>
      </w:pPr>
      <w:r>
        <w:t xml:space="preserve">1.4 Success Measures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Objective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Metric</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Measurement source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Contain defective material before it reaches production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Nonconforming lots quarantined before issue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Raise from 74 percent to 97 percent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Quarantine hold timestamps against issue timestamps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Close corrective actions with the supplier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Corrective action requests answered inside the agreed window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Raise from 52 percent to 85 percent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Corrective action register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Stop repeat defects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Repeat defect rate for the same supplier and part within 12 months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Reduce from 23 percent to 10 percent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 register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Understand what poor quality costs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Nonconformances with cost of quality recorded at disposition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95 percent of dispositioned records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Cost of quality report</w:t>
            </w:r>
          </w:p>
        </w:tc>
      </w:tr>
    </w:tbl>
    <w:p>
      <w:pPr>
        <w:pStyle w:val="Heading1"/>
        <w:spacing w:after="100" w:before="280"/>
      </w:pPr>
      <w:r>
        <w:t xml:space="preserve">2. Epic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Epic title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Outcome statement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Business owner</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EPIC-01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Quality Nonconformance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quality organisation, we need nonconformances raised at the point of inspection with immediate containment and a tracked supplier response, so that defective material never reaches production and repeat defects are eliminated at source.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Head of Supplier Quality</w:t>
            </w:r>
          </w:p>
        </w:tc>
      </w:tr>
    </w:tbl>
    <w:p>
      <w:pPr>
        <w:pStyle w:val="Heading1"/>
        <w:spacing w:after="100" w:before="280"/>
      </w:pPr>
      <w:r>
        <w:t xml:space="preserve">3. Features and User Stories</w:t>
      </w:r>
    </w:p>
    <w:p>
      <w:pPr>
        <w:pStyle w:val="Heading2"/>
        <w:spacing w:after="100" w:before="160"/>
      </w:pPr>
      <w:r>
        <w:t xml:space="preserve">3.1 FEAT-01 Nonconformance Capture and Containment</w:t>
      </w:r>
    </w:p>
    <w:p>
      <w:pPr>
        <w:spacing w:after="120"/>
      </w:pPr>
      <w:r>
        <w:rPr>
          <w:i/>
          <w:iCs/>
          <w:color w:val="5B6470"/>
        </w:rPr>
        <w:t xml:space="preserve">Lets an inspector raise a nonconformance where the defect is found, attach evidence, and place an immediate quarantine hold on the affected lot before anything can be issued.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US-101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receiving inspector, I want to raise a nonconformance against a specific lot with photographic evidence, so that the defect is recorded accurately at the point it is found.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received lot, when I raise a nonconformance, then part, supplier, purchase order, lot and quantity are captured with at least one photograph, and a nonconformance number is issued immediately. Given the dock has no connectivity, when I raise it, then the record and evidence queue locally and submit automatically within 5 minutes of reconnection.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quality engineer, I want an immediate quarantine hold placed on the affected lot, so that nonconforming material cannot be issued to production.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nonconformance is raised, when it is submitted, then a quarantine hold is applied to the lot in the inventory system within 60 seconds and any issue attempt is blocked. Given the hold cannot be applied, when the integration fails, then the nonconformance is flagged as uncontained and the quality manager is alerted immediately.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2"/>
        <w:spacing w:after="100" w:before="160"/>
      </w:pPr>
      <w:r>
        <w:t xml:space="preserve">3.2 FEAT-02 Lot Traceability and Impact</w:t>
      </w:r>
    </w:p>
    <w:p>
      <w:pPr>
        <w:spacing w:after="120"/>
      </w:pPr>
      <w:r>
        <w:rPr>
          <w:i/>
          <w:iCs/>
          <w:color w:val="5B6470"/>
        </w:rPr>
        <w:t xml:space="preserve">Shows where the affected material has already gone, so containment covers work in progress and finished goods rather than only the stock still on the shelf.</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US-201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quality engineer, I want to see every downstream lot and work order that consumed the affected material, so that containment covers what has already moved.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quarantined lot, when I open the impact view, then every downstream work order, sub-lot and finished goods lot is listed with its current location and status. Given a downstream lot has already shipped, when it is listed, then the customer and shipment reference are shown so a recall decision can be made.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quality manager, I want to extend containment to downstream lots in one action, so that the hold is not applied piecemeal while material keeps moving.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downstream lots exist, when I extend containment, then holds are applied to every selected lot and the result of each is reported individually. Given a hold fails on one lot, when the batch completes, then the successful holds stand and only the failure is retried.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2"/>
        <w:spacing w:after="100" w:before="160"/>
      </w:pPr>
      <w:r>
        <w:t xml:space="preserve">3.3 FEAT-03 Supplier Corrective Action</w:t>
      </w:r>
    </w:p>
    <w:p>
      <w:pPr>
        <w:spacing w:after="120"/>
      </w:pPr>
      <w:r>
        <w:rPr>
          <w:i/>
          <w:iCs/>
          <w:color w:val="5B6470"/>
        </w:rPr>
        <w:t xml:space="preserve">Issues a corrective action request to the supplier, receives their response in the same system, and holds the request open until effectiveness has been verified on later receipts.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US-301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supplier quality engineer, I want to issue a corrective action request with a due date, so that the supplier response is tracked rather than chased by email.</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nonconformance, when I issue a corrective action request, then the supplier contact, required response date and problem statement are recorded and the supplier is notified. Given the due date passes without a response, when the overnight job runs, then the request is shown as overdue and the buyer and supplier contact are both reminded.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supplier quality engineer, I want effectiveness verified on later receipts before the request closes, so that a plausible response is not mistaken for a fixed process.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supplier response is accepted, when the request moves forward, then it enters Awaiting effectiveness and names the number of receipts to verify. Given the verification receipts pass inspection, when the last one is recorded, then the request may be closed; given any fails, then the request reopens with the new nonconformance linked.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2"/>
        <w:spacing w:after="100" w:before="160"/>
      </w:pPr>
      <w:r>
        <w:t xml:space="preserve">3.4 FEAT-04 Disposition and Cost of Quality</w:t>
      </w:r>
    </w:p>
    <w:p>
      <w:pPr>
        <w:spacing w:after="120"/>
      </w:pPr>
      <w:r>
        <w:rPr>
          <w:i/>
          <w:iCs/>
          <w:color w:val="5B6470"/>
        </w:rPr>
        <w:t xml:space="preserve">Closes the nonconformance with a material review board decision made by someone other than the raiser, and captures what the defect cost so supplier performance reflects reality.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Acceptance criteria</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Priority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US-401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material review board member, I want to record a disposition decision with a justification, so that the outcome for the material is explicit and traceable.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contained nonconformance, when I record a disposition of use as is, rework, return to supplier or scrap, then a justification is mandatory and the inventory system is updated to match. Given the person dispositioning also raised the nonconformance, when they attempt to decide, then the action is blocked and an alternative board member is required.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US-402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As a quality manager, I want cost of quality captured at disposition, so that supplier performance reflects the true cost of poor quality.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Given a disposition is recorded, when it is saved, then rework hours, scrap value, freight and administrative cost are captured and totalled. Given the nonconformance is closed, when the record is written, then it is immutable and feeds the supplier scorecard.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Must</w:t>
            </w:r>
          </w:p>
        </w:tc>
      </w:tr>
    </w:tbl>
    <w:p>
      <w:pPr>
        <w:pStyle w:val="Heading1"/>
        <w:spacing w:after="100" w:before="280"/>
      </w:pPr>
      <w:r>
        <w:t xml:space="preserve">4. Non-Functional Requirements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ID</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Category</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Requirement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Target</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Validation</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The nonconformance capture form and the lot impact view render on a dock handheld and a desktop browser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95th percentile under 2 seconds; impact view under 4 seconds for 500 downstream lots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Performance test against the production-shaped dataset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Availability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The nonconformance service is available throughout receiving and production hours across all sites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99.9 percent monthly, measured 05:00 to 23:00 in each site's local time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SLO dashboard and monthly service review</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Offline / resilience</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An inspector can raise a nonconformance with evidence on the dock with no connectivity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Full offline capture, sync within 5 minutes of reconnection, recovery point objective 0 for captured records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Chaos and disconnected-device test suite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and privacy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Access requires Entra ID single sign-on; supplier users reach only their own corrective action requests through a scoped external identity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 supplier visibility of any other supplier's data, verified by an automated authorisation test</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Security review and penetration test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NFR-005</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Accessibility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screen is operable with gloves on the receiving dock and by keyboard alone at a desk</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WCAG 2.2 AA on both the handheld and the desktop 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Automated axe scan plus manual screen-reader audit</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NFR-006</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Auditability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Every containment action, supplier response, disposition and cost entry records actor, action, timestamp and correlation identifier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100 percent captured, retained for 10 years to match product liability</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Audit evidence pack sampled each release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NFR-007</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Integration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Quarantine hold and disposition write-back to the inventory system declare timeouts, retries, idempotency and a defined failure behaviour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No lot left silently uncontained; containment failures alert within 60 seconds</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Contract tests in the integration pipeline</w:t>
            </w:r>
          </w:p>
        </w:tc>
      </w:tr>
    </w:tbl>
    <w:p>
      <w:pPr>
        <w:pStyle w:val="Heading1"/>
        <w:spacing w:after="100" w:before="280"/>
      </w:pPr>
      <w:r>
        <w:t xml:space="preserve">5. Traceability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Feature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User stories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Screen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Test cases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Primary outcome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US-101, US-102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SCR-01</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TC-101, TC-102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Defects are recorded and contained where they are found, not after material moves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US-201, US-202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TC-201, TC-202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Containment reaches everything the affected material touched, including shipped goods</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US-301, US-302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SCR-03</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TC-301, TC-302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Supplier corrective actions are tracked to verified effectiveness rather than to a reply</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FEAT-04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US-401, US-402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SCR-04</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TC-401, TC-402</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Disposition is controlled, costed and reflected in supplier performance</w:t>
            </w:r>
          </w:p>
        </w:tc>
      </w:tr>
    </w:tbl>
    <w:p>
      <w:pPr>
        <w:pStyle w:val="Heading1"/>
        <w:spacing w:after="100" w:before="280"/>
      </w:pPr>
      <w:r>
        <w:t xml:space="preserve">6. Assumptions and Out of Scope</w:t>
      </w:r>
    </w:p>
    <w:p>
      <w:pPr>
        <w:pStyle w:val="Heading2"/>
        <w:spacing w:after="100" w:before="160"/>
      </w:pPr>
      <w:r>
        <w:t xml:space="preserve">6.1 Assumptions and Dependencies</w:t>
      </w:r>
    </w:p>
    <w:p>
      <w:pPr>
        <w:pStyle w:val="ListParagraph"/>
        <w:numPr>
          <w:ilvl w:val="0"/>
          <w:numId w:val="1"/>
        </w:numPr>
        <w:spacing w:after="80"/>
      </w:pPr>
      <w:r>
        <w:t xml:space="preserve">Part master, supplier master, purchase orders and lot genealogy already exist in the ERP and manufacturing execution systems and are exposed through the integration layer.</w:t>
      </w:r>
    </w:p>
    <w:p>
      <w:pPr>
        <w:pStyle w:val="ListParagraph"/>
        <w:numPr>
          <w:ilvl w:val="0"/>
          <w:numId w:val="1"/>
        </w:numPr>
        <w:spacing w:after="80"/>
      </w:pPr>
      <w:r>
        <w:t xml:space="preserve">The inventory system supports an externally applied quarantine hold that blocks issue.</w:t>
      </w:r>
    </w:p>
    <w:p>
      <w:pPr>
        <w:pStyle w:val="ListParagraph"/>
        <w:numPr>
          <w:ilvl w:val="0"/>
          <w:numId w:val="1"/>
        </w:numPr>
        <w:spacing w:after="80"/>
      </w:pPr>
      <w:r>
        <w:t xml:space="preserve">Supplier contacts hold external identities in the tenant, scoped to their own organisation's records.</w:t>
      </w:r>
    </w:p>
    <w:p>
      <w:pPr>
        <w:pStyle w:val="ListParagraph"/>
        <w:numPr>
          <w:ilvl w:val="0"/>
          <w:numId w:val="1"/>
        </w:numPr>
        <w:spacing w:after="80"/>
      </w:pPr>
      <w:r>
        <w:t xml:space="preserve">Material review board membership and disposition authority are defined by the quality management system.</w:t>
      </w:r>
    </w:p>
    <w:p>
      <w:pPr>
        <w:pStyle w:val="ListParagraph"/>
        <w:numPr>
          <w:ilvl w:val="0"/>
          <w:numId w:val="1"/>
        </w:numPr>
        <w:spacing w:after="80"/>
      </w:pPr>
      <w:r>
        <w:t xml:space="preserve">Receiving dock wireless coverage is intermittent rather than absent.</w:t>
      </w:r>
    </w:p>
    <w:p>
      <w:pPr>
        <w:pStyle w:val="Heading2"/>
        <w:spacing w:after="100" w:before="160"/>
      </w:pPr>
      <w:r>
        <w:t xml:space="preserve">6.2 Constraints and Exclusions</w:t>
      </w:r>
    </w:p>
    <w:p>
      <w:pPr>
        <w:pStyle w:val="ListParagraph"/>
        <w:numPr>
          <w:ilvl w:val="0"/>
          <w:numId w:val="1"/>
        </w:numPr>
        <w:spacing w:after="80"/>
      </w:pPr>
      <w:r>
        <w:t xml:space="preserve">The ERP remains the system of record for inventory status; a quarantine hold must be applied there, not simulated in this application.</w:t>
      </w:r>
    </w:p>
    <w:p>
      <w:pPr>
        <w:pStyle w:val="ListParagraph"/>
        <w:numPr>
          <w:ilvl w:val="0"/>
          <w:numId w:val="1"/>
        </w:numPr>
        <w:spacing w:after="80"/>
      </w:pPr>
      <w:r>
        <w:t xml:space="preserve">The person who raises a nonconformance may not disposition it, under the quality management system's segregation of duties rule.</w:t>
      </w:r>
    </w:p>
    <w:p>
      <w:pPr>
        <w:pStyle w:val="ListParagraph"/>
        <w:numPr>
          <w:ilvl w:val="0"/>
          <w:numId w:val="1"/>
        </w:numPr>
        <w:spacing w:after="80"/>
      </w:pPr>
      <w:r>
        <w:t xml:space="preserve">Closed nonconformance records are retained for 10 years to match the product liability period.</w:t>
      </w:r>
    </w:p>
    <w:p>
      <w:pPr>
        <w:pStyle w:val="ListParagraph"/>
        <w:numPr>
          <w:ilvl w:val="0"/>
          <w:numId w:val="1"/>
        </w:numPr>
        <w:spacing w:after="80"/>
      </w:pPr>
      <w:r>
        <w:t xml:space="preserve">Supplier users may never see another supplier's data, part cost or internal cost of quality detail.</w:t>
      </w:r>
    </w:p>
    <w:p>
      <w:pPr>
        <w:pStyle w:val="Heading1"/>
        <w:spacing w:after="100" w:before="280"/>
      </w:pPr>
      <w:r>
        <w:t xml:space="preserve">7. Approval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Borders>
              <w:top w:val="single" w:color="B8C2CC" w:sz="1"/>
              <w:left w:val="single" w:color="B8C2CC" w:sz="1"/>
              <w:bottom w:val="single" w:color="B8C2CC" w:sz="1"/>
              <w:right w:val="single" w:color="B8C2CC" w:sz="1"/>
            </w:tcBorders>
            <w:shd w:fill="E8F3FA"/>
          </w:tcPr>
          <w:p>
            <w:pPr>
              <w:spacing w:after="0"/>
            </w:pPr>
            <w:r>
              <w:rPr>
                <w:b/>
                <w:bCs/>
              </w:rPr>
              <w:t xml:space="preserve">Reviewer</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Role</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Decision</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Comments</w:t>
            </w:r>
          </w:p>
        </w:tc>
        <w:tc>
          <w:tcPr>
            <w:tcBorders>
              <w:top w:val="single" w:color="B8C2CC" w:sz="1"/>
              <w:left w:val="single" w:color="B8C2CC" w:sz="1"/>
              <w:bottom w:val="single" w:color="B8C2CC" w:sz="1"/>
              <w:right w:val="single" w:color="B8C2CC" w:sz="1"/>
            </w:tcBorders>
            <w:shd w:fill="E8F3FA"/>
          </w:tcPr>
          <w:p>
            <w:pPr>
              <w:spacing w:after="0"/>
            </w:pPr>
            <w:r>
              <w:rPr>
                <w:b/>
                <w:bCs/>
              </w:rPr>
              <w:t xml:space="preserve">Date</w:t>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Chris Santaniello</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Director, Solution Engineering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Business sponsor review</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Product owner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Business product owner</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Scope, stories and acceptance criteria</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r>
        <w:tc>
          <w:tcPr>
            <w:tcBorders>
              <w:top w:val="single" w:color="B8C2CC" w:sz="1"/>
              <w:left w:val="single" w:color="B8C2CC" w:sz="1"/>
              <w:bottom w:val="single" w:color="B8C2CC" w:sz="1"/>
              <w:right w:val="single" w:color="B8C2CC" w:sz="1"/>
            </w:tcBorders>
          </w:tcPr>
          <w:p>
            <w:pPr>
              <w:spacing w:after="0"/>
            </w:pPr>
            <w:r>
              <w:rPr>
                <w:b w:val="false"/>
                <w:bCs w:val="false"/>
              </w:rPr>
              <w:t xml:space="preserve">Delivery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Engineering delivery lead</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Pending</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Feasibility and estimate confirmation</w:t>
            </w:r>
          </w:p>
        </w:tc>
        <w:tc>
          <w:tcPr>
            <w:tcBorders>
              <w:top w:val="single" w:color="B8C2CC" w:sz="1"/>
              <w:left w:val="single" w:color="B8C2CC" w:sz="1"/>
              <w:bottom w:val="single" w:color="B8C2CC" w:sz="1"/>
              <w:right w:val="single" w:color="B8C2CC" w:sz="1"/>
            </w:tcBorders>
          </w:tcPr>
          <w:p>
            <w:pPr>
              <w:spacing w:after="0"/>
            </w:pPr>
            <w:r>
              <w:rPr>
                <w:b w:val="false"/>
                <w:bCs w:val="false"/>
              </w:rPr>
              <w:t xml:space="preserve"/>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Case}</dc:title>
  <dc:creator>Agentic SDLC</dc:creator>
  <dc:description>Reusable Agentic SDLC project-intake template</dc:description>
  <cp:lastModifiedBy>Un-named</cp:lastModifiedBy>
  <cp:revision>1</cp:revision>
  <dcterms:created xsi:type="dcterms:W3CDTF">2026-08-24T15:44:50.573Z</dcterms:created>
  <dcterms:modified xsi:type="dcterms:W3CDTF">2026-08-24T15:44:50.574Z</dcterms:modified>
</cp:coreProperties>
</file>

<file path=docProps/custom.xml><?xml version="1.0" encoding="utf-8"?>
<Properties xmlns="http://schemas.openxmlformats.org/officeDocument/2006/custom-properties" xmlns:vt="http://schemas.openxmlformats.org/officeDocument/2006/docPropsVTypes"/>
</file>