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7B8"/>
          <w:sz w:val="40"/>
          <w:szCs w:val="40"/>
        </w:rPr>
        <w:t xml:space="preserve">Supplier Quality Nonconformance</w:t>
      </w:r>
    </w:p>
    <w:p>
      <w:pPr>
        <w:spacing w:after="220"/>
        <w:jc w:val="center"/>
      </w:pPr>
      <w:r>
        <w:rPr>
          <w:b/>
          <w:bCs/>
          <w:color w:val="1F2937"/>
          <w:sz w:val="30"/>
          <w:szCs w:val="30"/>
        </w:rPr>
        <w:t xml:space="preserve">Technical Requirements and Architecture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Document 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Version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Michael Yaacoub, Sr Solution Engineer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2026-08-24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Draft</w:t>
            </w:r>
          </w:p>
        </w:tc>
      </w:tr>
    </w:tbl>
    <w:p>
      <w:pPr>
        <w:spacing w:after="120"/>
      </w:pPr>
      <w:r>
        <w:t xml:space="preserve"/>
      </w:r>
    </w:p>
    <w:p>
      <w:pPr>
        <w:spacing w:after="120"/>
      </w:pPr>
      <w:r>
        <w:t xml:space="preserve">Use this document to confirm the approved stack, component boundaries, integrations, quality targets, and delivery requirements before code generation.</w:t>
      </w:r>
    </w:p>
    <w:p>
      <w:pPr>
        <w:pStyle w:val="Heading1"/>
        <w:spacing w:after="100" w:before="280"/>
      </w:pPr>
      <w:r>
        <w:t xml:space="preserve">1. Purpose, Context, and Constraints</w:t>
      </w:r>
    </w:p>
    <w:p>
      <w:pPr>
        <w:spacing w:after="120"/>
      </w:pPr>
      <w:r>
        <w:rPr>
          <w:i/>
          <w:iCs/>
          <w:color w:val="5B6470"/>
        </w:rPr>
        <w:t xml:space="preserve">A quality application spanning the receiving dock handheld and the quality engineer's desktop, built as an Ionic and Angular client over a Python FastAPI service layer on Azure App Service. The ERP remains the system of record for inventory and lot status, and the manufacturing execution system for genealogy; this solution owns the nonconformance, containment and corrective action record. The dominant constraints are guaranteed containment, strict supplier data isolation, and segregation of duties on disposition. A Foundry agent workflow clusters similar defects and drafts a problem statement for engineer review, with every model call routed through Azure API Management.</w:t>
      </w:r>
    </w:p>
    <w:p>
      <w:pPr>
        <w:pStyle w:val="Heading1"/>
        <w:spacing w:after="100" w:before="280"/>
      </w:pPr>
      <w:r>
        <w:t xml:space="preserve">2. Default Technology Stack</w:t>
      </w:r>
    </w:p>
    <w:p>
      <w:pPr>
        <w:spacing w:after="120"/>
      </w:pPr>
      <w:r>
        <w:t xml:space="preserve">Confirm each default or replace it with an approved alternative.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Tier / capability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Default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Project 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Rationale / constraints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Front End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Angular 18, TypeScript, Ionic 8</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Use default: Angular 18, TypeScript, Ionic 8</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One codebase covering the dock handheld, the engineer desktop and the supplier portal view, with camera access and a service worker for dock offline capture.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APIs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Use default: Python 3.12, FastAPI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Platform standard; typed models make the supplier isolation rule explicit at the API boundary.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Database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SQL Database (SQL Server) or Azure Cosmos DB</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SQL Database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Nonconformances, containment actions, corrective action requests and dispositions are relational, and lot impact queries are recursive over genealogy, which the relational engine handles directly.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Foundry with Microsoft 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Foundry project with a defect-clustering agent and a problem-statement drafting agent; workflow pauses for engineer review before any output is used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 corrective action request is a formal supplier communication, so a person always approves the wording.</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AI gateway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API Management (APIM)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Single APIM route for all model traffic, managed-identity authentication, per-user quotas, content safety and correlation headers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One enforcement point, and one place to prove supplier data never reaches a prompt.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Entra ID; OTP where approved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Entra ID for internal users; Entra External ID for supplier contacts, scoped to their own organisation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access must be revocable centrally and can never span organisations.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Optional storage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Storage Account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Required: Blob storage for defect photographs and supplier response attachments, immutable once the nonconformance closes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Evidence is retained for 10 years and must be provably unaltered.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Hosting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App Service, Premium v3, primary region with zone redundancy and a paired-region warm standby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Receiving-hours availability with a predictable morning peak.</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CI/CD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GitHub Actions or Azure Pipelines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GitHub Actions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Platform standard with build provenance and environment protection in place.</w:t>
            </w:r>
          </w:p>
        </w:tc>
      </w:tr>
    </w:tbl>
    <w:p>
      <w:pPr>
        <w:pStyle w:val="Heading1"/>
        <w:spacing w:after="100" w:before="280"/>
      </w:pPr>
      <w:r>
        <w:t xml:space="preserve">3. Architecture and Components</w:t>
      </w:r>
    </w:p>
    <w:p>
      <w:pPr>
        <w:spacing w:after="120"/>
      </w:pPr>
      <w:r>
        <w:rPr>
          <w:b/>
          <w:bCs/>
          <w:color w:val="0067B8"/>
        </w:rPr>
        <w:t xml:space="preserve">Context diagram: inspectors on dock handhelds and engineers on desktops reach the Ionic client, which calls the FastAPI nonconformance service on App Service; the service applies quarantine holds in the ERP, reads lot genealogy from the manufacturing execution system, notifies supplier contacts through the supplier portal, stores records in Azure SQL and evidence in Blob storage, and routes agent traffic through APIM to Foundry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Component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Responsibility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Interfaces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Runtime / hosting</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Inspector and engineer client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Renders capture, containment, impact, corrective action and disposition, and owns dock offline capture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user interaction. Outbound: nonconformance API, camera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Ionic 8 and Angular 18, web and Android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Quality Systems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Owns nonconformance state, containment, corrective action requests, disposition and segregation of duties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client, supplier portal. Outbound: ERP, manufacturing execution system, Azure SQL, Blob storage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 on 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Quality Systems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Containment adapter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Applies and releases quarantine holds in the ERP, with retry, idempotency and an uncontained alert path</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nonconformance service. Outbound: ERP inventory status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 on 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Platform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portal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Presents only the supplier's own corrective action requests and accepts their responses and attachments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supplier contact through Entra External ID. Outbound: nonconformance API with an organisation-scoped token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Angular 18 on 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Quality Systems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Defect analysis workflow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Clusters similar defects across suppliers and parts and drafts a problem statement for engineer review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nonconformance service. Outbound: APIM to Foundry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Foundry with the Microsoft 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AI Engineering team</w:t>
            </w:r>
          </w:p>
        </w:tc>
      </w:tr>
    </w:tbl>
    <w:p>
      <w:pPr>
        <w:pStyle w:val="Heading1"/>
        <w:spacing w:after="100" w:before="280"/>
      </w:pPr>
      <w:r>
        <w:t xml:space="preserve">4. API and Integration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API / system</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Consumer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Protocol</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Authentication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SLA / timeout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Failure behavior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ERP inventory status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Containment adapter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3 second timeout, 99.5 percent 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Idempotency key per lot hold; on failure the nonconformance is marked uncontained, the quality manager is alerted within 60 seconds, and the hold is retried until it succeeds or is manually resolved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Manufacturing execution genealogy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5 second timeout for a recursive query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Two retries; on exhaustion show the impact view as partial, state plainly that it is incomplete, and never present it as a full containment picture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notification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5 second timeout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Retry for 24 hours with escalation to the buyer; the corrective action request stays open regardless of notification outcome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Foundry model deployments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Defect analysis workflow through APIM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 at the gateway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15 second timeout, per-user quota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Fail closed: the engineer writes the problem statement with no draft</w:t>
            </w:r>
          </w:p>
        </w:tc>
      </w:tr>
    </w:tbl>
    <w:p>
      <w:pPr>
        <w:pStyle w:val="Heading1"/>
        <w:spacing w:after="100" w:before="280"/>
      </w:pPr>
      <w:r>
        <w:t xml:space="preserve">5. Data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Store / entity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Purpose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Model</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Source of truth</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Classification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Retention / recovery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Defect detail, affected lot, containment state and disposition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 years; RPO 15 minutes, RTO 4 hours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Corrective action request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Problem statement, supplier response, effectiveness verification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shared with one supplier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 years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Lot genealogy cache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Read-only downstream lot and work order relationships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Manufacturing execution system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Cached for the life of the nonconformance only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Defect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Photographs and supplier response attachments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Blob</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 years under an immutability policy</w:t>
            </w:r>
          </w:p>
        </w:tc>
      </w:tr>
    </w:tbl>
    <w:p>
      <w:pPr>
        <w:pStyle w:val="Heading1"/>
        <w:spacing w:after="100" w:before="280"/>
      </w:pPr>
      <w:r>
        <w:t xml:space="preserve">6. Foundry, Microsoft Agent Framework, and APIM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Area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Model execution boundary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All model calls route through the configured APIM gateway.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Workflow ownership</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Agent Framework owns topology and human-in-the-loop pause/resume behavior.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Agent configuration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Two agents in one Foundry project: defect-clustering (groups nonconformances with comparable defect modes across parts and suppliers) and problem-statement drafting (produces a clear, neutral problem statement for a corrective action request). Standard reasoning deployment, 4,000 token ceiling, tools limited to the read-only internal nonconformance index. The workflow pauses for engineer review, and the accepted or rejected draft is recorded.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APIM policies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Managed-identity authentication at the gateway, 40 calls per user per hour, two retries on transient failures, content safety on prompt and completion, request and response logging with commercial terms redacted, and a correlation header propagated end to end.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Guardrails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Prompts carry defect description, part and quantity only. Supplier names, contract terms, part cost and cost-of-quality figures are stripped before the call, and supplier users can never invoke an agent. The agents may not issue a corrective action request, apply containment, or record a disposition.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Observability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call emits prompt identifier, agent identifier, model deployment, token counts, project, calling user, review outcome, workflow run identifier and correlation identifier to Application Insights, retained 90 days and sampled into the monthly review.</w:t>
            </w:r>
          </w:p>
        </w:tc>
      </w:tr>
    </w:tbl>
    <w:p>
      <w:pPr>
        <w:pStyle w:val="Heading1"/>
        <w:spacing w:after="100" w:before="280"/>
      </w:pPr>
      <w:r>
        <w:t xml:space="preserve">7. Security and Privacy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Control area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Validation evidence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Identity and access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Role-based access with least privilege: inspector, quality engineer, material review board member, buyer, supplier contact and auditor; disposition authority is held in a dedicated Entra group and the raiser is excluded server side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Quarterly access recertification and a segregation-of-duties test in every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Secrets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All secrets in Azure Key Vault referenced by managed identity; no secret values in source control or pipeline variables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Secret scanning on every pull request and a Key Vault reference audit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Network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Private endpoints for Azure SQL, Blob storage and APIM; the supplier portal is the only internet-facing surface, behind Front Door with a web application firewall and per-organisation rate limits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Network validation and an external attack surface review each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Data protection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TLS 1.2 or higher in transit and service-managed keys at rest; supplier data isolated by organisation claim enforced server side on every query; internal cost data never returned to a supplier token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cross-tenant authorisation test suite run on every build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Application security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Input validation on every endpoint, dependency and container scanning, a threat model covering supplier data isolation, and annual penetration testing including the supplier portal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Pipeline scan results and the signed penetration test report</w:t>
            </w:r>
          </w:p>
        </w:tc>
      </w:tr>
    </w:tbl>
    <w:p>
      <w:pPr>
        <w:pStyle w:val="Heading1"/>
        <w:spacing w:after="100" w:before="280"/>
      </w:pPr>
      <w:r>
        <w:t xml:space="preserve">8. Non-Functional Technical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Category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Measurement / gate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99.9 percent monthly during receiving and production hours, 05:00 to 23:00 in each site's local time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 SLO in Azure Monitor, reviewed monthly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Capture and containment 95th percentile under 2 seconds, lot impact view under 4 seconds for 500 downstream lots, at 150 concurrent users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Load test with a production-shaped genealogy dataset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Scalability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40 sites, 900 internal users, 1,200 supplier contacts, 2,400 nonconformances per month, scaling to twice that without redesign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Capacity test and scale-out validation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Reliability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Retries with backoff on containment, warm standby in the paired region, uncontained state surfaced rather than hidden, RPO 15 minutes and RTO 4 hours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Quarterly failover exercise and a containment-failure drill</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Observability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Structured logs, containment success metrics, supplier response ageing dashboards, traces correlated end to end, alerts on uncontained lots and overdue requests, retained 90 days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Operational readiness review and monthly service review</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Accessibility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WCAG 2.2 AA across the handheld, desktop and supplier portal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axe scan in the pipeline and an annual manual audit</w:t>
            </w:r>
          </w:p>
        </w:tc>
      </w:tr>
    </w:tbl>
    <w:p>
      <w:pPr>
        <w:pStyle w:val="Heading1"/>
        <w:spacing w:after="100" w:before="280"/>
      </w:pPr>
      <w:r>
        <w:t xml:space="preserve">9. Environments and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Environment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Purpose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Subscription / resource group</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Data classification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Approval gate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Dev</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Development and integration testing with synthetic data only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sub-eng-dev / rg-sqn-dev</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Synthetic, no production records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Automatic on pull-request merge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Test / UAT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System, contract, accessibility and user acceptance testing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sub-eng-test / rg-sqn-test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Masked copy of production, 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QA lead sign-off before promotion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Prod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Live service for all users in scope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sub-eng-prod / rg-sqn-prod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Change advisory board approval and successful UAT</w:t>
            </w:r>
          </w:p>
        </w:tc>
      </w:tr>
    </w:tbl>
    <w:p>
      <w:pPr>
        <w:spacing w:after="120"/>
      </w:pPr>
      <w:r>
        <w:rPr>
          <w:i/>
          <w:iCs/>
          <w:color w:val="5B6470"/>
        </w:rPr>
        <w:t xml:space="preserve">Configuration is held per environment in App Configuration, with feature flags gating offline capture, agent assistance and the progressive rollout of each new screen. The application team owns application settings, the integration team owns endpoint and timeout settings, and platform operations owns infrastructure settings. Secret values live in Key Vault and are referenced rather than copied; no secret value appears in this document or in any environment file.</w:t>
      </w:r>
    </w:p>
    <w:p>
      <w:pPr>
        <w:pStyle w:val="Heading1"/>
        <w:spacing w:after="100" w:before="280"/>
      </w:pPr>
      <w:r>
        <w:t xml:space="preserve">10. Build, Test, Deploy, and Operate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Stage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Required checks / artifacts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Approval</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Build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Compile, lint, unit tests above the agreed coverage floor, dependency vulnerability scan, secret scan, infrastructure-as-code validation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gate, blocking on any high-severity finding</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and contract tests, security testing, automated and manual accessibility audit, signed user acceptance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QA lead and business product 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Deploy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Infrastructure-as-code plan and apply, build provenance attestation, database migration dry run, progressive rollout with health gates, smoke tests, and an attached rollback plan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Release manager, with automatic rollback on gate failure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Operate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Dashboards, alert routing, on-call runbook, monthly service review, and quarterly access recertification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Service owner</w:t>
            </w:r>
          </w:p>
        </w:tc>
      </w:tr>
    </w:tbl>
    <w:p>
      <w:pPr>
        <w:pStyle w:val="Heading1"/>
        <w:spacing w:after="100" w:before="280"/>
      </w:pPr>
      <w:r>
        <w:t xml:space="preserve">11. Constraints, Risks, and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Type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Description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Mitigation / 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Risk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 lot could remain uncontained if the ERP hold call fails silently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Platform team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Containment state is explicit on the record, failures alert the quality manager within 60 seconds, and a reconciliation job compares held lots against nonconformances hourly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Risk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data isolation failure would expose one supplier's defects to another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Organisation claim enforced server side on every query, with an automated cross-tenant authorisation suite that fails the build on any leak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Constraint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Recursive genealogy queries can be slow on deep bills of material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Quality Systems team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Impact view paged and capped, with an explicit partial-result state rather than a silent truncation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Accepted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Decision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Entra External ID for supplier contacts rather than an application-managed account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Central revocation and conditional access outweigh the additional onboarding step</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Closed</w:t>
            </w:r>
          </w:p>
        </w:tc>
      </w:tr>
    </w:tbl>
    <w:p>
      <w:pPr>
        <w:pStyle w:val="Heading1"/>
        <w:spacing w:after="100" w:before="280"/>
      </w:pPr>
      <w:r>
        <w:t xml:space="preserve">12. Technical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Reviewer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Role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Comments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Solution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Architecture authority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Stack, boundaries and integration contracts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and privacy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Identity, data protection and threat model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Platform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Cloud platform operations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Hosting, environments and operability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Case}</dc:title>
  <dc:creator>Agentic SDLC</dc:creator>
  <dc:description>Reusable Agentic SDLC project-intake template</dc:description>
  <cp:lastModifiedBy>Un-named</cp:lastModifiedBy>
  <cp:revision>1</cp:revision>
  <dcterms:created xsi:type="dcterms:W3CDTF">2026-08-24T15:44:50.583Z</dcterms:created>
  <dcterms:modified xsi:type="dcterms:W3CDTF">2026-08-24T15:44:50.583Z</dcterms:modified>
</cp:coreProperties>
</file>

<file path=docProps/custom.xml><?xml version="1.0" encoding="utf-8"?>
<Properties xmlns="http://schemas.openxmlformats.org/officeDocument/2006/custom-properties" xmlns:vt="http://schemas.openxmlformats.org/officeDocument/2006/docPropsVTypes"/>
</file>