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067B8"/>
          <w:sz w:val="40"/>
          <w:szCs w:val="40"/>
        </w:rPr>
        <w:t xml:space="preserve">Supplier Quality Nonconformance</w:t>
      </w:r>
    </w:p>
    <w:p>
      <w:pPr>
        <w:spacing w:after="220"/>
        <w:jc w:val="center"/>
      </w:pPr>
      <w:r>
        <w:rPr>
          <w:b/>
          <w:bCs/>
          <w:color w:val="1F2937"/>
          <w:sz w:val="30"/>
          <w:szCs w:val="30"/>
        </w:rPr>
        <w:t xml:space="preserve">UX Mockups and Interaction Specification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Document owner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Version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Michael Yaacoub, Sr Solution Engineer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2026-08-24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Draft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This template follows the sample UX pack: each SCR screen pairs a visual mockup with a specification panel, and the pack closes with a navigation-flow map.</w:t>
      </w:r>
    </w:p>
    <w:p>
      <w:pPr>
        <w:pStyle w:val="Heading1"/>
        <w:spacing w:after="100" w:before="280"/>
      </w:pPr>
      <w:r>
        <w:t xml:space="preserve">1. Experience Overview</w:t>
      </w:r>
    </w:p>
    <w:p>
      <w:pPr>
        <w:spacing w:after="120"/>
      </w:pPr>
      <w:r>
        <w:rPr>
          <w:i/>
          <w:iCs/>
          <w:color w:val="5B6470"/>
        </w:rPr>
        <w:t xml:space="preserve">Two very different contexts share one record. A receiving inspector raises the nonconformance standing at a pallet with a handheld and gloves, often out of coverage; a quality engineer then works the same record at a desk across many open items, and a supplier contact answers it from outside the organisation. Design principles: containment status is never ambiguous and never implied; the impact view says plainly when it is incomplete; supplier-facing screens show only what that supplier may see; and every decision that needs a second person says so before it is attempted.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Persona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Primary goal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Device / viewport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Usage context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Receiving inspector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Record the defect accurately and stop the material moving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Rugged handheld, 5 to 6 inch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Receiving dock, gloved, noisy, intermittent coverage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Supplier quality engineer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Contain the impact, drive supplier corrective action, and close with a costed disposition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Web, 1440 pixels and wider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Quality office, many open nonconformances at once</w:t>
            </w:r>
          </w:p>
        </w:tc>
      </w:tr>
    </w:tbl>
    <w:p>
      <w:pPr>
        <w:pStyle w:val="Heading1"/>
        <w:spacing w:after="100" w:before="280"/>
      </w:pPr>
      <w:r>
        <w:t xml:space="preserve">2. Screen Inventory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Screen ID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Screen name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Mapped feature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User goal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Primary action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SCR-01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Raise a Nonconformance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FEAT-01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Record a defect and stop the material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Submit and contain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Lot Traceability and Impact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See everywhere the material already went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Extend containment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Supplier Corrective Action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Get the process fixed, not just answered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Issue the request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Disposition and Cost of Quality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Decide the outcome and record what it cost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Record the disposition</w:t>
            </w:r>
          </w:p>
        </w:tc>
      </w:tr>
    </w:tbl>
    <w:p>
      <w:pPr>
        <w:pStyle w:val="Heading1"/>
        <w:spacing w:after="100" w:before="280"/>
      </w:pPr>
      <w:r>
        <w:t xml:space="preserve">3. Screen Mockups and Specifications</w:t>
      </w:r>
    </w:p>
    <w:p>
      <w:pPr>
        <w:pStyle w:val="Heading2"/>
        <w:spacing w:after="100" w:before="160"/>
      </w:pPr>
      <w:r>
        <w:t xml:space="preserve">3.1 SCR-01 Raise a Nonconformance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42196" name="Picture 42196" descr="Raise a Nonconformance wireframe: The inspector records the defect where it is found and places an immediate hold on the affected lot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196" name="Raise a Nonconformance wireframe: The inspector records the defect where it is found and places an immediate hold on the affected lot." descr="Raise a Nonconformance wireframe: The inspector records the defect where it is found and places an immediate hold on the affected lot."/>
                          <pic:cNvPicPr/>
                        </pic:nvPicPr>
                        <pic:blipFill>
                          <a:blip r:embed="rIdFill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Part, supplier and purchase order, pre-filled from the receipt scan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Defect type and affected quantity against the received quantity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Defect photographs, required before submission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Containment preview showing the lot that will be held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Submit and contain, the primary action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The inspector records the defect where it is found and places an immediate hold on the affected lot.</w:t>
            </w:r>
          </w:p>
          <w:p>
            <w:pPr>
              <w:spacing w:after="120"/>
            </w:pPr>
            <w:r>
              <w:t xml:space="preserve">Primary action: Submit and contain, which issues a nonconformance number and applies the quarantine hold within 60 seconds.</w:t>
            </w:r>
          </w:p>
          <w:p>
            <w:pPr>
              <w:spacing w:after="120"/>
            </w:pPr>
            <w:r>
              <w:t xml:space="preserve">Data: Part number and description, supplier, purchase order, lot, received and affected quantity, defect type and severity, photographs. Source: ERP receipt data through the nonconformance service.</w:t>
            </w:r>
          </w:p>
          <w:p>
            <w:pPr>
              <w:spacing w:after="120"/>
            </w:pPr>
            <w:r>
              <w:t xml:space="preserve">States: Ready to capture, queued offline, submitted, contained, uncontained and alerting</w:t>
            </w:r>
          </w:p>
          <w:p>
            <w:pPr>
              <w:spacing w:after="120"/>
            </w:pPr>
            <w:r>
              <w:t xml:space="preserve">Roles: Inspector raises; quality engineer reads; supplier sees nothing until a request is issued</w:t>
            </w:r>
          </w:p>
          <w:p>
            <w:pPr>
              <w:spacing w:after="120"/>
            </w:pPr>
            <w:r>
              <w:t xml:space="preserve">Requirements: US-101, US-102, NFR-003, NFR-006, NFR-007</w:t>
            </w:r>
          </w:p>
        </w:tc>
      </w:tr>
    </w:tbl>
    <w:p>
      <w:pPr>
        <w:pStyle w:val="Heading2"/>
        <w:spacing w:after="100" w:before="160"/>
      </w:pPr>
      <w:r>
        <w:t xml:space="preserve">3.2 SCR-01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Receipt scan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Pre-fills part, supplier, purchase order and lot from the receipt label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lot not on an open receipt is rejected with the reason stated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Manual entry always available; pre-filled values are announced as such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Affected quantity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Numeric entry bounded by the received quantity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Must be greater than zero and no greater than received; exceeding it blocks with the limit named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Visible label, numeric keyboard hint, assertive error naming the field and the limit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Photograph capture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Adds defect photographs; offline captures queue and upload on reconnection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At least one photograph is required before submission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Each thumbnail prompts for a short description used as alternative text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Submit and contain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Creates the nonconformance and requests the quarantine hold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If the hold fails, the record is shown as uncontained with the failure explained, never as a generic error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containment outcome is announced assertively because it is safety and quality critical</w:t>
            </w:r>
          </w:p>
        </w:tc>
      </w:tr>
    </w:tbl>
    <w:p>
      <w:pPr>
        <w:pStyle w:val="Heading2"/>
        <w:spacing w:after="100" w:before="160"/>
      </w:pPr>
      <w:r>
        <w:t xml:space="preserve">3.3 SCR-02 Lot Traceability and Impact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38109" name="Picture 38109" descr="Lot Traceability and Impact wireframe: The engineer sees every lot the affected material reached, so containment covers work in progress and shipped goods rather than only stock on hand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09" name="Lot Traceability and Impact wireframe: The engineer sees every lot the affected material reached, so containment covers work in progress and shipped goods rather than only stock on hand." descr="Lot Traceability and Impact wireframe: The engineer sees every lot the affected material reached, so containment covers work in progress and shipped goods rather than only stock on hand."/>
                          <pic:cNvPicPr/>
                        </pic:nvPicPr>
                        <pic:blipFill>
                          <a:blip r:embed="rIdFill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Containment status for the originating lot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Downstream work orders and sub-lots with current status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Finished goods lots, including anything already shipped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Partial-result warning when genealogy is incomplete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Extend containment to selected lots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The engineer sees every lot the affected material reached, so containment covers work in progress and shipped goods rather than only stock on hand.</w:t>
            </w:r>
          </w:p>
          <w:p>
            <w:pPr>
              <w:spacing w:after="120"/>
            </w:pPr>
            <w:r>
              <w:t xml:space="preserve">Primary action: Extend containment, which applies holds to the selected downstream lots and reports each result.</w:t>
            </w:r>
          </w:p>
          <w:p>
            <w:pPr>
              <w:spacing w:after="120"/>
            </w:pPr>
            <w:r>
              <w:t xml:space="preserve">Data: Originating lot and hold state, downstream work orders, sub-lots and finished goods lots with location, status, customer and shipment reference. Source: manufacturing execution genealogy, cached for the life of the nonconformance.</w:t>
            </w:r>
          </w:p>
          <w:p>
            <w:pPr>
              <w:spacing w:after="120"/>
            </w:pPr>
            <w:r>
              <w:t xml:space="preserve">States: Loading, complete genealogy, partial genealogy, containment in progress, partially contained, shipped material identified</w:t>
            </w:r>
          </w:p>
          <w:p>
            <w:pPr>
              <w:spacing w:after="120"/>
            </w:pPr>
            <w:r>
              <w:t xml:space="preserve">Roles: Quality engineer and quality manager; supplier has no access to this view</w:t>
            </w:r>
          </w:p>
          <w:p>
            <w:pPr>
              <w:spacing w:after="120"/>
            </w:pPr>
            <w:r>
              <w:t xml:space="preserve">Requirements: US-201, US-202, NFR-001, NFR-007</w:t>
            </w:r>
          </w:p>
        </w:tc>
      </w:tr>
    </w:tbl>
    <w:p>
      <w:pPr>
        <w:pStyle w:val="Heading2"/>
        <w:spacing w:after="100" w:before="160"/>
      </w:pPr>
      <w:r>
        <w:t xml:space="preserve">3.4 SCR-02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Lot row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Expands to show the consuming work order, date and quantity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Disclosure with expanded state announced; hold state stated as text, not colour alone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Partial-result warning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Shown whenever the genealogy query did not complete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view cannot be marked as fully contained while the warning is present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Announced assertively on load, because acting on a partial picture is the risk this prevents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Select lots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Multi-select with select-all scoped to the current filter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At least one lot must be selected; already-held lots are shown as such and excluded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Checkbox group with a live count of selected lots announced politely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Extend containment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Applies holds in a batch and reports each lot's result individually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failure on one lot does not roll back the others; failures are listed and retried separately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Results are presented as a list of outcomes rather than a single success or failure message</w:t>
            </w:r>
          </w:p>
        </w:tc>
      </w:tr>
    </w:tbl>
    <w:p>
      <w:pPr>
        <w:pStyle w:val="Heading2"/>
        <w:spacing w:after="100" w:before="160"/>
      </w:pPr>
      <w:r>
        <w:t xml:space="preserve">3.5 SCR-03 Supplier Corrective Action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54532" name="Picture 54532" descr="Supplier Corrective Action wireframe: The engineer issues a formal request, the supplier answers in the same system, and the request stays open until later receipts prove the fix worked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532" name="Supplier Corrective Action wireframe: The engineer issues a formal request, the supplier answers in the same system, and the request stays open until later receipts prove the fix worked." descr="Supplier Corrective Action wireframe: The engineer issues a formal request, the supplier answers in the same system, and the request stays open until later receipts prove the fix worked."/>
                          <pic:cNvPicPr/>
                        </pic:nvPicPr>
                        <pic:blipFill>
                          <a:blip r:embed="rIdFill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Problem statement, drafted for review and editable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Supplier contact and required response date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Supplier response with root cause and containment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Effectiveness verification across the next receipts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Issue the request, the primary action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The engineer issues a formal request, the supplier answers in the same system, and the request stays open until later receipts prove the fix worked.</w:t>
            </w:r>
          </w:p>
          <w:p>
            <w:pPr>
              <w:spacing w:after="120"/>
            </w:pPr>
            <w:r>
              <w:t xml:space="preserve">Primary action: Issue the request, which notifies the supplier contact and starts the response clock.</w:t>
            </w:r>
          </w:p>
          <w:p>
            <w:pPr>
              <w:spacing w:after="120"/>
            </w:pPr>
            <w:r>
              <w:t xml:space="preserve">Data: Problem statement, supplier contact, required response date, supplier root cause and corrective action, verification receipt count and outcomes. Source: nonconformance service and supplier portal.</w:t>
            </w:r>
          </w:p>
          <w:p>
            <w:pPr>
              <w:spacing w:after="120"/>
            </w:pPr>
            <w:r>
              <w:t xml:space="preserve">States: Draft, issued, awaiting supplier response, overdue, response received, awaiting effectiveness, closed, reopened</w:t>
            </w:r>
          </w:p>
          <w:p>
            <w:pPr>
              <w:spacing w:after="120"/>
            </w:pPr>
            <w:r>
              <w:t xml:space="preserve">Roles: Engineer issues and accepts; supplier contact responds; buyer is notified on overdue</w:t>
            </w:r>
          </w:p>
          <w:p>
            <w:pPr>
              <w:spacing w:after="120"/>
            </w:pPr>
            <w:r>
              <w:t xml:space="preserve">Requirements: US-301, US-302, NFR-004, NFR-006</w:t>
            </w:r>
          </w:p>
        </w:tc>
      </w:tr>
    </w:tbl>
    <w:p>
      <w:pPr>
        <w:pStyle w:val="Heading2"/>
        <w:spacing w:after="100" w:before="160"/>
      </w:pPr>
      <w:r>
        <w:t xml:space="preserve">3.6 SCR-03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Problem statement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Pre-populated with a drafted statement marked as a draft for review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Mandatory, minimum 60 characters; the draft cannot be issued without an explicit accept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draft is announced as a suggestion; the field is fully editable by keyboard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Required response date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Defaults from the defect severity and can be shortened, not extended, without approval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An extension beyond the default requires a reason recorded on the request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Date input with a visible label and the default explained before the field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Supplier response panel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Read-only internally until the supplier submits, then opens for acceptance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Acceptance requires a decision and a comment; rejection returns it to the supplier with the reason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panel states plainly who can act next, so nobody waits on the wrong party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Effectiveness verification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Tracks the nominated number of receipts and their inspection outcome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request cannot close until every verification receipt has passed; a failure reopens it with the new nonconformance linked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Progress is stated as text, for example two of three receipts verified</w:t>
            </w:r>
          </w:p>
        </w:tc>
      </w:tr>
    </w:tbl>
    <w:p>
      <w:pPr>
        <w:pStyle w:val="Heading2"/>
        <w:spacing w:after="100" w:before="160"/>
      </w:pPr>
      <w:r>
        <w:t xml:space="preserve">3.7 SCR-04 Disposition and Cost of Quality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49412" name="Picture 49412" descr="Disposition and Cost of Quality wireframe: A board member who did not raise the nonconformance decides the outcome for the material and records what the defect cost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412" name="Disposition and Cost of Quality wireframe: A board member who did not raise the nonconformance decides the outcome for the material and records what the defect cost." descr="Disposition and Cost of Quality wireframe: A board member who did not raise the nonconformance decides the outcome for the material and records what the defect cost."/>
                          <pic:cNvPicPr/>
                        </pic:nvPicPr>
                        <pic:blipFill>
                          <a:blip r:embed="rIdFill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Disposition options: use as is, rework, return to supplier, scrap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Justification, mandatory on every decision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Segregation-of-duties check against the raiser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Cost of quality: rework hours, scrap value, freight, administration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Record the disposition and close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A board member who did not raise the nonconformance decides the outcome for the material and records what the defect cost.</w:t>
            </w:r>
          </w:p>
          <w:p>
            <w:pPr>
              <w:spacing w:after="120"/>
            </w:pPr>
            <w:r>
              <w:t xml:space="preserve">Primary action: Record the disposition and close, which updates inventory and writes the immutable record.</w:t>
            </w:r>
          </w:p>
          <w:p>
            <w:pPr>
              <w:spacing w:after="120"/>
            </w:pPr>
            <w:r>
              <w:t xml:space="preserve">Data: Disposition option, justification, board member identity, segregation-of-duties result, cost lines and total, resulting inventory action. Source: nonconformance service and the ERP.</w:t>
            </w:r>
          </w:p>
          <w:p>
            <w:pPr>
              <w:spacing w:after="120"/>
            </w:pPr>
            <w:r>
              <w:t xml:space="preserve">States: Awaiting disposition, blocked by segregation of duties, dispositioned, inventory update failed and retrying, closed and read-only</w:t>
            </w:r>
          </w:p>
          <w:p>
            <w:pPr>
              <w:spacing w:after="120"/>
            </w:pPr>
            <w:r>
              <w:t xml:space="preserve">Roles: Material review board members with disposition authority; the raiser is excluded</w:t>
            </w:r>
          </w:p>
          <w:p>
            <w:pPr>
              <w:spacing w:after="120"/>
            </w:pPr>
            <w:r>
              <w:t xml:space="preserve">Requirements: US-401, US-402, NFR-004, NFR-006</w:t>
            </w:r>
          </w:p>
        </w:tc>
      </w:tr>
    </w:tbl>
    <w:p>
      <w:pPr>
        <w:pStyle w:val="Heading2"/>
        <w:spacing w:after="100" w:before="160"/>
      </w:pPr>
      <w:r>
        <w:t xml:space="preserve">3.8 SCR-04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Disposition selector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Selecting an option reveals only the cost fields that apply to it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Mandatory; use as is on a safety-critical part requires a second approver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Radio group with a visible legend; revealed fields follow in DOM order and are announced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Segregation check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Evaluated server side when the screen opens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If the board member raised the nonconformance, the decision is blocked and alternatives are offered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block explains why in plain language rather than as a permission error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Cost lines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Numeric entry per cost category with a running total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Each line must be zero or greater; the total is calculated, never typed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Totals are announced through a polite live region as lines change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Record and close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Writes the immutable record and updates inventory status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Blocked while justification or a required cost line is missing, with each item listed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Confirmation states plainly that the record cannot be edited afterwards</w:t>
            </w:r>
          </w:p>
        </w:tc>
      </w:tr>
    </w:tbl>
    <w:p>
      <w:pPr>
        <w:pStyle w:val="Heading1"/>
        <w:spacing w:after="100" w:before="280"/>
      </w:pPr>
      <w:r>
        <w:t xml:space="preserve">4. Navigation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User action / condition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To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Alternate or error path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SCR-01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Inspector submits and containment succeeds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Containment fails: the record stays on SCR-01 in an uncontained state and the quality manager is alerted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Engineer extends containment across downstream lots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Genealogy incomplete: the partial-result warning persists and full containment cannot be claimed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Supplier response accepted and effectiveness verified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Verification receipt fails: the request reopens with the new nonconformance linked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Board member records a disposition and closes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SCR-01, with the nonconformance closed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Segregation of duties blocks the decision, or the inventory update fails and is retried</w:t>
            </w:r>
          </w:p>
        </w:tc>
      </w:tr>
    </w:tbl>
    <w:p>
      <w:pPr>
        <w:spacing w:after="120"/>
      </w:pPr>
      <w:r>
        <w:rPr>
          <w:i/>
          <w:iCs/>
          <w:color w:val="5B6470"/>
        </w:rPr>
        <w:t xml:space="preserve">Flow: SCR-01 Raise a Nonconformance, submit and contain, to SCR-02 Lot Traceability and Impact, extend containment, to SCR-03 Supplier Corrective Action, effectiveness verified, to SCR-04 Disposition and Cost of Quality, decide and close, and back to SCR-01. A failed containment returns to SCR-01 in an uncontained state, and the bottom tab bar reaches Raise, Impact, Actions and Profile.</w:t>
      </w:r>
    </w:p>
    <w:p>
      <w:pPr>
        <w:pStyle w:val="Heading1"/>
        <w:spacing w:after="100" w:before="280"/>
      </w:pPr>
      <w:r>
        <w:t xml:space="preserve">5. Responsive Behavior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Viewport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Navigation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Layout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Content priority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Interaction changes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Phone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Bottom tab bar with four primary destinations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Single column, cards stacked in priority order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Part, defect and containment status first; supporting detail below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One-handed reach with capture actions in the lower third; no swipe-only path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Tablet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Adaptive left navigation rail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Nonconformance list beside the selected record's detail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Primary list beside the selected item's detail panel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Touch and pointer both supported; hover reveals nothing essential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Web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Persistent left navigation with breadcrumbs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Register, impact tree and corrective action history in three columns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Dense scanning of many records, with full detail on selection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Full keyboard support with shortcuts for contain and disposition; no hover-only affordance</w:t>
            </w:r>
          </w:p>
        </w:tc>
      </w:tr>
    </w:tbl>
    <w:p>
      <w:pPr>
        <w:pStyle w:val="Heading1"/>
        <w:spacing w:after="100" w:before="280"/>
      </w:pPr>
      <w:r>
        <w:t xml:space="preserve">6. States and Content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Trigger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Displayed content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Available actions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Loading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data request is still in flight after 300 ms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Skeleton content preserving the final layout; the impact tree loads progressively with its depth stated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Cancel and retry remain available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Empty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filter, search or assignment returns no records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plain statement that no records match, naming the active filter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Clear the filter, or raise a new nonconformance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Error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request fails, times out, or is rejected by policy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What failed and whether the material is contained, which is always stated first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Retry, with containment state never assumed on failure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Offline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device loses network connectivity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persistent offline banner and a count of records waiting to submit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Capture continues; containment is requested and confirmed only after sync</w:t>
            </w:r>
          </w:p>
        </w:tc>
      </w:tr>
    </w:tbl>
    <w:p>
      <w:pPr>
        <w:pStyle w:val="Heading1"/>
        <w:spacing w:after="100" w:before="280"/>
      </w:pPr>
      <w:r>
        <w:t xml:space="preserve">7. Accessibility Requirements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WCAG 2.2 AA is the conformance target for every screen, including all interactive states and error messaging.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control is reachable in a logical tab order with a visible focus indicator, a programmatic label, and instructions announced before the input rather than only after an error.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Errors are announced through an assertive live region, name the field, and describe how to correct the problem.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Text contrast is at least 4.5 to 1 and non-text indicators at least 3 to 1; the interface remains usable at 200 percent text resize and at 320 CSS pixels wide.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Motion is limited and honours the reduced-motion preference; no information is conveyed by colour alone.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Touch targets are at least 44 by 44 CSS pixels with adequate spacing, so the interface stays usable with gloves or one hand.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{Keyboard order, visible focus, labels, instructions, and error announcement behavior}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{Contrast, text resize, reduced motion, screen-reader, and touch-target expectations}</w:t>
      </w:r>
    </w:p>
    <w:p>
      <w:pPr>
        <w:pStyle w:val="Heading1"/>
        <w:spacing w:after="100" w:before="280"/>
      </w:pPr>
      <w:r>
        <w:t xml:space="preserve">8. Review and Approval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Reviewer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Decision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Comments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Design lead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UX design authority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Pending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Interaction model and visual specification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Accessibility specialist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Accessibility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Pending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WCAG 2.2 AA conformance evidence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Product owner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Business product owner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Pending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Screen inventory and flow confirmation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Fill1" Type="http://schemas.openxmlformats.org/officeDocument/2006/relationships/image" Target="media/fill1.png"/><Relationship Id="rIdFill2" Type="http://schemas.openxmlformats.org/officeDocument/2006/relationships/image" Target="media/fill2.png"/><Relationship Id="rIdFill3" Type="http://schemas.openxmlformats.org/officeDocument/2006/relationships/image" Target="media/fill3.png"/><Relationship Id="rIdFill4" Type="http://schemas.openxmlformats.org/officeDocument/2006/relationships/image" Target="media/fill4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{Business Case}</dc:title>
  <dc:creator>Agentic SDLC</dc:creator>
  <dc:description>Reusable Agentic SDLC project-intake template</dc:description>
  <cp:lastModifiedBy>Un-named</cp:lastModifiedBy>
  <cp:revision>1</cp:revision>
  <dcterms:created xsi:type="dcterms:W3CDTF">2026-08-24T15:44:50.580Z</dcterms:created>
  <dcterms:modified xsi:type="dcterms:W3CDTF">2026-08-24T15:44:50.580Z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